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4901" w14:textId="7F95363D" w:rsidR="004A01F5" w:rsidRPr="008425B8" w:rsidRDefault="00000000" w:rsidP="008425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425B8">
        <w:rPr>
          <w:rFonts w:ascii="Times New Roman" w:hAnsi="Times New Roman" w:cs="Times New Roman"/>
          <w:b/>
          <w:bCs/>
          <w:sz w:val="24"/>
          <w:szCs w:val="24"/>
        </w:rPr>
        <w:t>Additional file 2.</w:t>
      </w:r>
      <w:r w:rsidR="0021774A" w:rsidRPr="008425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5632232"/>
      <w:r w:rsidR="0021774A" w:rsidRPr="008425B8">
        <w:rPr>
          <w:rFonts w:ascii="Times New Roman" w:hAnsi="Times New Roman" w:cs="Times New Roman"/>
          <w:sz w:val="24"/>
          <w:szCs w:val="24"/>
        </w:rPr>
        <w:t>Number of serious adverse events</w:t>
      </w:r>
      <w:bookmarkEnd w:id="0"/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994"/>
        <w:gridCol w:w="1592"/>
        <w:gridCol w:w="1430"/>
      </w:tblGrid>
      <w:tr w:rsidR="00A84523" w14:paraId="78B197BD" w14:textId="77777777" w:rsidTr="008425B8">
        <w:trPr>
          <w:trHeight w:val="930"/>
        </w:trPr>
        <w:tc>
          <w:tcPr>
            <w:tcW w:w="3323" w:type="pct"/>
            <w:noWrap/>
            <w:hideMark/>
          </w:tcPr>
          <w:p w14:paraId="4CF0B503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C106548" w14:textId="495D0B88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3" w:type="pct"/>
            <w:noWrap/>
            <w:hideMark/>
          </w:tcPr>
          <w:p w14:paraId="33757D85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AN69ST</w:t>
            </w:r>
          </w:p>
          <w:p w14:paraId="5C0A4FC0" w14:textId="3D5D2C6F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(n = 26)</w:t>
            </w:r>
          </w:p>
        </w:tc>
        <w:tc>
          <w:tcPr>
            <w:tcW w:w="793" w:type="pct"/>
            <w:noWrap/>
            <w:hideMark/>
          </w:tcPr>
          <w:p w14:paraId="172BE152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PMMA</w:t>
            </w:r>
          </w:p>
          <w:p w14:paraId="12A2555D" w14:textId="096FCEC3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(n = 26)</w:t>
            </w:r>
          </w:p>
        </w:tc>
      </w:tr>
      <w:tr w:rsidR="00A84523" w14:paraId="6A183E2C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6DD32F1C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Serious adverse events, n</w:t>
            </w:r>
          </w:p>
        </w:tc>
        <w:tc>
          <w:tcPr>
            <w:tcW w:w="883" w:type="pct"/>
            <w:noWrap/>
            <w:hideMark/>
          </w:tcPr>
          <w:p w14:paraId="59C339AF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noWrap/>
            <w:hideMark/>
          </w:tcPr>
          <w:p w14:paraId="3188D9CC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23" w14:paraId="6AE3F96E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3F1620BC" w14:textId="7F7C552D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883" w:type="pct"/>
            <w:noWrap/>
            <w:hideMark/>
          </w:tcPr>
          <w:p w14:paraId="4EF2A4B6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4DA5C0D8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086CD8A0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46E4DE6E" w14:textId="36A55360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Disequilibrium syndrome</w:t>
            </w:r>
          </w:p>
        </w:tc>
        <w:tc>
          <w:tcPr>
            <w:tcW w:w="883" w:type="pct"/>
            <w:noWrap/>
            <w:hideMark/>
          </w:tcPr>
          <w:p w14:paraId="55360A56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1537600F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4DE9CD3B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52BF15F1" w14:textId="5FDC8E3D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 xml:space="preserve">Anaphylaxis </w:t>
            </w:r>
          </w:p>
        </w:tc>
        <w:tc>
          <w:tcPr>
            <w:tcW w:w="883" w:type="pct"/>
            <w:noWrap/>
            <w:hideMark/>
          </w:tcPr>
          <w:p w14:paraId="07B991A6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751551A3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52B8EC50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1D732362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Non-serious adverse events, n</w:t>
            </w:r>
          </w:p>
        </w:tc>
        <w:tc>
          <w:tcPr>
            <w:tcW w:w="883" w:type="pct"/>
            <w:noWrap/>
            <w:hideMark/>
          </w:tcPr>
          <w:p w14:paraId="65211CFF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noWrap/>
            <w:hideMark/>
          </w:tcPr>
          <w:p w14:paraId="42625DE5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23" w14:paraId="2DCC1A39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1B4E95E7" w14:textId="2B49B3C5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</w:p>
        </w:tc>
        <w:tc>
          <w:tcPr>
            <w:tcW w:w="883" w:type="pct"/>
            <w:noWrap/>
            <w:hideMark/>
          </w:tcPr>
          <w:p w14:paraId="30D9746B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2153FAE0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03AA8848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0A16D50D" w14:textId="45825ED6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Cardiovascular</w:t>
            </w:r>
          </w:p>
        </w:tc>
        <w:tc>
          <w:tcPr>
            <w:tcW w:w="883" w:type="pct"/>
            <w:noWrap/>
            <w:hideMark/>
          </w:tcPr>
          <w:p w14:paraId="28F80D1F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noWrap/>
            <w:hideMark/>
          </w:tcPr>
          <w:p w14:paraId="4F1C16FB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23" w14:paraId="0ECB786E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403AF79D" w14:textId="357D2284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Blood pressure reduction</w:t>
            </w:r>
          </w:p>
        </w:tc>
        <w:tc>
          <w:tcPr>
            <w:tcW w:w="883" w:type="pct"/>
            <w:noWrap/>
            <w:hideMark/>
          </w:tcPr>
          <w:p w14:paraId="313A2A7D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1F7CB8D5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523" w14:paraId="6D541F3D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2ED7DE84" w14:textId="1CA1F593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883" w:type="pct"/>
            <w:noWrap/>
            <w:hideMark/>
          </w:tcPr>
          <w:p w14:paraId="2A803D87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noWrap/>
            <w:hideMark/>
          </w:tcPr>
          <w:p w14:paraId="14C53A23" w14:textId="77777777" w:rsidR="0021774A" w:rsidRPr="008425B8" w:rsidRDefault="0021774A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23" w14:paraId="2D518FCD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4F3F4EC9" w14:textId="0C56D728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Hyperkalemia</w:t>
            </w:r>
          </w:p>
        </w:tc>
        <w:tc>
          <w:tcPr>
            <w:tcW w:w="883" w:type="pct"/>
            <w:noWrap/>
            <w:hideMark/>
          </w:tcPr>
          <w:p w14:paraId="4ABE56F3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031A91A1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23" w14:paraId="0BF988EC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2D067BCD" w14:textId="7A88C955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Thrombocytopenia</w:t>
            </w:r>
          </w:p>
        </w:tc>
        <w:tc>
          <w:tcPr>
            <w:tcW w:w="883" w:type="pct"/>
            <w:noWrap/>
            <w:hideMark/>
          </w:tcPr>
          <w:p w14:paraId="6CC82729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pct"/>
            <w:noWrap/>
            <w:hideMark/>
          </w:tcPr>
          <w:p w14:paraId="559338DE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6A5C2A64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7F068B44" w14:textId="4D057756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Nasal bleeding</w:t>
            </w:r>
          </w:p>
        </w:tc>
        <w:tc>
          <w:tcPr>
            <w:tcW w:w="883" w:type="pct"/>
            <w:noWrap/>
            <w:hideMark/>
          </w:tcPr>
          <w:p w14:paraId="39199F1F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pct"/>
            <w:noWrap/>
            <w:hideMark/>
          </w:tcPr>
          <w:p w14:paraId="26FA4600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7807D648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6CD3279A" w14:textId="0F134106" w:rsidR="0021774A" w:rsidRPr="008425B8" w:rsidRDefault="00000000" w:rsidP="008425B8">
            <w:pPr>
              <w:spacing w:line="48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Bleeding due to catheter insertion</w:t>
            </w:r>
          </w:p>
        </w:tc>
        <w:tc>
          <w:tcPr>
            <w:tcW w:w="883" w:type="pct"/>
            <w:noWrap/>
            <w:hideMark/>
          </w:tcPr>
          <w:p w14:paraId="7BA320A6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3C287B1D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523" w14:paraId="2E013F3F" w14:textId="77777777" w:rsidTr="008425B8">
        <w:trPr>
          <w:trHeight w:val="310"/>
        </w:trPr>
        <w:tc>
          <w:tcPr>
            <w:tcW w:w="3323" w:type="pct"/>
            <w:noWrap/>
            <w:hideMark/>
          </w:tcPr>
          <w:p w14:paraId="5FB484AF" w14:textId="70B22B5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Central nervous system</w:t>
            </w:r>
          </w:p>
        </w:tc>
        <w:tc>
          <w:tcPr>
            <w:tcW w:w="883" w:type="pct"/>
            <w:noWrap/>
            <w:hideMark/>
          </w:tcPr>
          <w:p w14:paraId="2B532995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306F0435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23" w14:paraId="6BFD337E" w14:textId="77777777" w:rsidTr="008425B8">
        <w:trPr>
          <w:trHeight w:val="320"/>
        </w:trPr>
        <w:tc>
          <w:tcPr>
            <w:tcW w:w="3323" w:type="pct"/>
            <w:noWrap/>
            <w:hideMark/>
          </w:tcPr>
          <w:p w14:paraId="00E40D23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883" w:type="pct"/>
            <w:noWrap/>
            <w:hideMark/>
          </w:tcPr>
          <w:p w14:paraId="47D8A280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pct"/>
            <w:noWrap/>
            <w:hideMark/>
          </w:tcPr>
          <w:p w14:paraId="5CDED779" w14:textId="77777777" w:rsidR="0021774A" w:rsidRPr="008425B8" w:rsidRDefault="00000000" w:rsidP="008425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5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D899D6" w14:textId="7629A4D4" w:rsidR="0021774A" w:rsidRPr="008425B8" w:rsidRDefault="00000000" w:rsidP="008425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25B8">
        <w:rPr>
          <w:rFonts w:ascii="Times New Roman" w:hAnsi="Times New Roman" w:cs="Times New Roman"/>
          <w:sz w:val="24"/>
          <w:szCs w:val="24"/>
        </w:rPr>
        <w:t>PMMA, polymethyl methacrylate; AN69ST, polyethyleneimine-coated polyacrylonitrile</w:t>
      </w:r>
    </w:p>
    <w:p w14:paraId="1F574E9E" w14:textId="77777777" w:rsidR="0021774A" w:rsidRPr="008425B8" w:rsidRDefault="0021774A" w:rsidP="008425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4778068" w14:textId="77777777" w:rsidR="00533673" w:rsidRPr="008425B8" w:rsidRDefault="00533673" w:rsidP="008425B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533673" w:rsidRPr="008425B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7F2F9" w14:textId="77777777" w:rsidR="00DC2C52" w:rsidRDefault="00DC2C52">
      <w:pPr>
        <w:spacing w:after="0" w:line="240" w:lineRule="auto"/>
      </w:pPr>
      <w:r>
        <w:separator/>
      </w:r>
    </w:p>
  </w:endnote>
  <w:endnote w:type="continuationSeparator" w:id="0">
    <w:p w14:paraId="6E21BEC4" w14:textId="77777777" w:rsidR="00DC2C52" w:rsidRDefault="00DC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4896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5777243" w14:textId="737CF27B" w:rsidR="00533673" w:rsidRPr="00533673" w:rsidRDefault="00000000" w:rsidP="0053367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3367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3367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3367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53367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3367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EF46" w14:textId="77777777" w:rsidR="00DC2C52" w:rsidRDefault="00DC2C52">
      <w:pPr>
        <w:spacing w:after="0" w:line="240" w:lineRule="auto"/>
      </w:pPr>
      <w:r>
        <w:separator/>
      </w:r>
    </w:p>
  </w:footnote>
  <w:footnote w:type="continuationSeparator" w:id="0">
    <w:p w14:paraId="7DC9D673" w14:textId="77777777" w:rsidR="00DC2C52" w:rsidRDefault="00DC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EB86A" w14:textId="77777777" w:rsidR="008425B8" w:rsidRDefault="008425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73"/>
    <w:rsid w:val="00070F22"/>
    <w:rsid w:val="00096008"/>
    <w:rsid w:val="001708EC"/>
    <w:rsid w:val="0018118D"/>
    <w:rsid w:val="001F0946"/>
    <w:rsid w:val="002154A6"/>
    <w:rsid w:val="00215681"/>
    <w:rsid w:val="0021774A"/>
    <w:rsid w:val="002628DB"/>
    <w:rsid w:val="00341966"/>
    <w:rsid w:val="003E24D8"/>
    <w:rsid w:val="004877D7"/>
    <w:rsid w:val="004925E8"/>
    <w:rsid w:val="004A01F5"/>
    <w:rsid w:val="004C7174"/>
    <w:rsid w:val="004F7C7B"/>
    <w:rsid w:val="00533673"/>
    <w:rsid w:val="00646350"/>
    <w:rsid w:val="006E5DD8"/>
    <w:rsid w:val="0080337F"/>
    <w:rsid w:val="008425B8"/>
    <w:rsid w:val="008850D4"/>
    <w:rsid w:val="00987D83"/>
    <w:rsid w:val="009C74B6"/>
    <w:rsid w:val="009D0DF4"/>
    <w:rsid w:val="00A60935"/>
    <w:rsid w:val="00A70B74"/>
    <w:rsid w:val="00A84523"/>
    <w:rsid w:val="00B55CDB"/>
    <w:rsid w:val="00BA32A0"/>
    <w:rsid w:val="00BB1CDC"/>
    <w:rsid w:val="00DA4AFD"/>
    <w:rsid w:val="00DC2C52"/>
    <w:rsid w:val="00DD33F8"/>
    <w:rsid w:val="00EC5EE6"/>
    <w:rsid w:val="00F82B51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4E988E"/>
  <w15:chartTrackingRefBased/>
  <w15:docId w15:val="{E0493603-3E38-43F0-83DF-DFC20EA3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7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533673"/>
    <w:rPr>
      <w:lang w:val="en-US"/>
    </w:rPr>
  </w:style>
  <w:style w:type="paragraph" w:styleId="a5">
    <w:name w:val="footer"/>
    <w:basedOn w:val="a"/>
    <w:link w:val="a6"/>
    <w:uiPriority w:val="99"/>
    <w:unhideWhenUsed/>
    <w:rsid w:val="00533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533673"/>
    <w:rPr>
      <w:lang w:val="en-US"/>
    </w:rPr>
  </w:style>
  <w:style w:type="character" w:styleId="a7">
    <w:name w:val="Hyperlink"/>
    <w:basedOn w:val="a0"/>
    <w:uiPriority w:val="99"/>
    <w:unhideWhenUsed/>
    <w:rsid w:val="0021774A"/>
    <w:rPr>
      <w:color w:val="0563C1"/>
      <w:u w:val="single"/>
    </w:rPr>
  </w:style>
  <w:style w:type="table" w:styleId="a8">
    <w:name w:val="Table Grid"/>
    <w:basedOn w:val="a1"/>
    <w:uiPriority w:val="39"/>
    <w:rsid w:val="0021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1774A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8850D4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9D0D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0DF4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9D0DF4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D0D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D0DF4"/>
    <w:rPr>
      <w:b/>
      <w:bCs/>
      <w:sz w:val="20"/>
      <w:szCs w:val="2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DD33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D33F8"/>
    <w:rPr>
      <w:rFonts w:asciiTheme="majorHAnsi" w:eastAsiaTheme="majorEastAsia" w:hAnsiTheme="majorHAnsi" w:cstheme="majorBi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3FD61-2571-4A1C-B866-03955D6F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佳彦</cp:lastModifiedBy>
  <cp:revision>4</cp:revision>
  <dcterms:created xsi:type="dcterms:W3CDTF">2023-01-22T06:27:00Z</dcterms:created>
  <dcterms:modified xsi:type="dcterms:W3CDTF">2023-02-03T16:21:00Z</dcterms:modified>
</cp:coreProperties>
</file>