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8DF897" w14:textId="77777777" w:rsidR="00CA42CF" w:rsidRPr="00CA42CF" w:rsidRDefault="00CA42CF" w:rsidP="00CA42CF">
      <w:pPr>
        <w:pStyle w:val="a3"/>
        <w:rPr>
          <w:rFonts w:ascii="Times New Roman" w:hAnsi="Times New Roman" w:cs="Times New Roman"/>
          <w:sz w:val="36"/>
          <w:szCs w:val="36"/>
        </w:rPr>
      </w:pPr>
      <w:r w:rsidRPr="00CA42CF">
        <w:rPr>
          <w:rFonts w:ascii="Times New Roman" w:hAnsi="Times New Roman" w:cs="Times New Roman"/>
          <w:sz w:val="36"/>
          <w:szCs w:val="36"/>
        </w:rPr>
        <w:t xml:space="preserve">Supplementary Materials </w:t>
      </w:r>
    </w:p>
    <w:p w14:paraId="1FEBB1CD" w14:textId="25325A5B" w:rsidR="00CA42CF" w:rsidRDefault="00877AD2" w:rsidP="00CA42CF">
      <w:pPr>
        <w:pStyle w:val="a3"/>
        <w:rPr>
          <w:rFonts w:ascii="Times New Roman" w:hAnsi="Times New Roman" w:cs="Times New Roman"/>
          <w:sz w:val="28"/>
          <w:szCs w:val="28"/>
        </w:rPr>
      </w:pPr>
      <w:r w:rsidRPr="00877AD2">
        <w:rPr>
          <w:rFonts w:ascii="Times New Roman" w:hAnsi="Times New Roman" w:cs="Times New Roman"/>
          <w:sz w:val="28"/>
          <w:szCs w:val="28"/>
        </w:rPr>
        <w:t>Electric Field Sensing of Etchless Lithium Niobate Heterostructure with Low Driving Voltage based on Quasibound States in the Continuum</w:t>
      </w:r>
    </w:p>
    <w:p w14:paraId="3010C95C" w14:textId="77777777" w:rsidR="00CA42CF" w:rsidRPr="00746A45" w:rsidRDefault="00CA42CF" w:rsidP="00CA42CF">
      <w:pPr>
        <w:spacing w:line="360" w:lineRule="auto"/>
        <w:rPr>
          <w:rFonts w:ascii="Times New Roman" w:hAnsi="Times New Roman" w:cs="Times New Roman"/>
          <w:i/>
          <w:iCs/>
          <w:sz w:val="24"/>
          <w:szCs w:val="28"/>
        </w:rPr>
      </w:pPr>
      <w:r w:rsidRPr="00746A45">
        <w:rPr>
          <w:rFonts w:ascii="Times New Roman" w:hAnsi="Times New Roman" w:cs="Times New Roman"/>
          <w:i/>
          <w:iCs/>
          <w:sz w:val="24"/>
          <w:szCs w:val="28"/>
        </w:rPr>
        <w:t>Zhijin Huang</w:t>
      </w:r>
      <w:r w:rsidRPr="00746A45">
        <w:rPr>
          <w:rFonts w:ascii="Times New Roman" w:hAnsi="Times New Roman" w:cs="Times New Roman"/>
          <w:sz w:val="24"/>
          <w:szCs w:val="28"/>
          <w:vertAlign w:val="superscript"/>
        </w:rPr>
        <w:t>1, *</w:t>
      </w:r>
      <w:r w:rsidRPr="00746A45">
        <w:rPr>
          <w:rFonts w:ascii="Times New Roman" w:hAnsi="Times New Roman" w:cs="Times New Roman"/>
          <w:i/>
          <w:iCs/>
          <w:sz w:val="24"/>
          <w:szCs w:val="28"/>
        </w:rPr>
        <w:t>, Junzhong Wang</w:t>
      </w:r>
      <w:r w:rsidRPr="00746A45">
        <w:rPr>
          <w:rFonts w:ascii="Times New Roman" w:hAnsi="Times New Roman" w:cs="Times New Roman"/>
          <w:sz w:val="24"/>
          <w:szCs w:val="28"/>
          <w:vertAlign w:val="superscript"/>
        </w:rPr>
        <w:t>1</w:t>
      </w:r>
      <w:r w:rsidRPr="00746A45">
        <w:rPr>
          <w:rFonts w:ascii="Times New Roman" w:hAnsi="Times New Roman" w:cs="Times New Roman"/>
          <w:i/>
          <w:iCs/>
          <w:sz w:val="24"/>
          <w:szCs w:val="28"/>
        </w:rPr>
        <w:t>, Lifang Yuan</w:t>
      </w:r>
      <w:r w:rsidRPr="00746A45">
        <w:rPr>
          <w:rFonts w:ascii="Times New Roman" w:hAnsi="Times New Roman" w:cs="Times New Roman"/>
          <w:sz w:val="24"/>
          <w:szCs w:val="28"/>
          <w:vertAlign w:val="superscript"/>
        </w:rPr>
        <w:t>1</w:t>
      </w:r>
      <w:r w:rsidRPr="00746A45">
        <w:rPr>
          <w:rFonts w:ascii="Times New Roman" w:hAnsi="Times New Roman" w:cs="Times New Roman"/>
          <w:i/>
          <w:iCs/>
          <w:sz w:val="24"/>
          <w:szCs w:val="28"/>
        </w:rPr>
        <w:t>, Kaixiang Shen</w:t>
      </w:r>
      <w:r w:rsidRPr="00746A45">
        <w:rPr>
          <w:rFonts w:ascii="Times New Roman" w:hAnsi="Times New Roman" w:cs="Times New Roman"/>
          <w:sz w:val="24"/>
          <w:szCs w:val="28"/>
          <w:vertAlign w:val="superscript"/>
        </w:rPr>
        <w:t>1</w:t>
      </w:r>
      <w:r w:rsidRPr="00746A45">
        <w:rPr>
          <w:rFonts w:ascii="Times New Roman" w:hAnsi="Times New Roman" w:cs="Times New Roman"/>
          <w:i/>
          <w:iCs/>
          <w:sz w:val="24"/>
          <w:szCs w:val="28"/>
        </w:rPr>
        <w:t>, Qianqian Li</w:t>
      </w:r>
      <w:r w:rsidRPr="00746A45">
        <w:rPr>
          <w:rFonts w:ascii="Times New Roman" w:hAnsi="Times New Roman" w:cs="Times New Roman"/>
          <w:sz w:val="24"/>
          <w:szCs w:val="28"/>
          <w:vertAlign w:val="superscript"/>
        </w:rPr>
        <w:t>1</w:t>
      </w:r>
    </w:p>
    <w:p w14:paraId="0F0997A1" w14:textId="77777777" w:rsidR="00CA42CF" w:rsidRDefault="00CA42CF" w:rsidP="00CA42CF">
      <w:pPr>
        <w:spacing w:line="360" w:lineRule="auto"/>
        <w:rPr>
          <w:rFonts w:ascii="Times New Roman" w:hAnsi="Times New Roman" w:cs="Times New Roman"/>
          <w:i/>
          <w:iCs/>
          <w:sz w:val="24"/>
          <w:szCs w:val="28"/>
        </w:rPr>
      </w:pPr>
      <w:r w:rsidRPr="00746A45">
        <w:rPr>
          <w:rFonts w:ascii="Times New Roman" w:hAnsi="Times New Roman" w:cs="Times New Roman"/>
          <w:i/>
          <w:iCs/>
          <w:sz w:val="24"/>
          <w:szCs w:val="28"/>
          <w:vertAlign w:val="superscript"/>
        </w:rPr>
        <w:t>1</w:t>
      </w:r>
      <w:r w:rsidRPr="00746A45">
        <w:rPr>
          <w:rFonts w:ascii="Times New Roman" w:hAnsi="Times New Roman" w:cs="Times New Roman"/>
          <w:i/>
          <w:iCs/>
          <w:sz w:val="24"/>
          <w:szCs w:val="28"/>
        </w:rPr>
        <w:t>School of Electronics and Communication, Guangdong Mechanical and Electrical</w:t>
      </w:r>
      <w:r>
        <w:rPr>
          <w:rFonts w:ascii="Times New Roman" w:hAnsi="Times New Roman" w:cs="Times New Roman"/>
          <w:i/>
          <w:iCs/>
          <w:sz w:val="24"/>
          <w:szCs w:val="28"/>
        </w:rPr>
        <w:t xml:space="preserve"> Polytechnic</w:t>
      </w:r>
      <w:r>
        <w:rPr>
          <w:rFonts w:ascii="Times New Roman" w:hAnsi="Times New Roman" w:cs="Times New Roman"/>
          <w:sz w:val="24"/>
          <w:szCs w:val="28"/>
        </w:rPr>
        <w:t>,</w:t>
      </w:r>
      <w:r w:rsidRPr="00746A45">
        <w:rPr>
          <w:rFonts w:ascii="Times New Roman" w:hAnsi="Times New Roman" w:cs="Times New Roman"/>
          <w:i/>
          <w:iCs/>
          <w:sz w:val="24"/>
          <w:szCs w:val="28"/>
        </w:rPr>
        <w:t xml:space="preserve"> Guangzhou</w:t>
      </w:r>
      <w:r>
        <w:rPr>
          <w:rFonts w:ascii="Times New Roman" w:hAnsi="Times New Roman" w:cs="Times New Roman"/>
          <w:i/>
          <w:iCs/>
          <w:sz w:val="24"/>
          <w:szCs w:val="28"/>
        </w:rPr>
        <w:t xml:space="preserve"> </w:t>
      </w:r>
      <w:r w:rsidRPr="00746A45">
        <w:rPr>
          <w:rFonts w:ascii="Times New Roman" w:hAnsi="Times New Roman" w:cs="Times New Roman"/>
          <w:i/>
          <w:iCs/>
          <w:sz w:val="24"/>
          <w:szCs w:val="28"/>
        </w:rPr>
        <w:t>510550</w:t>
      </w:r>
      <w:r>
        <w:rPr>
          <w:rFonts w:ascii="Times New Roman" w:hAnsi="Times New Roman" w:cs="Times New Roman"/>
          <w:i/>
          <w:iCs/>
          <w:sz w:val="24"/>
          <w:szCs w:val="28"/>
        </w:rPr>
        <w:t>, China.</w:t>
      </w:r>
    </w:p>
    <w:p w14:paraId="7E0AC0B8" w14:textId="3A5B629B" w:rsidR="00CA42CF" w:rsidRDefault="00CA42CF" w:rsidP="00CA42CF">
      <w:pPr>
        <w:spacing w:line="360" w:lineRule="auto"/>
        <w:rPr>
          <w:rFonts w:ascii="Times New Roman" w:hAnsi="Times New Roman" w:cs="Times New Roman"/>
          <w:i/>
          <w:iCs/>
          <w:sz w:val="24"/>
          <w:szCs w:val="28"/>
        </w:rPr>
      </w:pPr>
      <w:r w:rsidRPr="00746A45">
        <w:rPr>
          <w:rFonts w:ascii="Times New Roman" w:hAnsi="Times New Roman" w:cs="Times New Roman"/>
          <w:i/>
          <w:iCs/>
          <w:sz w:val="24"/>
          <w:szCs w:val="28"/>
          <w:vertAlign w:val="superscript"/>
        </w:rPr>
        <w:t>*</w:t>
      </w:r>
      <w:r>
        <w:rPr>
          <w:rFonts w:ascii="Times New Roman" w:hAnsi="Times New Roman" w:cs="Times New Roman"/>
          <w:i/>
          <w:iCs/>
          <w:sz w:val="24"/>
          <w:szCs w:val="28"/>
        </w:rPr>
        <w:t>Corresponding author</w:t>
      </w:r>
    </w:p>
    <w:p w14:paraId="5EE2B244" w14:textId="39DDD25D" w:rsidR="00CA42CF" w:rsidRDefault="00CA42CF" w:rsidP="00CA42CF">
      <w:pPr>
        <w:spacing w:line="360" w:lineRule="auto"/>
        <w:rPr>
          <w:rFonts w:ascii="Times New Roman" w:hAnsi="Times New Roman" w:cs="Times New Roman"/>
          <w:sz w:val="24"/>
          <w:szCs w:val="28"/>
        </w:rPr>
      </w:pPr>
    </w:p>
    <w:p w14:paraId="2E5E9A5B" w14:textId="1AF406D5" w:rsidR="00CA42CF" w:rsidRDefault="00CA42CF" w:rsidP="00CA42CF">
      <w:pPr>
        <w:spacing w:line="360" w:lineRule="auto"/>
        <w:rPr>
          <w:rFonts w:ascii="Times New Roman" w:hAnsi="Times New Roman" w:cs="Times New Roman"/>
          <w:b/>
          <w:bCs/>
          <w:sz w:val="24"/>
          <w:szCs w:val="28"/>
        </w:rPr>
      </w:pPr>
      <w:r w:rsidRPr="008817DB">
        <w:rPr>
          <w:rFonts w:ascii="Times New Roman" w:hAnsi="Times New Roman" w:cs="Times New Roman"/>
          <w:b/>
          <w:bCs/>
          <w:sz w:val="24"/>
          <w:szCs w:val="28"/>
        </w:rPr>
        <w:t>S1. The bandstructures of hybrid coupled-grating system without 100nm-thick gold film</w:t>
      </w:r>
    </w:p>
    <w:p w14:paraId="5FBE91D1" w14:textId="0C7B49A4" w:rsidR="008817DB" w:rsidRDefault="00C56A45" w:rsidP="00CA42CF">
      <w:pPr>
        <w:spacing w:line="360" w:lineRule="auto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noProof/>
          <w:sz w:val="24"/>
          <w:szCs w:val="28"/>
        </w:rPr>
        <w:drawing>
          <wp:inline distT="0" distB="0" distL="0" distR="0" wp14:anchorId="11A96D36" wp14:editId="1D58F1BB">
            <wp:extent cx="5278570" cy="3345296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8644" cy="33580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0C4D80A" w14:textId="3A727034" w:rsidR="00C56A45" w:rsidRPr="002B2A57" w:rsidRDefault="00C56A45" w:rsidP="00CA42CF">
      <w:pPr>
        <w:spacing w:line="360" w:lineRule="auto"/>
        <w:rPr>
          <w:rFonts w:ascii="Times New Roman" w:hAnsi="Times New Roman" w:cs="Times New Roman"/>
          <w:sz w:val="22"/>
          <w:szCs w:val="24"/>
        </w:rPr>
      </w:pPr>
      <w:r w:rsidRPr="002B2A57">
        <w:rPr>
          <w:rFonts w:ascii="Times New Roman" w:hAnsi="Times New Roman" w:cs="Times New Roman" w:hint="eastAsia"/>
          <w:sz w:val="22"/>
          <w:szCs w:val="24"/>
        </w:rPr>
        <w:t>F</w:t>
      </w:r>
      <w:r w:rsidRPr="002B2A57">
        <w:rPr>
          <w:rFonts w:ascii="Times New Roman" w:hAnsi="Times New Roman" w:cs="Times New Roman"/>
          <w:sz w:val="22"/>
          <w:szCs w:val="24"/>
        </w:rPr>
        <w:t xml:space="preserve">igure. S1 </w:t>
      </w:r>
      <w:r w:rsidR="002B2A57">
        <w:rPr>
          <w:rFonts w:ascii="Times New Roman" w:hAnsi="Times New Roman" w:cs="Times New Roman"/>
          <w:sz w:val="22"/>
          <w:szCs w:val="24"/>
        </w:rPr>
        <w:t>The</w:t>
      </w:r>
      <w:r w:rsidRPr="002B2A57">
        <w:rPr>
          <w:rFonts w:ascii="Times New Roman" w:hAnsi="Times New Roman" w:cs="Times New Roman"/>
          <w:sz w:val="22"/>
          <w:szCs w:val="24"/>
        </w:rPr>
        <w:t xml:space="preserve"> schematic of </w:t>
      </w:r>
      <w:r w:rsidR="002B2A57" w:rsidRPr="002B2A57">
        <w:rPr>
          <w:rFonts w:ascii="Times New Roman" w:hAnsi="Times New Roman" w:cs="Times New Roman"/>
          <w:sz w:val="22"/>
          <w:szCs w:val="24"/>
        </w:rPr>
        <w:t>hybrid coupled-grating system. The gold film is not taken into consideration here.</w:t>
      </w:r>
    </w:p>
    <w:p w14:paraId="7FEA0F1B" w14:textId="470A3786" w:rsidR="00CA42CF" w:rsidRPr="00CA42CF" w:rsidRDefault="00CB5FA0" w:rsidP="00CA42CF">
      <w:pPr>
        <w:spacing w:line="36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noProof/>
          <w:sz w:val="24"/>
          <w:szCs w:val="28"/>
        </w:rPr>
        <w:lastRenderedPageBreak/>
        <w:drawing>
          <wp:inline distT="0" distB="0" distL="0" distR="0" wp14:anchorId="4AEC3FFC" wp14:editId="0407217A">
            <wp:extent cx="5301193" cy="2935605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5681" cy="29547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23A9D9D" w14:textId="7062B4DC" w:rsidR="008349C7" w:rsidRDefault="00AF26A6" w:rsidP="008349C7">
      <w:pPr>
        <w:rPr>
          <w:rFonts w:ascii="Times New Roman" w:hAnsi="Times New Roman" w:cs="Times New Roman"/>
        </w:rPr>
      </w:pPr>
      <w:r w:rsidRPr="00AF26A6">
        <w:rPr>
          <w:rFonts w:ascii="Times New Roman" w:hAnsi="Times New Roman" w:cs="Times New Roman"/>
        </w:rPr>
        <w:t>Figure S2. (a, d) and (b, e) The bandstructures and Q factors calculated with COMSOL Multiphysics, respectively.</w:t>
      </w:r>
      <w:r>
        <w:rPr>
          <w:rFonts w:ascii="Times New Roman" w:hAnsi="Times New Roman" w:cs="Times New Roman"/>
        </w:rPr>
        <w:t xml:space="preserve"> (c-f) are the electric field profiles at </w:t>
      </w:r>
      <w:r w:rsidRPr="00AF26A6">
        <w:rPr>
          <w:rFonts w:ascii="Times New Roman" w:hAnsi="Times New Roman" w:cs="Times New Roman"/>
          <w:i/>
          <w:iCs/>
        </w:rPr>
        <w:t>kx</w:t>
      </w:r>
      <w:r>
        <w:rPr>
          <w:rFonts w:ascii="Times New Roman" w:hAnsi="Times New Roman" w:cs="Times New Roman"/>
        </w:rPr>
        <w:t xml:space="preserve">=0. </w:t>
      </w:r>
    </w:p>
    <w:p w14:paraId="7FDF0128" w14:textId="4E34958A" w:rsidR="00CB5FA0" w:rsidRDefault="00AF26A6" w:rsidP="00CB5FA0">
      <w:pPr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Here, we study all-dielectric structure with the same geometrical parameters in the main text. Both have the similar bandstructures</w:t>
      </w:r>
      <w:r w:rsidR="00CB5FA0">
        <w:rPr>
          <w:rFonts w:ascii="Times New Roman" w:hAnsi="Times New Roman" w:cs="Times New Roman"/>
        </w:rPr>
        <w:t xml:space="preserve"> as shown in Fig S2(a, d)</w:t>
      </w:r>
      <w:r>
        <w:rPr>
          <w:rFonts w:ascii="Times New Roman" w:hAnsi="Times New Roman" w:cs="Times New Roman"/>
        </w:rPr>
        <w:t>. The two modes are degenerate at Γ point</w:t>
      </w:r>
      <w:r w:rsidR="00AE64CB">
        <w:rPr>
          <w:rFonts w:ascii="Times New Roman" w:hAnsi="Times New Roman" w:cs="Times New Roman"/>
        </w:rPr>
        <w:t xml:space="preserve"> and separate immediately once </w:t>
      </w:r>
      <w:r w:rsidR="00AE64CB" w:rsidRPr="00AE64CB">
        <w:rPr>
          <w:rFonts w:ascii="Times New Roman" w:hAnsi="Times New Roman" w:cs="Times New Roman"/>
        </w:rPr>
        <w:t xml:space="preserve">deviating </w:t>
      </w:r>
      <w:r w:rsidR="00AE64CB">
        <w:rPr>
          <w:rFonts w:ascii="Times New Roman" w:hAnsi="Times New Roman" w:cs="Times New Roman"/>
        </w:rPr>
        <w:t>from the</w:t>
      </w:r>
      <w:r w:rsidR="00AE64CB" w:rsidRPr="00AE64CB">
        <w:rPr>
          <w:rFonts w:ascii="Times New Roman" w:hAnsi="Times New Roman" w:cs="Times New Roman"/>
        </w:rPr>
        <w:t xml:space="preserve"> </w:t>
      </w:r>
      <w:r w:rsidR="00AE64CB">
        <w:rPr>
          <w:rFonts w:ascii="Times New Roman" w:hAnsi="Times New Roman" w:cs="Times New Roman"/>
        </w:rPr>
        <w:t>Γ</w:t>
      </w:r>
      <w:r w:rsidR="00AE64CB" w:rsidRPr="00AE64CB">
        <w:rPr>
          <w:rFonts w:ascii="Times New Roman" w:hAnsi="Times New Roman" w:cs="Times New Roman"/>
        </w:rPr>
        <w:t xml:space="preserve"> point</w:t>
      </w:r>
      <w:r w:rsidR="00AE64CB">
        <w:rPr>
          <w:rFonts w:ascii="Times New Roman" w:hAnsi="Times New Roman" w:cs="Times New Roman"/>
        </w:rPr>
        <w:t>. The Q factor of BIC reaches to infinite with a low Q leaky mode</w:t>
      </w:r>
      <w:r w:rsidR="00CB5FA0" w:rsidRPr="00CB5FA0">
        <w:t xml:space="preserve"> </w:t>
      </w:r>
      <w:r w:rsidR="00CB5FA0" w:rsidRPr="00CB5FA0">
        <w:rPr>
          <w:rFonts w:ascii="Times New Roman" w:hAnsi="Times New Roman" w:cs="Times New Roman"/>
        </w:rPr>
        <w:t>as shown in Fig S2(</w:t>
      </w:r>
      <w:r w:rsidR="00CB5FA0">
        <w:rPr>
          <w:rFonts w:ascii="Times New Roman" w:hAnsi="Times New Roman" w:cs="Times New Roman"/>
        </w:rPr>
        <w:t>b</w:t>
      </w:r>
      <w:r w:rsidR="00CB5FA0" w:rsidRPr="00CB5FA0">
        <w:rPr>
          <w:rFonts w:ascii="Times New Roman" w:hAnsi="Times New Roman" w:cs="Times New Roman"/>
        </w:rPr>
        <w:t xml:space="preserve">, </w:t>
      </w:r>
      <w:r w:rsidR="00CB5FA0">
        <w:rPr>
          <w:rFonts w:ascii="Times New Roman" w:hAnsi="Times New Roman" w:cs="Times New Roman"/>
        </w:rPr>
        <w:t>e</w:t>
      </w:r>
      <w:r w:rsidR="00CB5FA0" w:rsidRPr="00CB5FA0">
        <w:rPr>
          <w:rFonts w:ascii="Times New Roman" w:hAnsi="Times New Roman" w:cs="Times New Roman"/>
        </w:rPr>
        <w:t>)</w:t>
      </w:r>
      <w:r w:rsidR="00AE64CB">
        <w:rPr>
          <w:rFonts w:ascii="Times New Roman" w:hAnsi="Times New Roman" w:cs="Times New Roman"/>
        </w:rPr>
        <w:t>.</w:t>
      </w:r>
      <w:r w:rsidR="00AE64CB">
        <w:rPr>
          <w:rFonts w:ascii="Times New Roman" w:hAnsi="Times New Roman" w:cs="Times New Roman" w:hint="eastAsia"/>
        </w:rPr>
        <w:t xml:space="preserve"> </w:t>
      </w:r>
      <w:r w:rsidR="00AE64CB">
        <w:rPr>
          <w:rFonts w:ascii="Times New Roman" w:hAnsi="Times New Roman" w:cs="Times New Roman"/>
        </w:rPr>
        <w:t>However, both are located above the light cone, that is, the continuum. Therefore, it can be called quasi-BIC with finite Q factor.</w:t>
      </w:r>
      <w:r w:rsidR="00CB5FA0">
        <w:rPr>
          <w:rFonts w:ascii="Times New Roman" w:hAnsi="Times New Roman" w:cs="Times New Roman"/>
        </w:rPr>
        <w:t xml:space="preserve"> The electric field profiles at </w:t>
      </w:r>
      <w:r w:rsidR="00CB5FA0" w:rsidRPr="00CB5FA0">
        <w:rPr>
          <w:rFonts w:ascii="Times New Roman" w:hAnsi="Times New Roman" w:cs="Times New Roman"/>
        </w:rPr>
        <w:t>Γ point</w:t>
      </w:r>
      <w:r w:rsidR="00CB5FA0">
        <w:rPr>
          <w:rFonts w:ascii="Times New Roman" w:hAnsi="Times New Roman" w:cs="Times New Roman"/>
        </w:rPr>
        <w:t xml:space="preserve"> indicate that the modes supported by the all-dielectric structure is confined inside the LN material, which is also like that of the structure with 100nm-thick gold film.</w:t>
      </w:r>
    </w:p>
    <w:p w14:paraId="1CF9466C" w14:textId="14CA1A5A" w:rsidR="00CB5FA0" w:rsidRDefault="00CB5FA0" w:rsidP="00CB5FA0">
      <w:pPr>
        <w:spacing w:line="600" w:lineRule="auto"/>
        <w:rPr>
          <w:rFonts w:ascii="Times New Roman" w:hAnsi="Times New Roman" w:cs="Times New Roman"/>
          <w:b/>
          <w:bCs/>
          <w:sz w:val="24"/>
          <w:szCs w:val="28"/>
        </w:rPr>
      </w:pPr>
      <w:r w:rsidRPr="00CB5FA0">
        <w:rPr>
          <w:rFonts w:ascii="Times New Roman" w:hAnsi="Times New Roman" w:cs="Times New Roman" w:hint="eastAsia"/>
          <w:b/>
          <w:bCs/>
          <w:sz w:val="24"/>
          <w:szCs w:val="28"/>
        </w:rPr>
        <w:t>S</w:t>
      </w:r>
      <w:r w:rsidRPr="00CB5FA0">
        <w:rPr>
          <w:rFonts w:ascii="Times New Roman" w:hAnsi="Times New Roman" w:cs="Times New Roman"/>
          <w:b/>
          <w:bCs/>
          <w:sz w:val="24"/>
          <w:szCs w:val="28"/>
        </w:rPr>
        <w:t>2. The detailed comparison of reflectance spectra</w:t>
      </w:r>
      <w:r>
        <w:rPr>
          <w:rFonts w:ascii="Times New Roman" w:hAnsi="Times New Roman" w:cs="Times New Roman"/>
          <w:b/>
          <w:bCs/>
          <w:sz w:val="24"/>
          <w:szCs w:val="28"/>
        </w:rPr>
        <w:t>.</w:t>
      </w:r>
    </w:p>
    <w:p w14:paraId="2861B73A" w14:textId="10D6EB82" w:rsidR="00CB5FA0" w:rsidRDefault="00492100" w:rsidP="00492100">
      <w:pPr>
        <w:spacing w:line="600" w:lineRule="auto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noProof/>
          <w:sz w:val="24"/>
          <w:szCs w:val="28"/>
        </w:rPr>
        <w:drawing>
          <wp:inline distT="0" distB="0" distL="0" distR="0" wp14:anchorId="2B557330" wp14:editId="6D848B0A">
            <wp:extent cx="3074913" cy="2560551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2016" cy="25664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0158ADB" w14:textId="49DEF453" w:rsidR="00492100" w:rsidRPr="00492100" w:rsidRDefault="00492100" w:rsidP="00492100">
      <w:pPr>
        <w:ind w:firstLineChars="200" w:firstLine="420"/>
        <w:rPr>
          <w:rFonts w:ascii="Times New Roman" w:hAnsi="Times New Roman" w:cs="Times New Roman"/>
        </w:rPr>
      </w:pPr>
      <w:r w:rsidRPr="00492100">
        <w:rPr>
          <w:rFonts w:ascii="Times New Roman" w:hAnsi="Times New Roman" w:cs="Times New Roman"/>
        </w:rPr>
        <w:t>Figure S3</w:t>
      </w:r>
      <w:r>
        <w:rPr>
          <w:rFonts w:ascii="Times New Roman" w:hAnsi="Times New Roman" w:cs="Times New Roman"/>
        </w:rPr>
        <w:t>. The reflectance spectra of the structure with 100nm-thick gold film (our proposed E-field sensor) and the all-dielectric structures. The simulation is carried out with TE-polarized normal incident light.</w:t>
      </w:r>
    </w:p>
    <w:p w14:paraId="4C727EE3" w14:textId="77777777" w:rsidR="00492100" w:rsidRPr="00CB5FA0" w:rsidRDefault="00492100" w:rsidP="00CB5FA0">
      <w:pPr>
        <w:spacing w:line="600" w:lineRule="auto"/>
        <w:rPr>
          <w:rFonts w:ascii="Times New Roman" w:hAnsi="Times New Roman" w:cs="Times New Roman"/>
          <w:b/>
          <w:bCs/>
          <w:sz w:val="24"/>
          <w:szCs w:val="28"/>
        </w:rPr>
      </w:pPr>
    </w:p>
    <w:sectPr w:rsidR="00492100" w:rsidRPr="00CB5F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9C7"/>
    <w:rsid w:val="002B2A57"/>
    <w:rsid w:val="00334CD1"/>
    <w:rsid w:val="003874D1"/>
    <w:rsid w:val="00492100"/>
    <w:rsid w:val="008349C7"/>
    <w:rsid w:val="00877AD2"/>
    <w:rsid w:val="008817DB"/>
    <w:rsid w:val="00AE64CB"/>
    <w:rsid w:val="00AF26A6"/>
    <w:rsid w:val="00C56A45"/>
    <w:rsid w:val="00CA42CF"/>
    <w:rsid w:val="00CB5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BBE684"/>
  <w15:chartTrackingRefBased/>
  <w15:docId w15:val="{E33E617C-B892-4347-9744-C6F5D5AB4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42CF"/>
    <w:pPr>
      <w:widowControl w:val="0"/>
      <w:jc w:val="both"/>
    </w:pPr>
  </w:style>
  <w:style w:type="paragraph" w:styleId="2">
    <w:name w:val="heading 2"/>
    <w:basedOn w:val="a"/>
    <w:next w:val="a"/>
    <w:link w:val="20"/>
    <w:uiPriority w:val="9"/>
    <w:unhideWhenUsed/>
    <w:qFormat/>
    <w:rsid w:val="008349C7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"/>
    <w:rsid w:val="008349C7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3">
    <w:name w:val="Subtitle"/>
    <w:basedOn w:val="a"/>
    <w:next w:val="a"/>
    <w:link w:val="a4"/>
    <w:uiPriority w:val="11"/>
    <w:qFormat/>
    <w:rsid w:val="00CA42CF"/>
    <w:pPr>
      <w:spacing w:before="240" w:after="60" w:line="312" w:lineRule="auto"/>
      <w:jc w:val="center"/>
      <w:outlineLvl w:val="1"/>
    </w:pPr>
    <w:rPr>
      <w:b/>
      <w:bCs/>
      <w:kern w:val="28"/>
      <w:sz w:val="32"/>
      <w:szCs w:val="32"/>
    </w:rPr>
  </w:style>
  <w:style w:type="character" w:customStyle="1" w:styleId="a4">
    <w:name w:val="副标题 字符"/>
    <w:basedOn w:val="a0"/>
    <w:link w:val="a3"/>
    <w:uiPriority w:val="11"/>
    <w:rsid w:val="00CA42CF"/>
    <w:rPr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253</Words>
  <Characters>1444</Characters>
  <Application>Microsoft Office Word</Application>
  <DocSecurity>0</DocSecurity>
  <Lines>12</Lines>
  <Paragraphs>3</Paragraphs>
  <ScaleCrop>false</ScaleCrop>
  <Company/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</dc:creator>
  <cp:keywords/>
  <dc:description/>
  <cp:lastModifiedBy>huangzhijin2019@163.com</cp:lastModifiedBy>
  <cp:revision>3</cp:revision>
  <dcterms:created xsi:type="dcterms:W3CDTF">2022-12-15T02:38:00Z</dcterms:created>
  <dcterms:modified xsi:type="dcterms:W3CDTF">2023-01-29T15:14:00Z</dcterms:modified>
</cp:coreProperties>
</file>