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autoSpaceDE w:val="0"/>
        <w:autoSpaceDN w:val="0"/>
        <w:adjustRightInd w:val="0"/>
        <w:spacing w:before="156" w:beforeLines="50" w:after="156" w:afterLines="50" w:line="276" w:lineRule="auto"/>
        <w:rPr>
          <w:rFonts w:ascii="Arial" w:hAnsi="Arial" w:eastAsia="宋体" w:cs="Arial"/>
          <w:color w:val="000000"/>
          <w:kern w:val="0"/>
          <w:sz w:val="24"/>
          <w:szCs w:val="24"/>
          <w:u w:color="000000"/>
        </w:rPr>
      </w:pPr>
      <w:r>
        <w:rPr>
          <w:rFonts w:ascii="Arial" w:hAnsi="Arial" w:eastAsia="宋体" w:cs="Arial"/>
          <w:b/>
          <w:bCs/>
          <w:color w:val="000000"/>
          <w:sz w:val="24"/>
          <w:szCs w:val="24"/>
          <w:u w:color="000000"/>
        </w:rPr>
        <w:t>Additional file 1</w:t>
      </w:r>
      <w:r>
        <w:rPr>
          <w:rFonts w:hint="eastAsia" w:ascii="Arial" w:hAnsi="Arial" w:eastAsia="宋体" w:cs="Arial"/>
          <w:b/>
          <w:bCs/>
          <w:color w:val="000000"/>
          <w:sz w:val="24"/>
          <w:szCs w:val="24"/>
          <w:u w:color="000000"/>
        </w:rPr>
        <w:t>:</w:t>
      </w:r>
      <w:r>
        <w:rPr>
          <w:rFonts w:ascii="Arial" w:hAnsi="Arial" w:eastAsia="宋体" w:cs="Arial"/>
          <w:b/>
          <w:bCs/>
          <w:color w:val="000000"/>
          <w:sz w:val="24"/>
          <w:szCs w:val="24"/>
          <w:u w:color="000000"/>
        </w:rPr>
        <w:t xml:space="preserve"> Figure S1. </w:t>
      </w:r>
      <w:r>
        <w:rPr>
          <w:rFonts w:ascii="Arial" w:hAnsi="Arial" w:eastAsia="宋体" w:cs="Arial"/>
          <w:color w:val="000000"/>
          <w:kern w:val="0"/>
          <w:sz w:val="24"/>
          <w:szCs w:val="24"/>
          <w:u w:color="000000"/>
        </w:rPr>
        <w:t xml:space="preserve">The structure of the two fragments used for silencing </w:t>
      </w:r>
      <w:r>
        <w:rPr>
          <w:rFonts w:ascii="Arial" w:hAnsi="Arial" w:eastAsia="宋体" w:cs="Arial"/>
          <w:i/>
          <w:color w:val="000000"/>
          <w:kern w:val="0"/>
          <w:sz w:val="24"/>
          <w:szCs w:val="24"/>
          <w:u w:color="000000"/>
        </w:rPr>
        <w:t>TaClpS1</w:t>
      </w:r>
      <w:r>
        <w:rPr>
          <w:rFonts w:ascii="Arial" w:hAnsi="Arial" w:eastAsia="宋体" w:cs="Arial"/>
          <w:color w:val="000000"/>
          <w:kern w:val="0"/>
          <w:sz w:val="24"/>
          <w:szCs w:val="24"/>
          <w:u w:color="000000"/>
        </w:rPr>
        <w:t>.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autoSpaceDE w:val="0"/>
        <w:autoSpaceDN w:val="0"/>
        <w:adjustRightInd w:val="0"/>
        <w:spacing w:before="156" w:beforeLines="50" w:after="156" w:afterLines="50" w:line="276" w:lineRule="auto"/>
        <w:jc w:val="center"/>
        <w:rPr>
          <w:rFonts w:ascii="Arial" w:hAnsi="Arial" w:eastAsia="宋体" w:cs="Arial"/>
          <w:color w:val="000000"/>
          <w:kern w:val="0"/>
          <w:sz w:val="24"/>
          <w:szCs w:val="24"/>
          <w:u w:color="000000"/>
        </w:rPr>
      </w:pPr>
      <w:r>
        <w:rPr>
          <w:rFonts w:ascii="Arial" w:hAnsi="Arial" w:eastAsia="宋体" w:cs="Arial"/>
          <w:color w:val="000000"/>
          <w:kern w:val="0"/>
          <w:sz w:val="24"/>
          <w:szCs w:val="24"/>
          <w:u w:color="000000"/>
        </w:rPr>
        <w:drawing>
          <wp:inline distT="0" distB="0" distL="0" distR="0">
            <wp:extent cx="5274310" cy="1015365"/>
            <wp:effectExtent l="0" t="0" r="2540" b="0"/>
            <wp:docPr id="1" name="图片 1" descr="F:\学习\R\R6\47图片\yangqian-TaClpS1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:\学习\R\R6\47图片\yangqian-TaClpS1\Figure S1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15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Arial" w:hAnsi="Arial" w:eastAsia="宋体" w:cs="Arial"/>
          <w:color w:val="000000"/>
          <w:kern w:val="0"/>
          <w:sz w:val="24"/>
          <w:szCs w:val="24"/>
          <w:u w:color="000000"/>
        </w:rPr>
      </w:pPr>
      <w:r>
        <w:rPr>
          <w:rFonts w:ascii="Arial" w:hAnsi="Arial" w:eastAsia="宋体" w:cs="Arial"/>
          <w:b/>
          <w:bCs/>
          <w:color w:val="000000"/>
          <w:sz w:val="24"/>
          <w:szCs w:val="24"/>
          <w:u w:color="000000"/>
        </w:rPr>
        <w:t>Additional file 2</w:t>
      </w:r>
      <w:r>
        <w:rPr>
          <w:rFonts w:hint="eastAsia" w:ascii="Arial" w:hAnsi="Arial" w:eastAsia="宋体" w:cs="Arial"/>
          <w:b/>
          <w:bCs/>
          <w:color w:val="000000"/>
          <w:sz w:val="24"/>
          <w:szCs w:val="24"/>
          <w:u w:color="000000"/>
        </w:rPr>
        <w:t>:</w:t>
      </w:r>
      <w:r>
        <w:rPr>
          <w:rFonts w:ascii="Arial" w:hAnsi="Arial" w:eastAsia="宋体" w:cs="Arial"/>
          <w:b/>
          <w:bCs/>
          <w:color w:val="000000"/>
          <w:sz w:val="24"/>
          <w:szCs w:val="24"/>
          <w:u w:color="000000"/>
        </w:rPr>
        <w:t xml:space="preserve"> Table S1.</w:t>
      </w:r>
      <w:r>
        <w:rPr>
          <w:rFonts w:ascii="Arial" w:hAnsi="Arial" w:eastAsia="Times New Roman" w:cs="Arial"/>
          <w:b/>
          <w:color w:val="000000"/>
          <w:sz w:val="24"/>
          <w:szCs w:val="24"/>
          <w:u w:color="000000"/>
        </w:rPr>
        <w:t xml:space="preserve"> </w:t>
      </w:r>
      <w:r>
        <w:rPr>
          <w:rFonts w:ascii="Arial" w:hAnsi="Arial" w:eastAsia="宋体" w:cs="Arial"/>
          <w:color w:val="000000"/>
          <w:kern w:val="0"/>
          <w:sz w:val="24"/>
          <w:szCs w:val="24"/>
          <w:u w:color="000000"/>
        </w:rPr>
        <w:t>Primers used in this study.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4868"/>
        <w:gridCol w:w="40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761" w:type="dxa"/>
            <w:noWrap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Primers</w:t>
            </w:r>
          </w:p>
        </w:tc>
        <w:tc>
          <w:tcPr>
            <w:tcW w:w="4868" w:type="dxa"/>
            <w:noWrap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Sequence 5' to 3'</w:t>
            </w:r>
          </w:p>
        </w:tc>
        <w:tc>
          <w:tcPr>
            <w:tcW w:w="4053" w:type="dxa"/>
            <w:noWrap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use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761" w:type="dxa"/>
            <w:noWrap/>
            <w:vAlign w:val="center"/>
          </w:tcPr>
          <w:p>
            <w:pPr>
              <w:jc w:val="center"/>
            </w:pPr>
            <w:r>
              <w:t>TaEF-qRT-F</w:t>
            </w:r>
          </w:p>
        </w:tc>
        <w:tc>
          <w:tcPr>
            <w:tcW w:w="4868" w:type="dxa"/>
            <w:noWrap/>
            <w:vAlign w:val="center"/>
          </w:tcPr>
          <w:p>
            <w:pPr>
              <w:jc w:val="center"/>
            </w:pPr>
            <w:r>
              <w:t>TGGTGTCATCAAGCCTGGTATGGT</w:t>
            </w:r>
          </w:p>
        </w:tc>
        <w:tc>
          <w:tcPr>
            <w:tcW w:w="4053" w:type="dxa"/>
            <w:vMerge w:val="restart"/>
            <w:noWrap/>
            <w:vAlign w:val="center"/>
          </w:tcPr>
          <w:p>
            <w:pPr>
              <w:jc w:val="center"/>
            </w:pPr>
            <w:r>
              <w:t>qRT-PCR primer for internal control gene TaEF1-α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761" w:type="dxa"/>
            <w:noWrap/>
            <w:vAlign w:val="center"/>
          </w:tcPr>
          <w:p>
            <w:pPr>
              <w:jc w:val="center"/>
            </w:pPr>
            <w:r>
              <w:t>TaEF-qRT-R</w:t>
            </w:r>
          </w:p>
        </w:tc>
        <w:tc>
          <w:tcPr>
            <w:tcW w:w="4868" w:type="dxa"/>
            <w:noWrap/>
            <w:vAlign w:val="center"/>
          </w:tcPr>
          <w:p>
            <w:pPr>
              <w:jc w:val="center"/>
            </w:pPr>
            <w:r>
              <w:t>ACTCATGGTGCATCTCAACGGACT</w:t>
            </w:r>
          </w:p>
        </w:tc>
        <w:tc>
          <w:tcPr>
            <w:tcW w:w="405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761" w:type="dxa"/>
            <w:noWrap/>
            <w:vAlign w:val="center"/>
          </w:tcPr>
          <w:p>
            <w:pPr>
              <w:jc w:val="center"/>
            </w:pPr>
            <w:r>
              <w:t>qPCRTaClpS1-F</w:t>
            </w:r>
          </w:p>
        </w:tc>
        <w:tc>
          <w:tcPr>
            <w:tcW w:w="4868" w:type="dxa"/>
            <w:noWrap/>
            <w:vAlign w:val="center"/>
          </w:tcPr>
          <w:p>
            <w:pPr>
              <w:jc w:val="center"/>
            </w:pPr>
            <w:r>
              <w:t>CAATGACAATGAAAACAGGCG</w:t>
            </w:r>
          </w:p>
        </w:tc>
        <w:tc>
          <w:tcPr>
            <w:tcW w:w="4053" w:type="dxa"/>
            <w:vMerge w:val="restart"/>
            <w:noWrap/>
            <w:vAlign w:val="center"/>
          </w:tcPr>
          <w:p>
            <w:pPr>
              <w:jc w:val="center"/>
            </w:pPr>
            <w:r>
              <w:t>qRT-PCR assay for TaClpS1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761" w:type="dxa"/>
            <w:noWrap/>
            <w:vAlign w:val="center"/>
          </w:tcPr>
          <w:p>
            <w:pPr>
              <w:jc w:val="center"/>
            </w:pPr>
            <w:r>
              <w:t>qPCRTaClpS1-R</w:t>
            </w:r>
          </w:p>
        </w:tc>
        <w:tc>
          <w:tcPr>
            <w:tcW w:w="4868" w:type="dxa"/>
            <w:noWrap/>
            <w:vAlign w:val="center"/>
          </w:tcPr>
          <w:p>
            <w:pPr>
              <w:jc w:val="center"/>
            </w:pPr>
            <w:r>
              <w:t>TGCGAGCAGACAATAACTACT</w:t>
            </w:r>
          </w:p>
        </w:tc>
        <w:tc>
          <w:tcPr>
            <w:tcW w:w="405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761" w:type="dxa"/>
            <w:noWrap/>
            <w:vAlign w:val="center"/>
          </w:tcPr>
          <w:p>
            <w:pPr>
              <w:jc w:val="center"/>
            </w:pPr>
            <w:r>
              <w:t>qPCR-TaPR1-F</w:t>
            </w:r>
          </w:p>
        </w:tc>
        <w:tc>
          <w:tcPr>
            <w:tcW w:w="4868" w:type="dxa"/>
            <w:noWrap/>
            <w:vAlign w:val="center"/>
          </w:tcPr>
          <w:p>
            <w:pPr>
              <w:jc w:val="center"/>
            </w:pPr>
            <w:r>
              <w:t>GAGAATGCAGACGCCCAAGC</w:t>
            </w:r>
          </w:p>
        </w:tc>
        <w:tc>
          <w:tcPr>
            <w:tcW w:w="4053" w:type="dxa"/>
            <w:vMerge w:val="restart"/>
            <w:noWrap/>
            <w:vAlign w:val="center"/>
          </w:tcPr>
          <w:p>
            <w:pPr>
              <w:jc w:val="center"/>
            </w:pPr>
            <w:r>
              <w:t>qRT-PCR assay for TaPR1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761" w:type="dxa"/>
            <w:noWrap/>
            <w:vAlign w:val="center"/>
          </w:tcPr>
          <w:p>
            <w:pPr>
              <w:jc w:val="center"/>
            </w:pPr>
            <w:r>
              <w:t>qPCR-TaPR1-R</w:t>
            </w:r>
          </w:p>
        </w:tc>
        <w:tc>
          <w:tcPr>
            <w:tcW w:w="4868" w:type="dxa"/>
            <w:noWrap/>
            <w:vAlign w:val="center"/>
          </w:tcPr>
          <w:p>
            <w:pPr>
              <w:jc w:val="center"/>
            </w:pPr>
            <w:r>
              <w:t>CTGGAGCTTGCAGTCGTTGATC</w:t>
            </w:r>
          </w:p>
        </w:tc>
        <w:tc>
          <w:tcPr>
            <w:tcW w:w="405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761" w:type="dxa"/>
            <w:noWrap/>
            <w:vAlign w:val="center"/>
          </w:tcPr>
          <w:p>
            <w:pPr>
              <w:jc w:val="center"/>
            </w:pPr>
            <w:r>
              <w:t>qPCR-TaPR2-F</w:t>
            </w:r>
          </w:p>
        </w:tc>
        <w:tc>
          <w:tcPr>
            <w:tcW w:w="4868" w:type="dxa"/>
            <w:noWrap/>
            <w:vAlign w:val="center"/>
          </w:tcPr>
          <w:p>
            <w:pPr>
              <w:jc w:val="center"/>
            </w:pPr>
            <w:r>
              <w:t>AGGATGTTGCTTCCATGTTTGCCG</w:t>
            </w:r>
          </w:p>
        </w:tc>
        <w:tc>
          <w:tcPr>
            <w:tcW w:w="4053" w:type="dxa"/>
            <w:vMerge w:val="restart"/>
            <w:noWrap/>
            <w:vAlign w:val="center"/>
          </w:tcPr>
          <w:p>
            <w:pPr>
              <w:jc w:val="center"/>
            </w:pPr>
            <w:r>
              <w:t>qRT-PCR assay for TaPR2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761" w:type="dxa"/>
            <w:noWrap/>
            <w:vAlign w:val="center"/>
          </w:tcPr>
          <w:p>
            <w:pPr>
              <w:jc w:val="center"/>
            </w:pPr>
            <w:r>
              <w:t>qPCR-TaPR2-R</w:t>
            </w:r>
          </w:p>
        </w:tc>
        <w:tc>
          <w:tcPr>
            <w:tcW w:w="4868" w:type="dxa"/>
            <w:noWrap/>
            <w:vAlign w:val="center"/>
          </w:tcPr>
          <w:p>
            <w:pPr>
              <w:jc w:val="center"/>
            </w:pPr>
            <w:r>
              <w:t>AAGTAGATGCGCATGCCGTTGATG</w:t>
            </w:r>
          </w:p>
        </w:tc>
        <w:tc>
          <w:tcPr>
            <w:tcW w:w="405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761" w:type="dxa"/>
            <w:noWrap/>
            <w:vAlign w:val="center"/>
          </w:tcPr>
          <w:p>
            <w:pPr>
              <w:jc w:val="center"/>
            </w:pPr>
            <w:r>
              <w:t>TaClpS1-1as-F</w:t>
            </w:r>
          </w:p>
        </w:tc>
        <w:tc>
          <w:tcPr>
            <w:tcW w:w="4868" w:type="dxa"/>
            <w:noWrap/>
            <w:vAlign w:val="center"/>
          </w:tcPr>
          <w:p>
            <w:pPr>
              <w:jc w:val="center"/>
            </w:pPr>
            <w:r>
              <w:t>CTAGCTGATTAATTAAATGCTGCTAGGATGCTCCCCTG</w:t>
            </w:r>
          </w:p>
        </w:tc>
        <w:tc>
          <w:tcPr>
            <w:tcW w:w="4053" w:type="dxa"/>
            <w:vMerge w:val="restart"/>
            <w:noWrap/>
            <w:vAlign w:val="center"/>
          </w:tcPr>
          <w:p>
            <w:pPr>
              <w:jc w:val="center"/>
            </w:pPr>
            <w:r>
              <w:t>Construction of BSMV: TaClpS1-1as for BSMV silencing of TaClpS1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761" w:type="dxa"/>
            <w:noWrap/>
            <w:vAlign w:val="center"/>
          </w:tcPr>
          <w:p>
            <w:pPr>
              <w:jc w:val="center"/>
            </w:pPr>
            <w:r>
              <w:t>TaClpS1-1as-R</w:t>
            </w:r>
          </w:p>
        </w:tc>
        <w:tc>
          <w:tcPr>
            <w:tcW w:w="4868" w:type="dxa"/>
            <w:noWrap/>
            <w:vAlign w:val="center"/>
          </w:tcPr>
          <w:p>
            <w:pPr>
              <w:jc w:val="center"/>
            </w:pPr>
            <w:r>
              <w:t>CTAGCTGAGCGGCCGCTTTGTCTGTAGAAAGAACATGTA</w:t>
            </w:r>
          </w:p>
        </w:tc>
        <w:tc>
          <w:tcPr>
            <w:tcW w:w="405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761" w:type="dxa"/>
            <w:noWrap/>
            <w:vAlign w:val="center"/>
          </w:tcPr>
          <w:p>
            <w:pPr>
              <w:jc w:val="center"/>
            </w:pPr>
            <w:r>
              <w:t>TaClpS1-2as-F</w:t>
            </w:r>
          </w:p>
        </w:tc>
        <w:tc>
          <w:tcPr>
            <w:tcW w:w="4868" w:type="dxa"/>
            <w:noWrap/>
            <w:vAlign w:val="center"/>
          </w:tcPr>
          <w:p>
            <w:pPr>
              <w:jc w:val="center"/>
            </w:pPr>
            <w:r>
              <w:t>CTAGCTGATTAATTAACCCATTGTAATCACAGCAGCTGC</w:t>
            </w:r>
          </w:p>
        </w:tc>
        <w:tc>
          <w:tcPr>
            <w:tcW w:w="4053" w:type="dxa"/>
            <w:vMerge w:val="restart"/>
            <w:noWrap/>
            <w:vAlign w:val="center"/>
          </w:tcPr>
          <w:p>
            <w:pPr>
              <w:jc w:val="center"/>
            </w:pPr>
            <w:r>
              <w:t>Construction of BSMV: TaClpS1-2as for BSMV silencing of TaClpS1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761" w:type="dxa"/>
            <w:noWrap/>
            <w:vAlign w:val="center"/>
          </w:tcPr>
          <w:p>
            <w:pPr>
              <w:jc w:val="center"/>
            </w:pPr>
            <w:r>
              <w:t>TaClpS1-2as-R</w:t>
            </w:r>
          </w:p>
        </w:tc>
        <w:tc>
          <w:tcPr>
            <w:tcW w:w="4868" w:type="dxa"/>
            <w:noWrap/>
            <w:vAlign w:val="center"/>
          </w:tcPr>
          <w:p>
            <w:pPr>
              <w:jc w:val="center"/>
            </w:pPr>
            <w:r>
              <w:t>CTAGCTGAGCGGCCGCCCGGGATTTCTTCTTATCGAAT</w:t>
            </w:r>
          </w:p>
        </w:tc>
        <w:tc>
          <w:tcPr>
            <w:tcW w:w="405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761" w:type="dxa"/>
            <w:noWrap/>
            <w:vAlign w:val="center"/>
          </w:tcPr>
          <w:p>
            <w:pPr>
              <w:jc w:val="center"/>
            </w:pPr>
            <w:r>
              <w:t>TaClpS1-</w:t>
            </w:r>
            <w:r>
              <w:rPr>
                <w:rFonts w:hint="eastAsia"/>
                <w:lang w:val="en-US" w:eastAsia="zh-CN"/>
              </w:rPr>
              <w:t>486</w:t>
            </w:r>
            <w:r>
              <w:t>-F</w:t>
            </w:r>
          </w:p>
        </w:tc>
        <w:tc>
          <w:tcPr>
            <w:tcW w:w="4868" w:type="dxa"/>
            <w:noWrap/>
            <w:vAlign w:val="bottom"/>
          </w:tcPr>
          <w:p>
            <w:pPr>
              <w:jc w:val="center"/>
            </w:pPr>
            <w:r>
              <w:rPr>
                <w:rFonts w:hint="default"/>
                <w:lang w:val="en-US" w:eastAsia="zh-CN"/>
              </w:rPr>
              <w:t>CGCGGATCCATGCTGCTAGGATGCTCCCCT</w:t>
            </w:r>
          </w:p>
        </w:tc>
        <w:tc>
          <w:tcPr>
            <w:tcW w:w="4053" w:type="dxa"/>
            <w:vMerge w:val="restart"/>
            <w:noWrap/>
            <w:vAlign w:val="center"/>
          </w:tcPr>
          <w:p>
            <w:pPr>
              <w:jc w:val="center"/>
            </w:pPr>
            <w:r>
              <w:t xml:space="preserve">Construction of </w:t>
            </w:r>
            <w:r>
              <w:rPr>
                <w:rFonts w:hint="eastAsia"/>
                <w:lang w:val="en-US" w:eastAsia="zh-CN"/>
              </w:rPr>
              <w:t>pTF486</w:t>
            </w:r>
            <w:r>
              <w:t>-TaClpS1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761" w:type="dxa"/>
            <w:noWrap/>
            <w:vAlign w:val="center"/>
          </w:tcPr>
          <w:p>
            <w:pPr>
              <w:jc w:val="center"/>
            </w:pPr>
            <w:r>
              <w:t>TaClpS1-</w:t>
            </w:r>
            <w:r>
              <w:rPr>
                <w:rFonts w:hint="eastAsia"/>
                <w:lang w:val="en-US" w:eastAsia="zh-CN"/>
              </w:rPr>
              <w:t>486</w:t>
            </w:r>
            <w:r>
              <w:t>-R</w:t>
            </w:r>
          </w:p>
        </w:tc>
        <w:tc>
          <w:tcPr>
            <w:tcW w:w="4868" w:type="dxa"/>
            <w:noWrap/>
            <w:vAlign w:val="bottom"/>
          </w:tcPr>
          <w:p>
            <w:pPr>
              <w:jc w:val="center"/>
            </w:pPr>
            <w:r>
              <w:rPr>
                <w:rFonts w:hint="default"/>
                <w:lang w:val="en-US" w:eastAsia="zh-CN"/>
              </w:rPr>
              <w:t>CATGCCATGGGCAGCCACCACTTGCAGGT</w:t>
            </w:r>
          </w:p>
        </w:tc>
        <w:tc>
          <w:tcPr>
            <w:tcW w:w="405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761" w:type="dxa"/>
            <w:noWrap/>
            <w:vAlign w:val="center"/>
          </w:tcPr>
          <w:p>
            <w:pPr>
              <w:jc w:val="center"/>
            </w:pPr>
            <w:r>
              <w:t>TaClpS1-1302-F</w:t>
            </w:r>
          </w:p>
        </w:tc>
        <w:tc>
          <w:tcPr>
            <w:tcW w:w="4868" w:type="dxa"/>
            <w:noWrap/>
            <w:vAlign w:val="center"/>
          </w:tcPr>
          <w:p>
            <w:pPr>
              <w:jc w:val="center"/>
            </w:pPr>
            <w:r>
              <w:t>GTAGATCTGACTAGTATGCTGCTAGGATGCTCCCCT</w:t>
            </w:r>
          </w:p>
        </w:tc>
        <w:tc>
          <w:tcPr>
            <w:tcW w:w="4053" w:type="dxa"/>
            <w:vMerge w:val="restart"/>
            <w:noWrap/>
            <w:vAlign w:val="center"/>
          </w:tcPr>
          <w:p>
            <w:pPr>
              <w:jc w:val="center"/>
            </w:pPr>
            <w:r>
              <w:t xml:space="preserve">Construction of </w:t>
            </w:r>
            <w:r>
              <w:rPr>
                <w:rFonts w:hint="eastAsia"/>
                <w:lang w:val="en-US" w:eastAsia="zh-CN"/>
              </w:rPr>
              <w:t>pCAMBIA</w:t>
            </w:r>
            <w:r>
              <w:t>1302-TaClpS1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761" w:type="dxa"/>
            <w:noWrap/>
            <w:vAlign w:val="center"/>
          </w:tcPr>
          <w:p>
            <w:pPr>
              <w:jc w:val="center"/>
            </w:pPr>
            <w:r>
              <w:t>TaClpS1-1302-R</w:t>
            </w:r>
          </w:p>
        </w:tc>
        <w:tc>
          <w:tcPr>
            <w:tcW w:w="4868" w:type="dxa"/>
            <w:noWrap/>
            <w:vAlign w:val="center"/>
          </w:tcPr>
          <w:p>
            <w:pPr>
              <w:jc w:val="center"/>
            </w:pPr>
            <w:r>
              <w:t>GCTCACCATCCTAGGGCAGCCACCACTTGCAGGT</w:t>
            </w:r>
          </w:p>
        </w:tc>
        <w:tc>
          <w:tcPr>
            <w:tcW w:w="405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761" w:type="dxa"/>
            <w:noWrap/>
            <w:vAlign w:val="center"/>
          </w:tcPr>
          <w:p>
            <w:pPr>
              <w:jc w:val="center"/>
            </w:pPr>
            <w:r>
              <w:t>TaClpS1Δ-1302-F</w:t>
            </w:r>
          </w:p>
        </w:tc>
        <w:tc>
          <w:tcPr>
            <w:tcW w:w="4868" w:type="dxa"/>
            <w:noWrap/>
            <w:vAlign w:val="center"/>
          </w:tcPr>
          <w:p>
            <w:pPr>
              <w:jc w:val="center"/>
            </w:pPr>
            <w:r>
              <w:t>GTAGATCTGACTAGTATGTTCTTTCTACAGACAAATTT</w:t>
            </w:r>
          </w:p>
        </w:tc>
        <w:tc>
          <w:tcPr>
            <w:tcW w:w="4053" w:type="dxa"/>
            <w:vMerge w:val="restart"/>
            <w:noWrap/>
            <w:vAlign w:val="center"/>
          </w:tcPr>
          <w:p>
            <w:pPr>
              <w:jc w:val="center"/>
            </w:pPr>
            <w:r>
              <w:t xml:space="preserve">Construction of </w:t>
            </w:r>
            <w:r>
              <w:rPr>
                <w:rFonts w:hint="eastAsia"/>
                <w:lang w:val="en-US" w:eastAsia="zh-CN"/>
              </w:rPr>
              <w:t>pCAMBIA</w:t>
            </w:r>
            <w:r>
              <w:t>1302-TaClpS1Δ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761" w:type="dxa"/>
            <w:noWrap/>
            <w:vAlign w:val="center"/>
          </w:tcPr>
          <w:p>
            <w:pPr>
              <w:jc w:val="center"/>
            </w:pPr>
            <w:r>
              <w:t>TaClpS1Δ-1302-R</w:t>
            </w:r>
          </w:p>
        </w:tc>
        <w:tc>
          <w:tcPr>
            <w:tcW w:w="4868" w:type="dxa"/>
            <w:noWrap/>
            <w:vAlign w:val="center"/>
          </w:tcPr>
          <w:p>
            <w:pPr>
              <w:jc w:val="center"/>
            </w:pPr>
            <w:r>
              <w:t>GCTCACCATCCTAGGGCAGCCACCACTTGCAGGT</w:t>
            </w:r>
          </w:p>
        </w:tc>
        <w:tc>
          <w:tcPr>
            <w:tcW w:w="4053" w:type="dxa"/>
            <w:vMerge w:val="continue"/>
            <w:vAlign w:val="center"/>
          </w:tcPr>
          <w:p>
            <w:pPr>
              <w:jc w:val="center"/>
            </w:pPr>
          </w:p>
        </w:tc>
      </w:tr>
    </w:tbl>
    <w:p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6376"/>
    <w:rsid w:val="000856E2"/>
    <w:rsid w:val="00130D4A"/>
    <w:rsid w:val="002C6376"/>
    <w:rsid w:val="00AA164A"/>
    <w:rsid w:val="00DB68BE"/>
    <w:rsid w:val="00EE3B11"/>
    <w:rsid w:val="056E1D77"/>
    <w:rsid w:val="24B30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4"/>
    <w:uiPriority w:val="99"/>
    <w:rPr>
      <w:sz w:val="18"/>
      <w:szCs w:val="18"/>
    </w:rPr>
  </w:style>
  <w:style w:type="character" w:customStyle="1" w:styleId="9">
    <w:name w:val="页脚 Char"/>
    <w:basedOn w:val="7"/>
    <w:link w:val="3"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198</Words>
  <Characters>1133</Characters>
  <Lines>9</Lines>
  <Paragraphs>2</Paragraphs>
  <TotalTime>1</TotalTime>
  <ScaleCrop>false</ScaleCrop>
  <LinksUpToDate>false</LinksUpToDate>
  <CharactersWithSpaces>1329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2020-04-27T05:15:00Z</dcterms:created>
  <dc:creator>acer</dc:creator>
  <cp:lastModifiedBy>acer</cp:lastModifiedBy>
  <dcterms:modified xsi:type="dcterms:W3CDTF">2020-04-30T05:17:43Z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