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Times New Roman" w:cs="Times New Roman"/>
          <w:b w:val="0"/>
          <w:bCs w:val="0"/>
          <w:color w:val="000000"/>
          <w:sz w:val="20"/>
          <w:szCs w:val="20"/>
          <w:highlight w:val="none"/>
          <w:lang w:val="en-US" w:eastAsia="zh-CN" w:bidi="en-US"/>
        </w:rPr>
      </w:pPr>
      <w:bookmarkStart w:id="0" w:name="_GoBack"/>
      <w:bookmarkEnd w:id="0"/>
      <w:r>
        <w:rPr>
          <w:rFonts w:hint="default" w:ascii="Times New Roman" w:hAnsi="Times New Roman" w:eastAsia="Times New Roman" w:cs="Times New Roman"/>
          <w:b/>
          <w:bCs/>
          <w:color w:val="000000"/>
          <w:sz w:val="20"/>
          <w:szCs w:val="20"/>
          <w:highlight w:val="none"/>
          <w:lang w:val="en-US" w:eastAsia="de-DE" w:bidi="en-US"/>
        </w:rPr>
        <w:t>Tab</w:t>
      </w:r>
      <w:r>
        <w:rPr>
          <w:rFonts w:hint="default" w:ascii="Times New Roman" w:hAnsi="Times New Roman" w:eastAsia="宋体" w:cs="Times New Roman"/>
          <w:b/>
          <w:bCs/>
          <w:color w:val="000000"/>
          <w:sz w:val="20"/>
          <w:szCs w:val="20"/>
          <w:highlight w:val="none"/>
          <w:lang w:val="en-US" w:eastAsia="zh-CN" w:bidi="en-US"/>
        </w:rPr>
        <w:t>.</w:t>
      </w:r>
      <w:r>
        <w:rPr>
          <w:rFonts w:hint="default" w:ascii="Times New Roman" w:hAnsi="Times New Roman" w:eastAsia="Times New Roman" w:cs="Times New Roman"/>
          <w:b/>
          <w:bCs/>
          <w:color w:val="000000"/>
          <w:sz w:val="20"/>
          <w:szCs w:val="20"/>
          <w:highlight w:val="none"/>
          <w:lang w:val="en-US" w:eastAsia="de-DE" w:bidi="en-US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color w:val="000000"/>
          <w:sz w:val="20"/>
          <w:szCs w:val="20"/>
          <w:highlight w:val="none"/>
          <w:lang w:val="en-US" w:eastAsia="zh-CN" w:bidi="en-US"/>
        </w:rPr>
        <w:t>S1</w:t>
      </w:r>
      <w:r>
        <w:rPr>
          <w:rFonts w:hint="default" w:ascii="Times New Roman" w:hAnsi="Times New Roman" w:eastAsia="Times New Roman" w:cs="Times New Roman"/>
          <w:b/>
          <w:bCs/>
          <w:color w:val="000000"/>
          <w:sz w:val="20"/>
          <w:szCs w:val="20"/>
          <w:highlight w:val="none"/>
          <w:lang w:val="en-US" w:eastAsia="de-DE" w:bidi="en-US"/>
        </w:rPr>
        <w:t xml:space="preserve"> </w:t>
      </w:r>
      <w:r>
        <w:rPr>
          <w:rFonts w:hint="default" w:ascii="Times New Roman" w:hAnsi="Times New Roman" w:eastAsia="Times New Roman" w:cs="Times New Roman"/>
          <w:b w:val="0"/>
          <w:bCs w:val="0"/>
          <w:color w:val="000000"/>
          <w:sz w:val="20"/>
          <w:szCs w:val="20"/>
          <w:highlight w:val="none"/>
          <w:lang w:val="en-US" w:eastAsia="de-DE" w:bidi="en-US"/>
        </w:rPr>
        <w:t xml:space="preserve">Differentially expressed genes related to bacterial motility </w:t>
      </w:r>
      <w:r>
        <w:rPr>
          <w:rFonts w:hint="default" w:ascii="Times New Roman" w:hAnsi="Times New Roman" w:eastAsia="Times New Roman" w:cs="Times New Roman"/>
          <w:b w:val="0"/>
          <w:bCs w:val="0"/>
          <w:color w:val="000000"/>
          <w:sz w:val="20"/>
          <w:szCs w:val="20"/>
          <w:highlight w:val="none"/>
          <w:lang w:val="en-US" w:eastAsia="zh-CN" w:bidi="en-US"/>
        </w:rPr>
        <w:t>from</w:t>
      </w:r>
      <w:r>
        <w:rPr>
          <w:rFonts w:hint="default" w:ascii="Times New Roman" w:hAnsi="Times New Roman" w:eastAsia="Times New Roman" w:cs="Times New Roman"/>
          <w:b w:val="0"/>
          <w:bCs w:val="0"/>
          <w:color w:val="000000"/>
          <w:sz w:val="20"/>
          <w:szCs w:val="20"/>
          <w:highlight w:val="none"/>
          <w:lang w:val="en-US" w:eastAsia="de-DE" w:bidi="en-US"/>
        </w:rPr>
        <w:t xml:space="preserve"> KEGG pathway</w:t>
      </w:r>
      <w:r>
        <w:rPr>
          <w:rFonts w:hint="default" w:ascii="Times New Roman" w:hAnsi="Times New Roman" w:eastAsia="Times New Roman" w:cs="Times New Roman"/>
          <w:b w:val="0"/>
          <w:bCs w:val="0"/>
          <w:color w:val="000000"/>
          <w:sz w:val="20"/>
          <w:szCs w:val="20"/>
          <w:highlight w:val="none"/>
          <w:lang w:val="en-US" w:eastAsia="zh-CN" w:bidi="en-US"/>
        </w:rPr>
        <w:t>s</w:t>
      </w:r>
    </w:p>
    <w:tbl>
      <w:tblPr>
        <w:tblStyle w:val="4"/>
        <w:tblW w:w="13866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1004"/>
        <w:gridCol w:w="6081"/>
        <w:gridCol w:w="2019"/>
        <w:gridCol w:w="1673"/>
        <w:gridCol w:w="1728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highlight w:val="none"/>
                <w:lang w:val="en-US" w:eastAsia="zh-CN"/>
              </w:rPr>
              <w:t>Gene ID</w:t>
            </w:r>
          </w:p>
        </w:tc>
        <w:tc>
          <w:tcPr>
            <w:tcW w:w="1004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highlight w:val="none"/>
                <w:lang w:val="en-US" w:eastAsia="zh-CN"/>
              </w:rPr>
              <w:t>Gene</w:t>
            </w:r>
          </w:p>
        </w:tc>
        <w:tc>
          <w:tcPr>
            <w:tcW w:w="6081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highlight w:val="none"/>
                <w:lang w:val="en-US" w:eastAsia="zh-CN"/>
              </w:rPr>
              <w:t>Protein Function</w:t>
            </w:r>
          </w:p>
        </w:tc>
        <w:tc>
          <w:tcPr>
            <w:tcW w:w="2019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highlight w:val="none"/>
                <w:lang w:val="en-US" w:eastAsia="zh-CN"/>
              </w:rPr>
              <w:t>Log2 fold change</w:t>
            </w:r>
          </w:p>
        </w:tc>
        <w:tc>
          <w:tcPr>
            <w:tcW w:w="1673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0"/>
                <w:szCs w:val="20"/>
                <w:highlight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highlight w:val="none"/>
                <w:lang w:val="en-US" w:eastAsia="zh-CN"/>
              </w:rPr>
              <w:t>-value</w:t>
            </w:r>
          </w:p>
        </w:tc>
        <w:tc>
          <w:tcPr>
            <w:tcW w:w="172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highlight w:val="none"/>
                <w:lang w:val="en-US" w:eastAsia="zh-CN"/>
              </w:rPr>
              <w:t>Significant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866" w:type="dxa"/>
            <w:gridSpan w:val="6"/>
            <w:tcBorders>
              <w:top w:val="single" w:color="auto" w:sz="8" w:space="0"/>
            </w:tcBorders>
            <w:noWrap w:val="0"/>
            <w:vAlign w:val="center"/>
          </w:tcPr>
          <w:p>
            <w:pPr>
              <w:pStyle w:val="7"/>
              <w:bidi w:val="0"/>
              <w:jc w:val="lef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highlight w:val="none"/>
                <w:lang w:val="en-US" w:eastAsia="zh-CN"/>
              </w:rPr>
              <w:t>Bacterial chemotaxis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VP1628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methyl-accepting chemotaxis protein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-0.4921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0.018704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VP1892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methyl-accepting chemotaxis protein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-0.82761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2.16E-05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VP1904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methyl-accepting chemotaxis protein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-0.56608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0.0082365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VP2230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chemotaxis protein CheZ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-0.43187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0.048811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VP2248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highlight w:val="none"/>
                <w:lang w:val="en-US" w:eastAsia="zh-CN"/>
              </w:rPr>
              <w:t>fliG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flagellar motor switch protein G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-0.79604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0.00014531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VP2629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methyl-accepting chemotaxis protein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-0.566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0.020225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VPA1000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6081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methyl-accepting chemotaxis protein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-0.45491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0.023071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866" w:type="dxa"/>
            <w:gridSpan w:val="6"/>
            <w:noWrap w:val="0"/>
            <w:vAlign w:val="center"/>
          </w:tcPr>
          <w:p>
            <w:pPr>
              <w:pStyle w:val="7"/>
              <w:bidi w:val="0"/>
              <w:jc w:val="left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highlight w:val="none"/>
                <w:lang w:val="en-US" w:eastAsia="zh-CN"/>
              </w:rPr>
              <w:t>Flagellar assembly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VP0780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highlight w:val="none"/>
                <w:lang w:val="en-US" w:eastAsia="zh-CN"/>
              </w:rPr>
              <w:t>flgF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flagellar basal body rod protein FlgF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0.82525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0.0029964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VP2246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highlight w:val="none"/>
                <w:lang w:val="en-US" w:eastAsia="zh-CN"/>
              </w:rPr>
              <w:t>fliI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flagellum-specific ATP synthase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-0.49453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0.021258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61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VP2248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highlight w:val="none"/>
                <w:lang w:val="en-US" w:eastAsia="zh-CN"/>
              </w:rPr>
              <w:t>fliG</w:t>
            </w:r>
          </w:p>
        </w:tc>
        <w:tc>
          <w:tcPr>
            <w:tcW w:w="6081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flagellar motor switch protein G</w:t>
            </w:r>
          </w:p>
        </w:tc>
        <w:tc>
          <w:tcPr>
            <w:tcW w:w="2019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-0.79604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0.00014531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pStyle w:val="7"/>
              <w:bidi w:val="0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DOWN</w:t>
            </w:r>
          </w:p>
        </w:tc>
      </w:tr>
    </w:tbl>
    <w:p>
      <w:pPr>
        <w:spacing w:before="0" w:after="0"/>
        <w:rPr>
          <w:rFonts w:hint="default" w:ascii="Times New Roman" w:hAnsi="Times New Roman" w:cs="Times New Roman"/>
          <w:sz w:val="20"/>
          <w:szCs w:val="20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Cordia New">
    <w:panose1 w:val="020B0304020202020204"/>
    <w:charset w:val="DE"/>
    <w:family w:val="swiss"/>
    <w:pitch w:val="default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E57E4A"/>
    <w:rsid w:val="00067930"/>
    <w:rsid w:val="00DB33A1"/>
    <w:rsid w:val="04B114BA"/>
    <w:rsid w:val="0B5A4BCF"/>
    <w:rsid w:val="0CE57E4A"/>
    <w:rsid w:val="12867176"/>
    <w:rsid w:val="160846AC"/>
    <w:rsid w:val="180913CE"/>
    <w:rsid w:val="21E26732"/>
    <w:rsid w:val="245B49E6"/>
    <w:rsid w:val="245E1202"/>
    <w:rsid w:val="29C55AFC"/>
    <w:rsid w:val="2B8563EF"/>
    <w:rsid w:val="2F6756EE"/>
    <w:rsid w:val="3DD241AE"/>
    <w:rsid w:val="462B4A95"/>
    <w:rsid w:val="52893F00"/>
    <w:rsid w:val="56015D04"/>
    <w:rsid w:val="573F5638"/>
    <w:rsid w:val="5A0C03C6"/>
    <w:rsid w:val="612D7B72"/>
    <w:rsid w:val="64D36C71"/>
    <w:rsid w:val="655B4F75"/>
    <w:rsid w:val="6A3131BD"/>
    <w:rsid w:val="702C4719"/>
    <w:rsid w:val="73920E53"/>
    <w:rsid w:val="73AD00A0"/>
    <w:rsid w:val="7F0543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/>
    </w:pPr>
    <w:rPr>
      <w:rFonts w:ascii="Times New Roman" w:hAnsi="Times New Roman" w:eastAsia="Calibri" w:cs="Times New Roman"/>
      <w:sz w:val="24"/>
      <w:szCs w:val="22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MDPI_4.1_table_caption"/>
    <w:qFormat/>
    <w:uiPriority w:val="0"/>
    <w:pPr>
      <w:adjustRightInd w:val="0"/>
      <w:snapToGrid w:val="0"/>
      <w:spacing w:before="240" w:after="120" w:line="228" w:lineRule="auto"/>
      <w:ind w:left="2608"/>
    </w:pPr>
    <w:rPr>
      <w:rFonts w:ascii="Palatino Linotype" w:hAnsi="Palatino Linotype" w:eastAsia="Times New Roman" w:cs="Cordia New"/>
      <w:color w:val="000000"/>
      <w:sz w:val="18"/>
      <w:szCs w:val="22"/>
      <w:lang w:val="en-US" w:eastAsia="de-DE" w:bidi="en-US"/>
    </w:rPr>
  </w:style>
  <w:style w:type="paragraph" w:customStyle="1" w:styleId="7">
    <w:name w:val="MDPI_4.2_table_body"/>
    <w:qFormat/>
    <w:uiPriority w:val="0"/>
    <w:pPr>
      <w:adjustRightInd w:val="0"/>
      <w:snapToGrid w:val="0"/>
      <w:spacing w:line="260" w:lineRule="atLeast"/>
      <w:jc w:val="center"/>
    </w:pPr>
    <w:rPr>
      <w:rFonts w:ascii="Palatino Linotype" w:hAnsi="Palatino Linotype" w:eastAsia="Times New Roman" w:cs="Times New Roman"/>
      <w:snapToGrid w:val="0"/>
      <w:color w:val="000000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130</Words>
  <Characters>747</Characters>
  <Lines>6</Lines>
  <Paragraphs>1</Paragraphs>
  <TotalTime>0</TotalTime>
  <ScaleCrop>false</ScaleCrop>
  <LinksUpToDate>false</LinksUpToDate>
  <CharactersWithSpaces>876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2020-10-07T12:28:00Z</dcterms:created>
  <dc:creator>Administrator</dc:creator>
  <cp:lastModifiedBy>cy68</cp:lastModifiedBy>
  <dcterms:modified xsi:type="dcterms:W3CDTF">2021-02-19T07:04:47Z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