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9746D" w14:textId="77777777" w:rsidR="00AB494E" w:rsidRPr="0007047D" w:rsidRDefault="00C30BB2" w:rsidP="00270FA2">
      <w:pPr>
        <w:spacing w:line="480" w:lineRule="auto"/>
        <w:rPr>
          <w:rFonts w:ascii="Times New Roman" w:hAnsi="Times New Roman" w:cs="Times New Roman"/>
          <w:b/>
          <w:sz w:val="22"/>
        </w:rPr>
      </w:pPr>
      <w:r w:rsidRPr="0007047D">
        <w:rPr>
          <w:rFonts w:ascii="Times New Roman" w:hAnsi="Times New Roman" w:cs="Times New Roman"/>
          <w:b/>
          <w:sz w:val="22"/>
        </w:rPr>
        <w:t>Supplementary Methods</w:t>
      </w:r>
    </w:p>
    <w:p w14:paraId="5C897476" w14:textId="77777777" w:rsidR="00C30BB2" w:rsidRPr="0007047D" w:rsidRDefault="00C30BB2" w:rsidP="00270FA2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2"/>
        </w:rPr>
      </w:pPr>
    </w:p>
    <w:p w14:paraId="5C897477" w14:textId="1EF0DC64" w:rsidR="00C30BB2" w:rsidRPr="0007047D" w:rsidRDefault="00C30BB2" w:rsidP="00270FA2">
      <w:pPr>
        <w:spacing w:line="480" w:lineRule="auto"/>
        <w:contextualSpacing/>
        <w:rPr>
          <w:rFonts w:ascii="Times New Roman" w:hAnsi="Times New Roman" w:cs="Times New Roman"/>
          <w:b/>
          <w:color w:val="000000" w:themeColor="text1"/>
          <w:sz w:val="22"/>
        </w:rPr>
      </w:pPr>
      <w:r w:rsidRPr="0007047D">
        <w:rPr>
          <w:rFonts w:ascii="Times New Roman" w:hAnsi="Times New Roman" w:cs="Times New Roman"/>
          <w:b/>
          <w:color w:val="000000" w:themeColor="text1"/>
          <w:sz w:val="22"/>
        </w:rPr>
        <w:t xml:space="preserve">DNA constructs for clustered regularly interspaced short palindromic repeat (CRISPR)/CRISPR-associated 9 (Cas9) </w:t>
      </w:r>
      <w:proofErr w:type="gramStart"/>
      <w:r w:rsidRPr="0007047D">
        <w:rPr>
          <w:rFonts w:ascii="Times New Roman" w:hAnsi="Times New Roman" w:cs="Times New Roman"/>
          <w:b/>
          <w:color w:val="000000" w:themeColor="text1"/>
          <w:sz w:val="22"/>
        </w:rPr>
        <w:t>systems</w:t>
      </w:r>
      <w:proofErr w:type="gramEnd"/>
    </w:p>
    <w:p w14:paraId="5C897478" w14:textId="3B5A4B15" w:rsidR="00C30BB2" w:rsidRPr="0007047D" w:rsidRDefault="00C30BB2" w:rsidP="00270FA2">
      <w:pPr>
        <w:spacing w:line="480" w:lineRule="auto"/>
        <w:ind w:firstLine="880"/>
        <w:contextualSpacing/>
        <w:rPr>
          <w:rFonts w:ascii="Times New Roman" w:hAnsi="Times New Roman" w:cs="Times New Roman"/>
          <w:color w:val="000000" w:themeColor="text1"/>
          <w:sz w:val="22"/>
        </w:rPr>
      </w:pPr>
      <w:r w:rsidRPr="0007047D">
        <w:rPr>
          <w:rFonts w:ascii="Times New Roman" w:hAnsi="Times New Roman" w:cs="Times New Roman"/>
          <w:color w:val="000000" w:themeColor="text1"/>
          <w:sz w:val="22"/>
        </w:rPr>
        <w:t>We generated each expression vector as</w:t>
      </w:r>
      <w:r w:rsidR="00EB6DBC" w:rsidRPr="0007047D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07047D">
        <w:rPr>
          <w:rFonts w:ascii="Times New Roman" w:hAnsi="Times New Roman" w:cs="Times New Roman"/>
          <w:color w:val="000000" w:themeColor="text1"/>
          <w:sz w:val="22"/>
        </w:rPr>
        <w:t>in a previous study</w:t>
      </w:r>
      <w:r w:rsidR="00DE3FFA">
        <w:rPr>
          <w:rFonts w:ascii="Times New Roman" w:hAnsi="Times New Roman" w:cs="Times New Roman"/>
          <w:color w:val="000000" w:themeColor="text1"/>
          <w:sz w:val="22"/>
        </w:rPr>
        <w:fldChar w:fldCharType="begin">
          <w:fldData xml:space="preserve">PEVuZE5vdGU+PENpdGU+PEF1dGhvcj5MaTwvQXV0aG9yPjxZZWFyPjIwMTU8L1llYXI+PFJlY051
bT4yNTk4PC9SZWNOdW0+PERpc3BsYXlUZXh0PjxzdHlsZSBmYWNlPSJzdXBlcnNjcmlwdCI+MTwv
c3R5bGU+PC9EaXNwbGF5VGV4dD48cmVjb3JkPjxyZWMtbnVtYmVyPjI1OTg8L3JlYy1udW1iZXI+
PGZvcmVpZ24ta2V5cz48a2V5IGFwcD0iRU4iIGRiLWlkPSJkcjVhc3dhOWcyZXNwZGVhZDV6djV4
c3BmMnZ2OWU5dDJkc3oiIHRpbWVzdGFtcD0iMTY3Mjk4OTcwMiI+MjU5ODwva2V5PjwvZm9yZWln
bi1rZXlzPjxyZWYtdHlwZSBuYW1lPSJKb3VybmFsIEFydGljbGUiPjE3PC9yZWYtdHlwZT48Y29u
dHJpYnV0b3JzPjxhdXRob3JzPjxhdXRob3I+TGksIEguIEwuPC9hdXRob3I+PGF1dGhvcj5GdWpp
bW90bywgTi48L2F1dGhvcj48YXV0aG9yPlNhc2FrYXdhLCBOLjwvYXV0aG9yPjxhdXRob3I+U2hp
cmFpLCBTLjwvYXV0aG9yPjxhdXRob3I+T2hrYW1lLCBULjwvYXV0aG9yPjxhdXRob3I+U2FrdW1h
LCBULjwvYXV0aG9yPjxhdXRob3I+VGFuYWthLCBNLjwvYXV0aG9yPjxhdXRob3I+QW1hbm8sIE4u
PC9hdXRob3I+PGF1dGhvcj5XYXRhbmFiZSwgQS48L2F1dGhvcj48YXV0aG9yPlNha3VyYWksIEgu
PC9hdXRob3I+PGF1dGhvcj5ZYW1hbW90bywgVC48L2F1dGhvcj48YXV0aG9yPllhbWFuYWthLCBT
LjwvYXV0aG9yPjxhdXRob3I+SG90dGEsIEEuPC9hdXRob3I+PC9hdXRob3JzPjwvY29udHJpYnV0
b3JzPjxhdXRoLWFkZHJlc3M+S3lvdG8gVW5pdiwgQ3RyIGlQUyBDZWxsIFJlcyAmYW1wOyBBcHBs
aWNhdCwgS3lvdG8gNjA2ODUwNywgSmFwYW4mI3hEO0t5b3RvIFVuaXYsIGlDZU1TLCBLeW90byA2
MDY4NTAxLCBKYXBhbiYjeEQ7SmFwYW4gU2NpICZhbXA7IFRlY2hub2wgQWdjeSwgUFJFU1RPLCBL
YXdhZ3VjaGksIFNhaXRhbWEgMzMyMDAxMiwgSmFwYW4mI3hEO0hpcm9zaGltYSBVbml2LCBHcmFk
IFNjaCBTY2ksIERlcHQgTWF0aCAmYW1wOyBMaWZlIFNjaSwgSGlnYXNoaWhpcm9zaGltYSA3Mzk4
NTI2LCBKYXBhbiYjeEQ7R2xhZHN0b25lIEluc3QgQ2FyZGlvdmFzYyBEaXMsIFNhbiBGcmFuY2lz
Y28sIENBIDk0MTU4IFVTQTwvYXV0aC1hZGRyZXNzPjx0aXRsZXM+PHRpdGxlPlByZWNpc2UgQ29y
cmVjdGlvbiBvZiB0aGUgRHlzdHJvcGhpbiBHZW5lIGluIER1Y2hlbm5lIE11c2N1bGFyIER5c3Ry
b3BoeSBQYXRpZW50IEluZHVjZWQgUGx1cmlwb3RlbnQgU3RlbSBDZWxscyBieSBUQUxFTiBhbmQg
Q1JJU1BSLUNhczk8L3RpdGxlPjxzZWNvbmRhcnktdGl0bGU+U3RlbSBDZWxsIFJlcG9ydHM8L3Nl
Y29uZGFyeS10aXRsZT48YWx0LXRpdGxlPlN0ZW0gQ2VsbCBSZXA8L2FsdC10aXRsZT48L3RpdGxl
cz48cGVyaW9kaWNhbD48ZnVsbC10aXRsZT5TdGVtIENlbGwgUmVwb3J0czwvZnVsbC10aXRsZT48
L3BlcmlvZGljYWw+PHBhZ2VzPjE0My0xNTQ8L3BhZ2VzPjx2b2x1bWU+NDwvdm9sdW1lPjxudW1i
ZXI+MTwvbnVtYmVyPjxrZXl3b3Jkcz48a2V5d29yZD5odW1hbiBpcHMgY2VsbHM8L2tleXdvcmQ+
PGtleXdvcmQ+cG9pbnQgbXV0YXRpb25zPC9rZXl3b3JkPjxrZXl3b3JkPnRhcmdldCBzaXRlczwv
a2V5d29yZD48a2V5d29yZD5kaXNlYXNlPC9rZXl3b3JkPjxrZXl3b3JkPm51Y2xlYXNlczwva2V5
d29yZD48a2V5d29yZD5jYXM5PC9rZXl3b3JkPjxrZXl3b3JkPkROQTwva2V5d29yZD48a2V5d29y
ZD50cmFuc3BsYW50YXRpb248L2tleXdvcmQ+PGtleXdvcmQ+ZW5kb251Y2xlYXNlczwva2V5d29y
ZD48a2V5d29yZD5nZW5lcmF0aW9uPC9rZXl3b3JkPjwva2V5d29yZHM+PGRhdGVzPjx5ZWFyPjIw
MTU8L3llYXI+PHB1Yi1kYXRlcz48ZGF0ZT5KYW4gMTM8L2RhdGU+PC9wdWItZGF0ZXM+PC9kYXRl
cz48aXNibj4yMjEzLTY3MTE8L2lzYm4+PGFjY2Vzc2lvbi1udW0+V09TOjAwMDM0ODAzNjgwMDAx
MzwvYWNjZXNzaW9uLW51bT48dXJscz48cmVsYXRlZC11cmxzPjx1cmw+Jmx0O0dvIHRvIElTSSZn
dDs6Ly9XT1M6MDAwMzQ4MDM2ODAwMDEzPC91cmw+PC9yZWxhdGVkLXVybHM+PC91cmxzPjxlbGVj
dHJvbmljLXJlc291cmNlLW51bT4xMC4xMDE2L2ouc3RlbWNyLjIwMTQuMTAuMDEzPC9lbGVjdHJv
bmljLXJlc291cmNlLW51bT48bGFuZ3VhZ2U+RW5nbGlzaDwvbGFuZ3VhZ2U+PC9yZWNvcmQ+PC9D
aXRlPjwvRW5kTm90ZT5=
</w:fldData>
        </w:fldChar>
      </w:r>
      <w:r w:rsidR="00DE3FFA">
        <w:rPr>
          <w:rFonts w:ascii="Times New Roman" w:hAnsi="Times New Roman" w:cs="Times New Roman"/>
          <w:color w:val="000000" w:themeColor="text1"/>
          <w:sz w:val="22"/>
        </w:rPr>
        <w:instrText xml:space="preserve"> ADDIN EN.CITE </w:instrText>
      </w:r>
      <w:r w:rsidR="00DE3FFA">
        <w:rPr>
          <w:rFonts w:ascii="Times New Roman" w:hAnsi="Times New Roman" w:cs="Times New Roman"/>
          <w:color w:val="000000" w:themeColor="text1"/>
          <w:sz w:val="22"/>
        </w:rPr>
        <w:fldChar w:fldCharType="begin">
          <w:fldData xml:space="preserve">PEVuZE5vdGU+PENpdGU+PEF1dGhvcj5MaTwvQXV0aG9yPjxZZWFyPjIwMTU8L1llYXI+PFJlY051
bT4yNTk4PC9SZWNOdW0+PERpc3BsYXlUZXh0PjxzdHlsZSBmYWNlPSJzdXBlcnNjcmlwdCI+MTwv
c3R5bGU+PC9EaXNwbGF5VGV4dD48cmVjb3JkPjxyZWMtbnVtYmVyPjI1OTg8L3JlYy1udW1iZXI+
PGZvcmVpZ24ta2V5cz48a2V5IGFwcD0iRU4iIGRiLWlkPSJkcjVhc3dhOWcyZXNwZGVhZDV6djV4
c3BmMnZ2OWU5dDJkc3oiIHRpbWVzdGFtcD0iMTY3Mjk4OTcwMiI+MjU5ODwva2V5PjwvZm9yZWln
bi1rZXlzPjxyZWYtdHlwZSBuYW1lPSJKb3VybmFsIEFydGljbGUiPjE3PC9yZWYtdHlwZT48Y29u
dHJpYnV0b3JzPjxhdXRob3JzPjxhdXRob3I+TGksIEguIEwuPC9hdXRob3I+PGF1dGhvcj5GdWpp
bW90bywgTi48L2F1dGhvcj48YXV0aG9yPlNhc2FrYXdhLCBOLjwvYXV0aG9yPjxhdXRob3I+U2hp
cmFpLCBTLjwvYXV0aG9yPjxhdXRob3I+T2hrYW1lLCBULjwvYXV0aG9yPjxhdXRob3I+U2FrdW1h
LCBULjwvYXV0aG9yPjxhdXRob3I+VGFuYWthLCBNLjwvYXV0aG9yPjxhdXRob3I+QW1hbm8sIE4u
PC9hdXRob3I+PGF1dGhvcj5XYXRhbmFiZSwgQS48L2F1dGhvcj48YXV0aG9yPlNha3VyYWksIEgu
PC9hdXRob3I+PGF1dGhvcj5ZYW1hbW90bywgVC48L2F1dGhvcj48YXV0aG9yPllhbWFuYWthLCBT
LjwvYXV0aG9yPjxhdXRob3I+SG90dGEsIEEuPC9hdXRob3I+PC9hdXRob3JzPjwvY29udHJpYnV0
b3JzPjxhdXRoLWFkZHJlc3M+S3lvdG8gVW5pdiwgQ3RyIGlQUyBDZWxsIFJlcyAmYW1wOyBBcHBs
aWNhdCwgS3lvdG8gNjA2ODUwNywgSmFwYW4mI3hEO0t5b3RvIFVuaXYsIGlDZU1TLCBLeW90byA2
MDY4NTAxLCBKYXBhbiYjeEQ7SmFwYW4gU2NpICZhbXA7IFRlY2hub2wgQWdjeSwgUFJFU1RPLCBL
YXdhZ3VjaGksIFNhaXRhbWEgMzMyMDAxMiwgSmFwYW4mI3hEO0hpcm9zaGltYSBVbml2LCBHcmFk
IFNjaCBTY2ksIERlcHQgTWF0aCAmYW1wOyBMaWZlIFNjaSwgSGlnYXNoaWhpcm9zaGltYSA3Mzk4
NTI2LCBKYXBhbiYjeEQ7R2xhZHN0b25lIEluc3QgQ2FyZGlvdmFzYyBEaXMsIFNhbiBGcmFuY2lz
Y28sIENBIDk0MTU4IFVTQTwvYXV0aC1hZGRyZXNzPjx0aXRsZXM+PHRpdGxlPlByZWNpc2UgQ29y
cmVjdGlvbiBvZiB0aGUgRHlzdHJvcGhpbiBHZW5lIGluIER1Y2hlbm5lIE11c2N1bGFyIER5c3Ry
b3BoeSBQYXRpZW50IEluZHVjZWQgUGx1cmlwb3RlbnQgU3RlbSBDZWxscyBieSBUQUxFTiBhbmQg
Q1JJU1BSLUNhczk8L3RpdGxlPjxzZWNvbmRhcnktdGl0bGU+U3RlbSBDZWxsIFJlcG9ydHM8L3Nl
Y29uZGFyeS10aXRsZT48YWx0LXRpdGxlPlN0ZW0gQ2VsbCBSZXA8L2FsdC10aXRsZT48L3RpdGxl
cz48cGVyaW9kaWNhbD48ZnVsbC10aXRsZT5TdGVtIENlbGwgUmVwb3J0czwvZnVsbC10aXRsZT48
L3BlcmlvZGljYWw+PHBhZ2VzPjE0My0xNTQ8L3BhZ2VzPjx2b2x1bWU+NDwvdm9sdW1lPjxudW1i
ZXI+MTwvbnVtYmVyPjxrZXl3b3Jkcz48a2V5d29yZD5odW1hbiBpcHMgY2VsbHM8L2tleXdvcmQ+
PGtleXdvcmQ+cG9pbnQgbXV0YXRpb25zPC9rZXl3b3JkPjxrZXl3b3JkPnRhcmdldCBzaXRlczwv
a2V5d29yZD48a2V5d29yZD5kaXNlYXNlPC9rZXl3b3JkPjxrZXl3b3JkPm51Y2xlYXNlczwva2V5
d29yZD48a2V5d29yZD5jYXM5PC9rZXl3b3JkPjxrZXl3b3JkPkROQTwva2V5d29yZD48a2V5d29y
ZD50cmFuc3BsYW50YXRpb248L2tleXdvcmQ+PGtleXdvcmQ+ZW5kb251Y2xlYXNlczwva2V5d29y
ZD48a2V5d29yZD5nZW5lcmF0aW9uPC9rZXl3b3JkPjwva2V5d29yZHM+PGRhdGVzPjx5ZWFyPjIw
MTU8L3llYXI+PHB1Yi1kYXRlcz48ZGF0ZT5KYW4gMTM8L2RhdGU+PC9wdWItZGF0ZXM+PC9kYXRl
cz48aXNibj4yMjEzLTY3MTE8L2lzYm4+PGFjY2Vzc2lvbi1udW0+V09TOjAwMDM0ODAzNjgwMDAx
MzwvYWNjZXNzaW9uLW51bT48dXJscz48cmVsYXRlZC11cmxzPjx1cmw+Jmx0O0dvIHRvIElTSSZn
dDs6Ly9XT1M6MDAwMzQ4MDM2ODAwMDEzPC91cmw+PC9yZWxhdGVkLXVybHM+PC91cmxzPjxlbGVj
dHJvbmljLXJlc291cmNlLW51bT4xMC4xMDE2L2ouc3RlbWNyLjIwMTQuMTAuMDEzPC9lbGVjdHJv
bmljLXJlc291cmNlLW51bT48bGFuZ3VhZ2U+RW5nbGlzaDwvbGFuZ3VhZ2U+PC9yZWNvcmQ+PC9D
aXRlPjwvRW5kTm90ZT5=
</w:fldData>
        </w:fldChar>
      </w:r>
      <w:r w:rsidR="00DE3FFA">
        <w:rPr>
          <w:rFonts w:ascii="Times New Roman" w:hAnsi="Times New Roman" w:cs="Times New Roman"/>
          <w:color w:val="000000" w:themeColor="text1"/>
          <w:sz w:val="22"/>
        </w:rPr>
        <w:instrText xml:space="preserve"> ADDIN EN.CITE.DATA </w:instrText>
      </w:r>
      <w:r w:rsidR="00DE3FFA">
        <w:rPr>
          <w:rFonts w:ascii="Times New Roman" w:hAnsi="Times New Roman" w:cs="Times New Roman"/>
          <w:color w:val="000000" w:themeColor="text1"/>
          <w:sz w:val="22"/>
        </w:rPr>
      </w:r>
      <w:r w:rsidR="00DE3FFA">
        <w:rPr>
          <w:rFonts w:ascii="Times New Roman" w:hAnsi="Times New Roman" w:cs="Times New Roman"/>
          <w:color w:val="000000" w:themeColor="text1"/>
          <w:sz w:val="22"/>
        </w:rPr>
        <w:fldChar w:fldCharType="end"/>
      </w:r>
      <w:r w:rsidR="00DE3FFA">
        <w:rPr>
          <w:rFonts w:ascii="Times New Roman" w:hAnsi="Times New Roman" w:cs="Times New Roman"/>
          <w:color w:val="000000" w:themeColor="text1"/>
          <w:sz w:val="22"/>
        </w:rPr>
      </w:r>
      <w:r w:rsidR="00DE3FFA">
        <w:rPr>
          <w:rFonts w:ascii="Times New Roman" w:hAnsi="Times New Roman" w:cs="Times New Roman"/>
          <w:color w:val="000000" w:themeColor="text1"/>
          <w:sz w:val="22"/>
        </w:rPr>
        <w:fldChar w:fldCharType="separate"/>
      </w:r>
      <w:r w:rsidR="00DE3FFA" w:rsidRPr="00DE3FFA">
        <w:rPr>
          <w:rFonts w:ascii="Times New Roman" w:hAnsi="Times New Roman" w:cs="Times New Roman"/>
          <w:color w:val="000000" w:themeColor="text1"/>
          <w:sz w:val="22"/>
          <w:vertAlign w:val="superscript"/>
        </w:rPr>
        <w:t>1</w:t>
      </w:r>
      <w:r w:rsidR="00DE3FFA">
        <w:rPr>
          <w:rFonts w:ascii="Times New Roman" w:hAnsi="Times New Roman" w:cs="Times New Roman"/>
          <w:color w:val="000000" w:themeColor="text1"/>
          <w:sz w:val="22"/>
        </w:rPr>
        <w:fldChar w:fldCharType="end"/>
      </w:r>
      <w:r w:rsidRPr="0007047D">
        <w:rPr>
          <w:rFonts w:ascii="Times New Roman" w:hAnsi="Times New Roman" w:cs="Times New Roman"/>
          <w:color w:val="000000" w:themeColor="text1"/>
          <w:sz w:val="22"/>
        </w:rPr>
        <w:t xml:space="preserve">. A Cas9 expression vector (pHL-EF1α-SphcCas9-iP) with a puromycin-resistant cassette was obtained from Addgene (ID: 60599). To construct sgRNA expression vectors, two oligos containing the sgRNA target site and a universal reverse primer (Supplementary Table </w:t>
      </w:r>
      <w:r w:rsidR="000739E3">
        <w:rPr>
          <w:rFonts w:ascii="Times New Roman" w:hAnsi="Times New Roman" w:cs="Times New Roman"/>
          <w:color w:val="000000" w:themeColor="text1"/>
          <w:sz w:val="22"/>
        </w:rPr>
        <w:t>3</w:t>
      </w:r>
      <w:r w:rsidRPr="0007047D">
        <w:rPr>
          <w:rFonts w:ascii="Times New Roman" w:hAnsi="Times New Roman" w:cs="Times New Roman"/>
          <w:color w:val="000000" w:themeColor="text1"/>
          <w:sz w:val="22"/>
        </w:rPr>
        <w:t xml:space="preserve">) were amplified </w:t>
      </w:r>
      <w:r w:rsidR="003C7930">
        <w:rPr>
          <w:rFonts w:ascii="Times New Roman" w:hAnsi="Times New Roman" w:cs="Times New Roman"/>
          <w:color w:val="000000" w:themeColor="text1"/>
          <w:sz w:val="22"/>
        </w:rPr>
        <w:t>using polymerase chain reaction</w:t>
      </w:r>
      <w:r w:rsidR="003C7930" w:rsidRPr="0007047D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07047D">
        <w:rPr>
          <w:rFonts w:ascii="Times New Roman" w:hAnsi="Times New Roman" w:cs="Times New Roman"/>
          <w:color w:val="000000" w:themeColor="text1"/>
          <w:sz w:val="22"/>
        </w:rPr>
        <w:t xml:space="preserve">and cloned into the BamHI-EcoRI site of the pHL-H1-ccdB-mEF1α-RiH vector (Addgene ID: 60601) with </w:t>
      </w:r>
      <w:proofErr w:type="gramStart"/>
      <w:r w:rsidRPr="0007047D">
        <w:rPr>
          <w:rFonts w:ascii="Times New Roman" w:hAnsi="Times New Roman" w:cs="Times New Roman"/>
          <w:color w:val="000000" w:themeColor="text1"/>
          <w:sz w:val="22"/>
        </w:rPr>
        <w:t>a</w:t>
      </w:r>
      <w:proofErr w:type="gramEnd"/>
      <w:r w:rsidRPr="0007047D">
        <w:rPr>
          <w:rFonts w:ascii="Times New Roman" w:hAnsi="Times New Roman" w:cs="Times New Roman"/>
          <w:color w:val="000000" w:themeColor="text1"/>
          <w:sz w:val="22"/>
        </w:rPr>
        <w:t xml:space="preserve"> RFP cassette. All procedures were conducted </w:t>
      </w:r>
      <w:r w:rsidR="003C7930">
        <w:rPr>
          <w:rFonts w:ascii="Times New Roman" w:hAnsi="Times New Roman" w:cs="Times New Roman"/>
          <w:color w:val="000000" w:themeColor="text1"/>
          <w:sz w:val="22"/>
        </w:rPr>
        <w:t>according to</w:t>
      </w:r>
      <w:r w:rsidRPr="0007047D">
        <w:rPr>
          <w:rFonts w:ascii="Times New Roman" w:hAnsi="Times New Roman" w:cs="Times New Roman"/>
          <w:color w:val="000000" w:themeColor="text1"/>
          <w:sz w:val="22"/>
        </w:rPr>
        <w:t xml:space="preserve"> the guidelines for recombinant DNA research established by Nagoya University.</w:t>
      </w:r>
    </w:p>
    <w:p w14:paraId="5C897479" w14:textId="77777777" w:rsidR="00C30BB2" w:rsidRPr="0007047D" w:rsidRDefault="00C30BB2" w:rsidP="00270FA2">
      <w:pPr>
        <w:spacing w:line="480" w:lineRule="auto"/>
        <w:ind w:firstLine="880"/>
        <w:contextualSpacing/>
        <w:rPr>
          <w:rFonts w:ascii="Times New Roman" w:hAnsi="Times New Roman" w:cs="Times New Roman"/>
          <w:color w:val="000000" w:themeColor="text1"/>
          <w:sz w:val="22"/>
        </w:rPr>
      </w:pPr>
    </w:p>
    <w:p w14:paraId="5C89747A" w14:textId="31730F4E" w:rsidR="00C30BB2" w:rsidRPr="0007047D" w:rsidRDefault="00C30BB2" w:rsidP="00270FA2">
      <w:pPr>
        <w:spacing w:line="480" w:lineRule="auto"/>
        <w:contextualSpacing/>
        <w:outlineLvl w:val="0"/>
        <w:rPr>
          <w:rFonts w:ascii="Times New Roman" w:hAnsi="Times New Roman" w:cs="Times New Roman"/>
          <w:b/>
          <w:color w:val="000000" w:themeColor="text1"/>
          <w:sz w:val="22"/>
        </w:rPr>
      </w:pPr>
      <w:r w:rsidRPr="0007047D">
        <w:rPr>
          <w:rFonts w:ascii="Times New Roman" w:hAnsi="Times New Roman" w:cs="Times New Roman"/>
          <w:b/>
          <w:color w:val="000000" w:themeColor="text1"/>
          <w:sz w:val="22"/>
        </w:rPr>
        <w:t xml:space="preserve">Transfection of CRISPR into human </w:t>
      </w:r>
      <w:r w:rsidR="008D4E06">
        <w:rPr>
          <w:rFonts w:ascii="Times New Roman" w:hAnsi="Times New Roman" w:cs="Times New Roman"/>
          <w:b/>
          <w:color w:val="000000" w:themeColor="text1"/>
          <w:sz w:val="22"/>
        </w:rPr>
        <w:t>induced pluripotent stem cells (</w:t>
      </w:r>
      <w:r w:rsidRPr="0007047D">
        <w:rPr>
          <w:rFonts w:ascii="Times New Roman" w:hAnsi="Times New Roman" w:cs="Times New Roman"/>
          <w:b/>
          <w:color w:val="000000" w:themeColor="text1"/>
          <w:sz w:val="22"/>
        </w:rPr>
        <w:t>iPSCs</w:t>
      </w:r>
      <w:r w:rsidR="008D4E06">
        <w:rPr>
          <w:rFonts w:ascii="Times New Roman" w:hAnsi="Times New Roman" w:cs="Times New Roman"/>
          <w:b/>
          <w:color w:val="000000" w:themeColor="text1"/>
          <w:sz w:val="22"/>
        </w:rPr>
        <w:t>)</w:t>
      </w:r>
    </w:p>
    <w:p w14:paraId="5C89747C" w14:textId="1FA8A938" w:rsidR="00C30BB2" w:rsidRPr="0007047D" w:rsidRDefault="00C30BB2" w:rsidP="00270FA2">
      <w:pPr>
        <w:spacing w:line="480" w:lineRule="auto"/>
        <w:ind w:firstLine="880"/>
        <w:contextualSpacing/>
        <w:rPr>
          <w:rFonts w:ascii="Times New Roman" w:hAnsi="Times New Roman" w:cs="Times New Roman"/>
          <w:color w:val="000000" w:themeColor="text1"/>
          <w:sz w:val="22"/>
        </w:rPr>
      </w:pPr>
      <w:r w:rsidRPr="0007047D">
        <w:rPr>
          <w:rFonts w:ascii="Times New Roman" w:hAnsi="Times New Roman" w:cs="Times New Roman"/>
          <w:color w:val="000000" w:themeColor="text1"/>
          <w:sz w:val="22"/>
        </w:rPr>
        <w:t xml:space="preserve">For </w:t>
      </w:r>
      <w:r w:rsidR="008D4E06">
        <w:rPr>
          <w:rFonts w:ascii="Times New Roman" w:hAnsi="Times New Roman" w:cs="Times New Roman"/>
          <w:color w:val="000000" w:themeColor="text1"/>
          <w:sz w:val="22"/>
        </w:rPr>
        <w:t xml:space="preserve">the </w:t>
      </w:r>
      <w:r w:rsidRPr="0007047D">
        <w:rPr>
          <w:rFonts w:ascii="Times New Roman" w:hAnsi="Times New Roman" w:cs="Times New Roman"/>
          <w:color w:val="000000" w:themeColor="text1"/>
          <w:sz w:val="22"/>
        </w:rPr>
        <w:t xml:space="preserve">transfection of CRISPR into human iPSCs, feeder-free cultured CON1-derived iPSCs were pretreated with Y-27632 at 10 μM for at least 1 h and dissociated into single cells by treatment with TrypLe Select for 5 min at 37°C. </w:t>
      </w:r>
      <w:r w:rsidR="008D4E06">
        <w:rPr>
          <w:rFonts w:ascii="Times New Roman" w:hAnsi="Times New Roman" w:cs="Times New Roman"/>
          <w:color w:val="000000" w:themeColor="text1"/>
          <w:sz w:val="22"/>
        </w:rPr>
        <w:t>A s</w:t>
      </w:r>
      <w:r w:rsidR="008D4E06" w:rsidRPr="0007047D">
        <w:rPr>
          <w:rFonts w:ascii="Times New Roman" w:hAnsi="Times New Roman" w:cs="Times New Roman"/>
          <w:color w:val="000000" w:themeColor="text1"/>
          <w:sz w:val="22"/>
        </w:rPr>
        <w:t xml:space="preserve">uspension </w:t>
      </w:r>
      <w:r w:rsidRPr="0007047D">
        <w:rPr>
          <w:rFonts w:ascii="Times New Roman" w:hAnsi="Times New Roman" w:cs="Times New Roman"/>
          <w:color w:val="000000" w:themeColor="text1"/>
          <w:sz w:val="22"/>
        </w:rPr>
        <w:t>containing 1</w:t>
      </w:r>
      <w:r w:rsidR="008D4E0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07047D">
        <w:rPr>
          <w:rFonts w:ascii="Times New Roman" w:hAnsi="Times New Roman" w:cs="Times New Roman"/>
          <w:color w:val="000000" w:themeColor="text1"/>
          <w:sz w:val="22"/>
        </w:rPr>
        <w:t>×</w:t>
      </w:r>
      <w:r w:rsidR="008D4E0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07047D">
        <w:rPr>
          <w:rFonts w:ascii="Times New Roman" w:hAnsi="Times New Roman" w:cs="Times New Roman"/>
          <w:color w:val="000000" w:themeColor="text1"/>
          <w:sz w:val="22"/>
        </w:rPr>
        <w:t>10</w:t>
      </w:r>
      <w:r w:rsidRPr="0007047D">
        <w:rPr>
          <w:rFonts w:ascii="Times New Roman" w:hAnsi="Times New Roman" w:cs="Times New Roman"/>
          <w:color w:val="000000" w:themeColor="text1"/>
          <w:sz w:val="22"/>
          <w:vertAlign w:val="superscript"/>
        </w:rPr>
        <w:t>6</w:t>
      </w:r>
      <w:r w:rsidRPr="0007047D">
        <w:rPr>
          <w:rFonts w:ascii="Times New Roman" w:hAnsi="Times New Roman" w:cs="Times New Roman"/>
          <w:color w:val="000000" w:themeColor="text1"/>
          <w:sz w:val="22"/>
        </w:rPr>
        <w:t xml:space="preserve"> cells </w:t>
      </w:r>
      <w:r w:rsidR="008D4E06">
        <w:rPr>
          <w:rFonts w:ascii="Times New Roman" w:hAnsi="Times New Roman" w:cs="Times New Roman"/>
          <w:color w:val="000000" w:themeColor="text1"/>
          <w:sz w:val="22"/>
        </w:rPr>
        <w:t>was</w:t>
      </w:r>
      <w:r w:rsidR="008D4E06" w:rsidRPr="0007047D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07047D">
        <w:rPr>
          <w:rFonts w:ascii="Times New Roman" w:hAnsi="Times New Roman" w:cs="Times New Roman"/>
          <w:color w:val="000000" w:themeColor="text1"/>
          <w:sz w:val="22"/>
        </w:rPr>
        <w:t xml:space="preserve">then transfected with Cas9 and sgRNA using FuGENE HD (Promega, USA). </w:t>
      </w:r>
      <w:r w:rsidR="008D4E06">
        <w:rPr>
          <w:rFonts w:ascii="Times New Roman" w:hAnsi="Times New Roman" w:cs="Times New Roman"/>
          <w:color w:val="000000" w:themeColor="text1"/>
          <w:sz w:val="22"/>
        </w:rPr>
        <w:t>The c</w:t>
      </w:r>
      <w:r w:rsidR="008D4E06" w:rsidRPr="0007047D">
        <w:rPr>
          <w:rFonts w:ascii="Times New Roman" w:hAnsi="Times New Roman" w:cs="Times New Roman"/>
          <w:color w:val="000000" w:themeColor="text1"/>
          <w:sz w:val="22"/>
        </w:rPr>
        <w:t xml:space="preserve">ells </w:t>
      </w:r>
      <w:r w:rsidRPr="0007047D">
        <w:rPr>
          <w:rFonts w:ascii="Times New Roman" w:hAnsi="Times New Roman" w:cs="Times New Roman"/>
          <w:color w:val="000000" w:themeColor="text1"/>
          <w:sz w:val="22"/>
        </w:rPr>
        <w:t xml:space="preserve">were plated onto one Matrigel-coated well of a six-well plate under feeder-free conditions in the presence of </w:t>
      </w:r>
      <w:r w:rsidR="008D4E06" w:rsidRPr="0007047D">
        <w:rPr>
          <w:rFonts w:ascii="Times New Roman" w:hAnsi="Times New Roman" w:cs="Times New Roman"/>
          <w:color w:val="000000" w:themeColor="text1"/>
          <w:sz w:val="22"/>
        </w:rPr>
        <w:t>10</w:t>
      </w:r>
      <w:r w:rsidR="008D4E06">
        <w:rPr>
          <w:rFonts w:ascii="Times New Roman" w:hAnsi="Times New Roman" w:cs="Times New Roman"/>
          <w:color w:val="000000" w:themeColor="text1"/>
          <w:sz w:val="22"/>
        </w:rPr>
        <w:t>-</w:t>
      </w:r>
      <w:r w:rsidRPr="0007047D">
        <w:rPr>
          <w:rFonts w:ascii="Times New Roman" w:hAnsi="Times New Roman" w:cs="Times New Roman"/>
          <w:color w:val="000000" w:themeColor="text1"/>
          <w:sz w:val="22"/>
        </w:rPr>
        <w:t xml:space="preserve">μM Y-27632 for 24 h. Forty-eight hours after transfection, </w:t>
      </w:r>
      <w:r w:rsidR="008D4E06" w:rsidRPr="0007047D">
        <w:rPr>
          <w:rFonts w:ascii="Times New Roman" w:eastAsia="Arial Unicode MS" w:hAnsi="Times New Roman" w:cs="Times New Roman"/>
          <w:color w:val="000000" w:themeColor="text1"/>
          <w:sz w:val="22"/>
        </w:rPr>
        <w:t>2</w:t>
      </w:r>
      <w:r w:rsidR="008D4E06">
        <w:rPr>
          <w:rFonts w:ascii="Times New Roman" w:eastAsia="Arial Unicode MS" w:hAnsi="Times New Roman" w:cs="Times New Roman"/>
          <w:color w:val="000000" w:themeColor="text1"/>
          <w:sz w:val="22"/>
        </w:rPr>
        <w:t>-</w:t>
      </w:r>
      <w:r w:rsidRPr="0007047D">
        <w:rPr>
          <w:rFonts w:ascii="Times New Roman" w:eastAsia="Arial Unicode MS" w:hAnsi="Times New Roman" w:cs="Times New Roman"/>
          <w:color w:val="000000" w:themeColor="text1"/>
          <w:sz w:val="22"/>
        </w:rPr>
        <w:t>μg/</w:t>
      </w:r>
      <w:r w:rsidR="008D4E06" w:rsidRPr="0007047D">
        <w:rPr>
          <w:rFonts w:ascii="Times New Roman" w:eastAsia="Arial Unicode MS" w:hAnsi="Times New Roman" w:cs="Times New Roman"/>
          <w:color w:val="000000" w:themeColor="text1"/>
          <w:sz w:val="22"/>
        </w:rPr>
        <w:t>m</w:t>
      </w:r>
      <w:r w:rsidR="008D4E06">
        <w:rPr>
          <w:rFonts w:ascii="Times New Roman" w:eastAsia="Arial Unicode MS" w:hAnsi="Times New Roman" w:cs="Times New Roman"/>
          <w:color w:val="000000" w:themeColor="text1"/>
          <w:sz w:val="22"/>
        </w:rPr>
        <w:t>L</w:t>
      </w:r>
      <w:r w:rsidR="008D4E06" w:rsidRPr="0007047D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07047D">
        <w:rPr>
          <w:rFonts w:ascii="Times New Roman" w:hAnsi="Times New Roman" w:cs="Times New Roman"/>
          <w:color w:val="000000" w:themeColor="text1"/>
          <w:sz w:val="22"/>
        </w:rPr>
        <w:t xml:space="preserve">puromycin was added for selection. Twenty-four hours later, the cells were cultured in </w:t>
      </w:r>
      <w:r w:rsidR="008D4E06">
        <w:rPr>
          <w:rFonts w:ascii="Times New Roman" w:hAnsi="Times New Roman" w:cs="Times New Roman"/>
          <w:color w:val="000000" w:themeColor="text1"/>
          <w:sz w:val="22"/>
        </w:rPr>
        <w:t>m</w:t>
      </w:r>
      <w:r w:rsidR="008D4E06" w:rsidRPr="0061289D">
        <w:rPr>
          <w:rFonts w:ascii="Times New Roman" w:hAnsi="Times New Roman" w:cs="Times New Roman"/>
          <w:color w:val="000000" w:themeColor="text1"/>
          <w:sz w:val="22"/>
        </w:rPr>
        <w:t xml:space="preserve">ouse </w:t>
      </w:r>
      <w:r w:rsidR="008D4E06">
        <w:rPr>
          <w:rFonts w:ascii="Times New Roman" w:hAnsi="Times New Roman" w:cs="Times New Roman"/>
          <w:color w:val="000000" w:themeColor="text1"/>
          <w:sz w:val="22"/>
        </w:rPr>
        <w:t>e</w:t>
      </w:r>
      <w:r w:rsidR="008D4E06" w:rsidRPr="0061289D">
        <w:rPr>
          <w:rFonts w:ascii="Times New Roman" w:hAnsi="Times New Roman" w:cs="Times New Roman"/>
          <w:color w:val="000000" w:themeColor="text1"/>
          <w:sz w:val="22"/>
        </w:rPr>
        <w:t xml:space="preserve">mbryonic </w:t>
      </w:r>
      <w:r w:rsidR="008D4E06">
        <w:rPr>
          <w:rFonts w:ascii="Times New Roman" w:hAnsi="Times New Roman" w:cs="Times New Roman"/>
          <w:color w:val="000000" w:themeColor="text1"/>
          <w:sz w:val="22"/>
        </w:rPr>
        <w:t>f</w:t>
      </w:r>
      <w:r w:rsidR="008D4E06" w:rsidRPr="0061289D">
        <w:rPr>
          <w:rFonts w:ascii="Times New Roman" w:hAnsi="Times New Roman" w:cs="Times New Roman"/>
          <w:color w:val="000000" w:themeColor="text1"/>
          <w:sz w:val="22"/>
        </w:rPr>
        <w:t>ibroblast</w:t>
      </w:r>
      <w:r w:rsidRPr="0007047D">
        <w:rPr>
          <w:rFonts w:ascii="Times New Roman" w:hAnsi="Times New Roman" w:cs="Times New Roman"/>
          <w:color w:val="000000" w:themeColor="text1"/>
          <w:sz w:val="22"/>
        </w:rPr>
        <w:t>-conditioned medium until they formed large colonies.</w:t>
      </w:r>
    </w:p>
    <w:p w14:paraId="5C89747D" w14:textId="77777777" w:rsidR="00C30BB2" w:rsidRPr="0007047D" w:rsidRDefault="00C30BB2" w:rsidP="00270FA2">
      <w:pPr>
        <w:spacing w:line="480" w:lineRule="auto"/>
        <w:ind w:firstLine="880"/>
        <w:contextualSpacing/>
        <w:rPr>
          <w:rFonts w:ascii="Times New Roman" w:hAnsi="Times New Roman" w:cs="Times New Roman"/>
          <w:color w:val="000000" w:themeColor="text1"/>
          <w:sz w:val="22"/>
        </w:rPr>
      </w:pPr>
    </w:p>
    <w:p w14:paraId="5C89747E" w14:textId="77777777" w:rsidR="00C30BB2" w:rsidRPr="0007047D" w:rsidRDefault="00C30BB2" w:rsidP="00270FA2">
      <w:pPr>
        <w:spacing w:line="480" w:lineRule="auto"/>
        <w:contextualSpacing/>
        <w:outlineLvl w:val="0"/>
        <w:rPr>
          <w:rFonts w:ascii="Times New Roman" w:hAnsi="Times New Roman" w:cs="Times New Roman"/>
          <w:b/>
          <w:color w:val="000000" w:themeColor="text1"/>
          <w:sz w:val="22"/>
        </w:rPr>
      </w:pPr>
      <w:r w:rsidRPr="0007047D">
        <w:rPr>
          <w:rFonts w:ascii="Times New Roman" w:hAnsi="Times New Roman" w:cs="Times New Roman"/>
          <w:b/>
          <w:color w:val="000000" w:themeColor="text1"/>
          <w:sz w:val="22"/>
        </w:rPr>
        <w:t>T7 endonuclease I (T7EI) assay</w:t>
      </w:r>
    </w:p>
    <w:p w14:paraId="5C89747F" w14:textId="03F44CD0" w:rsidR="00C30BB2" w:rsidRPr="0007047D" w:rsidRDefault="00C30BB2" w:rsidP="00270FA2">
      <w:pPr>
        <w:spacing w:line="480" w:lineRule="auto"/>
        <w:contextualSpacing/>
        <w:outlineLvl w:val="0"/>
        <w:rPr>
          <w:rFonts w:ascii="Times New Roman" w:hAnsi="Times New Roman" w:cs="Times New Roman"/>
          <w:color w:val="000000" w:themeColor="text1"/>
          <w:sz w:val="22"/>
        </w:rPr>
      </w:pPr>
      <w:r w:rsidRPr="0007047D">
        <w:rPr>
          <w:rFonts w:ascii="Times New Roman" w:hAnsi="Times New Roman" w:cs="Times New Roman"/>
          <w:color w:val="000000" w:themeColor="text1"/>
          <w:sz w:val="22"/>
        </w:rPr>
        <w:lastRenderedPageBreak/>
        <w:t xml:space="preserve">Puromycin-selected cells were used for </w:t>
      </w:r>
      <w:r w:rsidR="0061289D">
        <w:rPr>
          <w:rFonts w:ascii="Times New Roman" w:hAnsi="Times New Roman" w:cs="Times New Roman"/>
          <w:color w:val="000000" w:themeColor="text1"/>
          <w:sz w:val="22"/>
        </w:rPr>
        <w:t xml:space="preserve">the </w:t>
      </w:r>
      <w:r w:rsidRPr="0007047D">
        <w:rPr>
          <w:rFonts w:ascii="Times New Roman" w:hAnsi="Times New Roman" w:cs="Times New Roman"/>
          <w:color w:val="000000" w:themeColor="text1"/>
          <w:sz w:val="22"/>
        </w:rPr>
        <w:t>T7EI</w:t>
      </w:r>
      <w:r w:rsidR="00951631" w:rsidRPr="0007047D">
        <w:rPr>
          <w:rFonts w:ascii="Times New Roman" w:hAnsi="Times New Roman" w:cs="Times New Roman"/>
          <w:color w:val="000000" w:themeColor="text1"/>
          <w:sz w:val="22"/>
        </w:rPr>
        <w:t xml:space="preserve"> assay </w:t>
      </w:r>
      <w:r w:rsidRPr="0007047D">
        <w:rPr>
          <w:rFonts w:ascii="Times New Roman" w:hAnsi="Times New Roman" w:cs="Times New Roman"/>
          <w:color w:val="000000" w:themeColor="text1"/>
          <w:sz w:val="22"/>
        </w:rPr>
        <w:t>to examine sgRNA activity. The target region of sgRNAs was amplified from genomic DNA by a high-fidelity PCR using the primers</w:t>
      </w:r>
      <w:r w:rsidR="005C70BF">
        <w:rPr>
          <w:rFonts w:ascii="Times New Roman" w:hAnsi="Times New Roman" w:cs="Times New Roman"/>
          <w:color w:val="000000" w:themeColor="text1"/>
          <w:sz w:val="22"/>
        </w:rPr>
        <w:t xml:space="preserve"> shown in Supplementary </w:t>
      </w:r>
      <w:r w:rsidR="0061289D">
        <w:rPr>
          <w:rFonts w:ascii="Times New Roman" w:hAnsi="Times New Roman" w:cs="Times New Roman"/>
          <w:color w:val="000000" w:themeColor="text1"/>
          <w:sz w:val="22"/>
        </w:rPr>
        <w:t>Table</w:t>
      </w:r>
      <w:r w:rsidR="002B6BB9">
        <w:rPr>
          <w:rFonts w:ascii="Times New Roman" w:hAnsi="Times New Roman" w:cs="Times New Roman"/>
          <w:color w:val="000000" w:themeColor="text1"/>
          <w:sz w:val="22"/>
        </w:rPr>
        <w:t xml:space="preserve"> 3.</w:t>
      </w:r>
      <w:r w:rsidRPr="0007047D">
        <w:rPr>
          <w:rFonts w:ascii="Times New Roman" w:hAnsi="Times New Roman" w:cs="Times New Roman"/>
          <w:color w:val="000000" w:themeColor="text1"/>
          <w:sz w:val="22"/>
        </w:rPr>
        <w:t xml:space="preserve"> The PCR products were denatured (95°C for 2 min) and re-annealed (85°C–25°C at −0.1°C/s), followed by T7E1 (NEB) digestion for 30 min at 37°C. The digested products were analyzed on 1.5% agarose gels.</w:t>
      </w:r>
    </w:p>
    <w:p w14:paraId="5C897480" w14:textId="77777777" w:rsidR="00C30BB2" w:rsidRPr="0007047D" w:rsidRDefault="00C30BB2" w:rsidP="00270FA2">
      <w:pPr>
        <w:spacing w:line="480" w:lineRule="auto"/>
        <w:ind w:firstLine="880"/>
        <w:contextualSpacing/>
        <w:rPr>
          <w:rFonts w:ascii="Times New Roman" w:hAnsi="Times New Roman" w:cs="Times New Roman"/>
          <w:color w:val="000000" w:themeColor="text1"/>
          <w:sz w:val="22"/>
        </w:rPr>
      </w:pPr>
    </w:p>
    <w:p w14:paraId="5C897483" w14:textId="77777777" w:rsidR="00572CDE" w:rsidRPr="0007047D" w:rsidRDefault="00572CDE" w:rsidP="00270FA2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2"/>
        </w:rPr>
      </w:pPr>
    </w:p>
    <w:p w14:paraId="5C89748C" w14:textId="47207B40" w:rsidR="00572CDE" w:rsidRPr="00802CF7" w:rsidRDefault="00572CDE" w:rsidP="00270FA2">
      <w:pPr>
        <w:tabs>
          <w:tab w:val="center" w:pos="5233"/>
        </w:tabs>
        <w:spacing w:line="480" w:lineRule="auto"/>
        <w:contextualSpacing/>
        <w:outlineLvl w:val="0"/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5C89748D" w14:textId="77777777" w:rsidR="009C31AD" w:rsidRPr="0007047D" w:rsidRDefault="009C31AD" w:rsidP="00270FA2">
      <w:pPr>
        <w:spacing w:line="480" w:lineRule="auto"/>
        <w:rPr>
          <w:rFonts w:ascii="Times New Roman" w:hAnsi="Times New Roman" w:cs="Times New Roman"/>
          <w:sz w:val="22"/>
        </w:rPr>
      </w:pPr>
    </w:p>
    <w:p w14:paraId="5C89748E" w14:textId="77777777" w:rsidR="009C31AD" w:rsidRPr="0007047D" w:rsidRDefault="009C31AD" w:rsidP="00270FA2">
      <w:pPr>
        <w:spacing w:line="480" w:lineRule="auto"/>
        <w:rPr>
          <w:rFonts w:ascii="Times New Roman" w:hAnsi="Times New Roman" w:cs="Times New Roman"/>
          <w:sz w:val="22"/>
        </w:rPr>
      </w:pPr>
    </w:p>
    <w:p w14:paraId="1BF3C438" w14:textId="2CE8A763" w:rsidR="00DE3FFA" w:rsidRPr="00DE3FFA" w:rsidRDefault="009C31AD" w:rsidP="00270FA2">
      <w:pPr>
        <w:pStyle w:val="EndNoteBibliography"/>
        <w:spacing w:line="480" w:lineRule="auto"/>
        <w:ind w:left="720" w:hanging="720"/>
        <w:rPr>
          <w:noProof w:val="0"/>
        </w:rPr>
      </w:pPr>
      <w:r w:rsidRPr="0007047D">
        <w:rPr>
          <w:rFonts w:ascii="Times New Roman" w:hAnsi="Times New Roman" w:cs="Times New Roman"/>
          <w:noProof w:val="0"/>
          <w:sz w:val="22"/>
        </w:rPr>
        <w:fldChar w:fldCharType="begin"/>
      </w:r>
      <w:r w:rsidRPr="0007047D">
        <w:rPr>
          <w:rFonts w:ascii="Times New Roman" w:hAnsi="Times New Roman" w:cs="Times New Roman"/>
          <w:noProof w:val="0"/>
          <w:sz w:val="22"/>
        </w:rPr>
        <w:instrText xml:space="preserve"> ADDIN EN.REFLIST </w:instrText>
      </w:r>
      <w:r w:rsidRPr="0007047D">
        <w:rPr>
          <w:rFonts w:ascii="Times New Roman" w:hAnsi="Times New Roman" w:cs="Times New Roman"/>
          <w:noProof w:val="0"/>
          <w:sz w:val="22"/>
        </w:rPr>
        <w:fldChar w:fldCharType="separate"/>
      </w:r>
      <w:r w:rsidR="00DE3FFA" w:rsidRPr="00DE3FFA">
        <w:rPr>
          <w:noProof w:val="0"/>
        </w:rPr>
        <w:t>1.</w:t>
      </w:r>
      <w:r w:rsidR="00DE3FFA" w:rsidRPr="00DE3FFA">
        <w:rPr>
          <w:noProof w:val="0"/>
        </w:rPr>
        <w:tab/>
        <w:t>Li, H. L.</w:t>
      </w:r>
      <w:r w:rsidR="00DE3FFA" w:rsidRPr="00DE3FFA">
        <w:rPr>
          <w:i/>
          <w:noProof w:val="0"/>
        </w:rPr>
        <w:t xml:space="preserve"> et al.</w:t>
      </w:r>
      <w:r w:rsidR="00DE3FFA" w:rsidRPr="00DE3FFA">
        <w:rPr>
          <w:noProof w:val="0"/>
        </w:rPr>
        <w:t xml:space="preserve"> Precise Correction of the </w:t>
      </w:r>
      <w:r w:rsidR="008E5C07">
        <w:rPr>
          <w:noProof w:val="0"/>
        </w:rPr>
        <w:t>d</w:t>
      </w:r>
      <w:r w:rsidR="008E5C07" w:rsidRPr="00DE3FFA">
        <w:rPr>
          <w:noProof w:val="0"/>
        </w:rPr>
        <w:t xml:space="preserve">ystrophin </w:t>
      </w:r>
      <w:r w:rsidR="008E5C07">
        <w:rPr>
          <w:noProof w:val="0"/>
        </w:rPr>
        <w:t>g</w:t>
      </w:r>
      <w:r w:rsidR="008E5C07" w:rsidRPr="00DE3FFA">
        <w:rPr>
          <w:noProof w:val="0"/>
        </w:rPr>
        <w:t xml:space="preserve">ene </w:t>
      </w:r>
      <w:r w:rsidR="00DE3FFA" w:rsidRPr="00DE3FFA">
        <w:rPr>
          <w:noProof w:val="0"/>
        </w:rPr>
        <w:t xml:space="preserve">in Duchenne </w:t>
      </w:r>
      <w:r w:rsidR="008E5C07">
        <w:rPr>
          <w:noProof w:val="0"/>
        </w:rPr>
        <w:t>m</w:t>
      </w:r>
      <w:r w:rsidR="008E5C07" w:rsidRPr="00DE3FFA">
        <w:rPr>
          <w:noProof w:val="0"/>
        </w:rPr>
        <w:t xml:space="preserve">uscular </w:t>
      </w:r>
      <w:r w:rsidR="008E5C07">
        <w:rPr>
          <w:noProof w:val="0"/>
        </w:rPr>
        <w:t>d</w:t>
      </w:r>
      <w:r w:rsidR="008E5C07" w:rsidRPr="00DE3FFA">
        <w:rPr>
          <w:noProof w:val="0"/>
        </w:rPr>
        <w:t xml:space="preserve">ystrophy </w:t>
      </w:r>
      <w:r w:rsidR="008E5C07">
        <w:rPr>
          <w:noProof w:val="0"/>
        </w:rPr>
        <w:t>p</w:t>
      </w:r>
      <w:r w:rsidR="008E5C07" w:rsidRPr="00DE3FFA">
        <w:rPr>
          <w:noProof w:val="0"/>
        </w:rPr>
        <w:t xml:space="preserve">atient </w:t>
      </w:r>
      <w:r w:rsidR="008E5C07">
        <w:rPr>
          <w:noProof w:val="0"/>
        </w:rPr>
        <w:t>i</w:t>
      </w:r>
      <w:r w:rsidR="008E5C07" w:rsidRPr="00DE3FFA">
        <w:rPr>
          <w:noProof w:val="0"/>
        </w:rPr>
        <w:t xml:space="preserve">nduced </w:t>
      </w:r>
      <w:r w:rsidR="008E5C07">
        <w:rPr>
          <w:noProof w:val="0"/>
        </w:rPr>
        <w:t>p</w:t>
      </w:r>
      <w:r w:rsidR="008E5C07" w:rsidRPr="00DE3FFA">
        <w:rPr>
          <w:noProof w:val="0"/>
        </w:rPr>
        <w:t xml:space="preserve">luripotent </w:t>
      </w:r>
      <w:r w:rsidR="008E5C07">
        <w:rPr>
          <w:noProof w:val="0"/>
        </w:rPr>
        <w:t>s</w:t>
      </w:r>
      <w:r w:rsidR="008E5C07" w:rsidRPr="00DE3FFA">
        <w:rPr>
          <w:noProof w:val="0"/>
        </w:rPr>
        <w:t xml:space="preserve">tem </w:t>
      </w:r>
      <w:r w:rsidR="008E5C07">
        <w:rPr>
          <w:noProof w:val="0"/>
        </w:rPr>
        <w:t>c</w:t>
      </w:r>
      <w:r w:rsidR="008E5C07" w:rsidRPr="00DE3FFA">
        <w:rPr>
          <w:noProof w:val="0"/>
        </w:rPr>
        <w:t xml:space="preserve">ells </w:t>
      </w:r>
      <w:r w:rsidR="00DE3FFA" w:rsidRPr="00DE3FFA">
        <w:rPr>
          <w:noProof w:val="0"/>
        </w:rPr>
        <w:t xml:space="preserve">by TALEN and CRISPR-Cas9. </w:t>
      </w:r>
      <w:r w:rsidR="00DE3FFA" w:rsidRPr="00DE3FFA">
        <w:rPr>
          <w:i/>
          <w:noProof w:val="0"/>
        </w:rPr>
        <w:t>Stem Cell Reports</w:t>
      </w:r>
      <w:r w:rsidR="00DE3FFA" w:rsidRPr="00DE3FFA">
        <w:rPr>
          <w:noProof w:val="0"/>
        </w:rPr>
        <w:t xml:space="preserve"> </w:t>
      </w:r>
      <w:r w:rsidR="008E5C07">
        <w:rPr>
          <w:noProof w:val="0"/>
        </w:rPr>
        <w:t xml:space="preserve">2015; </w:t>
      </w:r>
      <w:r w:rsidR="00DE3FFA" w:rsidRPr="008E5C07">
        <w:rPr>
          <w:noProof w:val="0"/>
        </w:rPr>
        <w:t>4</w:t>
      </w:r>
      <w:r w:rsidR="008E5C07">
        <w:rPr>
          <w:noProof w:val="0"/>
        </w:rPr>
        <w:t>:</w:t>
      </w:r>
      <w:r w:rsidR="008E5C07" w:rsidRPr="00DE3FFA">
        <w:rPr>
          <w:noProof w:val="0"/>
        </w:rPr>
        <w:t xml:space="preserve"> </w:t>
      </w:r>
      <w:r w:rsidR="00DE3FFA" w:rsidRPr="00DE3FFA">
        <w:rPr>
          <w:noProof w:val="0"/>
        </w:rPr>
        <w:t>143</w:t>
      </w:r>
      <w:r w:rsidR="008E5C07">
        <w:rPr>
          <w:noProof w:val="0"/>
        </w:rPr>
        <w:t>–</w:t>
      </w:r>
      <w:r w:rsidR="00DE3FFA" w:rsidRPr="00DE3FFA">
        <w:rPr>
          <w:noProof w:val="0"/>
        </w:rPr>
        <w:t>154.</w:t>
      </w:r>
    </w:p>
    <w:p w14:paraId="5C89749D" w14:textId="7ABF6788" w:rsidR="00C30BB2" w:rsidRPr="009C31AD" w:rsidRDefault="009C31AD" w:rsidP="00270FA2">
      <w:pPr>
        <w:spacing w:line="480" w:lineRule="auto"/>
        <w:rPr>
          <w:rFonts w:ascii="Times New Roman" w:hAnsi="Times New Roman" w:cs="Times New Roman"/>
          <w:sz w:val="22"/>
        </w:rPr>
      </w:pPr>
      <w:r w:rsidRPr="0007047D">
        <w:rPr>
          <w:rFonts w:ascii="Times New Roman" w:hAnsi="Times New Roman" w:cs="Times New Roman"/>
          <w:sz w:val="22"/>
        </w:rPr>
        <w:fldChar w:fldCharType="end"/>
      </w:r>
    </w:p>
    <w:sectPr w:rsidR="00C30BB2" w:rsidRPr="009C31AD" w:rsidSect="00A7596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8D87E" w14:textId="77777777" w:rsidR="00A81B96" w:rsidRDefault="00A81B96" w:rsidP="004A55B8">
      <w:r>
        <w:separator/>
      </w:r>
    </w:p>
  </w:endnote>
  <w:endnote w:type="continuationSeparator" w:id="0">
    <w:p w14:paraId="5F41A0AB" w14:textId="77777777" w:rsidR="00A81B96" w:rsidRDefault="00A81B96" w:rsidP="004A55B8">
      <w:r>
        <w:continuationSeparator/>
      </w:r>
    </w:p>
  </w:endnote>
  <w:endnote w:type="continuationNotice" w:id="1">
    <w:p w14:paraId="50153282" w14:textId="77777777" w:rsidR="00A81B96" w:rsidRDefault="00A81B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BIZ UDPゴシック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3151E" w14:textId="77777777" w:rsidR="00A81B96" w:rsidRDefault="00A81B96" w:rsidP="004A55B8">
      <w:r>
        <w:separator/>
      </w:r>
    </w:p>
  </w:footnote>
  <w:footnote w:type="continuationSeparator" w:id="0">
    <w:p w14:paraId="0CCD7715" w14:textId="77777777" w:rsidR="00A81B96" w:rsidRDefault="00A81B96" w:rsidP="004A55B8">
      <w:r>
        <w:continuationSeparator/>
      </w:r>
    </w:p>
  </w:footnote>
  <w:footnote w:type="continuationNotice" w:id="1">
    <w:p w14:paraId="4F75B5A8" w14:textId="77777777" w:rsidR="00A81B96" w:rsidRDefault="00A81B9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ransl_Psychiatry Copy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r5aswa9g2espdead5zv5xspf2vv9e9t2dsz&quot;&gt;My EndNote Library&lt;record-ids&gt;&lt;item&gt;2598&lt;/item&gt;&lt;/record-ids&gt;&lt;/item&gt;&lt;/Libraries&gt;"/>
  </w:docVars>
  <w:rsids>
    <w:rsidRoot w:val="00AB494E"/>
    <w:rsid w:val="00001EDC"/>
    <w:rsid w:val="00004F02"/>
    <w:rsid w:val="000324CE"/>
    <w:rsid w:val="000335B3"/>
    <w:rsid w:val="00036BFE"/>
    <w:rsid w:val="0007047D"/>
    <w:rsid w:val="000739E3"/>
    <w:rsid w:val="000A5C92"/>
    <w:rsid w:val="001070B9"/>
    <w:rsid w:val="001078DF"/>
    <w:rsid w:val="00123AD1"/>
    <w:rsid w:val="001325D1"/>
    <w:rsid w:val="0017394B"/>
    <w:rsid w:val="00190721"/>
    <w:rsid w:val="001D7F20"/>
    <w:rsid w:val="001F6EF2"/>
    <w:rsid w:val="00205F5F"/>
    <w:rsid w:val="00231F3E"/>
    <w:rsid w:val="002462B4"/>
    <w:rsid w:val="00256777"/>
    <w:rsid w:val="00265320"/>
    <w:rsid w:val="00270FA2"/>
    <w:rsid w:val="00274F49"/>
    <w:rsid w:val="002A02D0"/>
    <w:rsid w:val="002B6BB9"/>
    <w:rsid w:val="002E41E7"/>
    <w:rsid w:val="003145C1"/>
    <w:rsid w:val="00317E3A"/>
    <w:rsid w:val="00344BF4"/>
    <w:rsid w:val="003507E9"/>
    <w:rsid w:val="00363BFC"/>
    <w:rsid w:val="003C7930"/>
    <w:rsid w:val="00424A50"/>
    <w:rsid w:val="00430A88"/>
    <w:rsid w:val="00431914"/>
    <w:rsid w:val="00433733"/>
    <w:rsid w:val="00494E49"/>
    <w:rsid w:val="004A55B8"/>
    <w:rsid w:val="004C4975"/>
    <w:rsid w:val="004D14DE"/>
    <w:rsid w:val="00572CDE"/>
    <w:rsid w:val="0059477C"/>
    <w:rsid w:val="005A0137"/>
    <w:rsid w:val="005C70BF"/>
    <w:rsid w:val="0061289D"/>
    <w:rsid w:val="00612E0E"/>
    <w:rsid w:val="00637294"/>
    <w:rsid w:val="006607BF"/>
    <w:rsid w:val="0066697C"/>
    <w:rsid w:val="00674ABE"/>
    <w:rsid w:val="006C14E9"/>
    <w:rsid w:val="006F0B9B"/>
    <w:rsid w:val="00706DA2"/>
    <w:rsid w:val="00731BAF"/>
    <w:rsid w:val="00792B7C"/>
    <w:rsid w:val="00797DBA"/>
    <w:rsid w:val="007A0313"/>
    <w:rsid w:val="007C6FE0"/>
    <w:rsid w:val="00802CF7"/>
    <w:rsid w:val="00854316"/>
    <w:rsid w:val="00873D83"/>
    <w:rsid w:val="00877E88"/>
    <w:rsid w:val="00882C8F"/>
    <w:rsid w:val="008A54B6"/>
    <w:rsid w:val="008A6488"/>
    <w:rsid w:val="008D4E06"/>
    <w:rsid w:val="008E5C07"/>
    <w:rsid w:val="00951631"/>
    <w:rsid w:val="00956EB4"/>
    <w:rsid w:val="00960ECD"/>
    <w:rsid w:val="0098420F"/>
    <w:rsid w:val="00991CC8"/>
    <w:rsid w:val="009A122D"/>
    <w:rsid w:val="009A5665"/>
    <w:rsid w:val="009B34B0"/>
    <w:rsid w:val="009C31AD"/>
    <w:rsid w:val="009E25B0"/>
    <w:rsid w:val="00A123F6"/>
    <w:rsid w:val="00A17B52"/>
    <w:rsid w:val="00A226E5"/>
    <w:rsid w:val="00A31FCD"/>
    <w:rsid w:val="00A33FBB"/>
    <w:rsid w:val="00A34193"/>
    <w:rsid w:val="00A37C4B"/>
    <w:rsid w:val="00A607DE"/>
    <w:rsid w:val="00A62967"/>
    <w:rsid w:val="00A75967"/>
    <w:rsid w:val="00A81B96"/>
    <w:rsid w:val="00A9566B"/>
    <w:rsid w:val="00AA656E"/>
    <w:rsid w:val="00AB494E"/>
    <w:rsid w:val="00AD60F6"/>
    <w:rsid w:val="00AF3891"/>
    <w:rsid w:val="00B01A50"/>
    <w:rsid w:val="00B061A4"/>
    <w:rsid w:val="00B20439"/>
    <w:rsid w:val="00B27071"/>
    <w:rsid w:val="00B307EF"/>
    <w:rsid w:val="00B44665"/>
    <w:rsid w:val="00B65438"/>
    <w:rsid w:val="00B70C38"/>
    <w:rsid w:val="00B71919"/>
    <w:rsid w:val="00BD05D1"/>
    <w:rsid w:val="00C01667"/>
    <w:rsid w:val="00C11F6D"/>
    <w:rsid w:val="00C20371"/>
    <w:rsid w:val="00C30BB2"/>
    <w:rsid w:val="00C33AB0"/>
    <w:rsid w:val="00C34006"/>
    <w:rsid w:val="00C46663"/>
    <w:rsid w:val="00C57DFA"/>
    <w:rsid w:val="00C7445E"/>
    <w:rsid w:val="00C83EAC"/>
    <w:rsid w:val="00CA23CD"/>
    <w:rsid w:val="00CC0A2E"/>
    <w:rsid w:val="00CC5A59"/>
    <w:rsid w:val="00D17B9C"/>
    <w:rsid w:val="00DB6F8B"/>
    <w:rsid w:val="00DC08BA"/>
    <w:rsid w:val="00DC5F99"/>
    <w:rsid w:val="00DC685C"/>
    <w:rsid w:val="00DE3677"/>
    <w:rsid w:val="00DE3FFA"/>
    <w:rsid w:val="00DF5F44"/>
    <w:rsid w:val="00E00A6D"/>
    <w:rsid w:val="00E03C4D"/>
    <w:rsid w:val="00E144AD"/>
    <w:rsid w:val="00E33D7C"/>
    <w:rsid w:val="00E63A5D"/>
    <w:rsid w:val="00E936F0"/>
    <w:rsid w:val="00E95313"/>
    <w:rsid w:val="00EB67E9"/>
    <w:rsid w:val="00EB6DBC"/>
    <w:rsid w:val="00ED33BE"/>
    <w:rsid w:val="00EE1128"/>
    <w:rsid w:val="00EE7C5F"/>
    <w:rsid w:val="00EF12FB"/>
    <w:rsid w:val="00F2153A"/>
    <w:rsid w:val="00F24333"/>
    <w:rsid w:val="00F46751"/>
    <w:rsid w:val="00F541A9"/>
    <w:rsid w:val="00F60CA8"/>
    <w:rsid w:val="00F81A23"/>
    <w:rsid w:val="00F8708F"/>
    <w:rsid w:val="00F8715A"/>
    <w:rsid w:val="00FA07BE"/>
    <w:rsid w:val="00FA0852"/>
    <w:rsid w:val="00FB65B9"/>
    <w:rsid w:val="00FE1B58"/>
    <w:rsid w:val="00FE2250"/>
    <w:rsid w:val="00FE2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89746D"/>
  <w15:docId w15:val="{D53F9A40-C980-4C31-8FD7-F0A4418A0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7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49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55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55B8"/>
  </w:style>
  <w:style w:type="paragraph" w:styleId="a6">
    <w:name w:val="footer"/>
    <w:basedOn w:val="a"/>
    <w:link w:val="a7"/>
    <w:uiPriority w:val="99"/>
    <w:unhideWhenUsed/>
    <w:rsid w:val="004A55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55B8"/>
  </w:style>
  <w:style w:type="paragraph" w:customStyle="1" w:styleId="EndNoteBibliographyTitle">
    <w:name w:val="EndNote Bibliography Title"/>
    <w:basedOn w:val="a"/>
    <w:link w:val="EndNoteBibliographyTitle0"/>
    <w:rsid w:val="00C30BB2"/>
    <w:pPr>
      <w:jc w:val="center"/>
    </w:pPr>
    <w:rPr>
      <w:rFonts w:ascii="Century" w:hAnsi="Century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C30BB2"/>
    <w:rPr>
      <w:rFonts w:ascii="Century" w:hAnsi="Century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30BB2"/>
    <w:rPr>
      <w:rFonts w:ascii="Century" w:hAnsi="Century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C30BB2"/>
    <w:rPr>
      <w:rFonts w:ascii="Century" w:hAnsi="Century"/>
      <w:noProof/>
      <w:sz w:val="20"/>
    </w:rPr>
  </w:style>
  <w:style w:type="paragraph" w:styleId="a8">
    <w:name w:val="Balloon Text"/>
    <w:basedOn w:val="a"/>
    <w:link w:val="a9"/>
    <w:uiPriority w:val="99"/>
    <w:semiHidden/>
    <w:unhideWhenUsed/>
    <w:rsid w:val="00231F3E"/>
    <w:rPr>
      <w:rFonts w:ascii="Tahoma" w:hAnsi="Tahoma" w:cs="Tahoma"/>
      <w:sz w:val="16"/>
      <w:szCs w:val="16"/>
    </w:rPr>
  </w:style>
  <w:style w:type="character" w:customStyle="1" w:styleId="a9">
    <w:name w:val="吹き出し (文字)"/>
    <w:basedOn w:val="a0"/>
    <w:link w:val="a8"/>
    <w:uiPriority w:val="99"/>
    <w:semiHidden/>
    <w:rsid w:val="00231F3E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A607DE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FE2CC2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rsid w:val="00A607D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607D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607DE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3C7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F1BB9-B408-49EA-970E-EBE1899D3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有岡祐子</dc:creator>
  <cp:lastModifiedBy>sakuma yu</cp:lastModifiedBy>
  <cp:revision>11</cp:revision>
  <dcterms:created xsi:type="dcterms:W3CDTF">2023-01-06T05:49:00Z</dcterms:created>
  <dcterms:modified xsi:type="dcterms:W3CDTF">2023-02-10T13:47:00Z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cd469f93a98548d6a50dfd117c432da2</vt:lpwstr>
  </property>
</Properties>
</file>