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</w:pPr>
      <w:r>
        <w:rPr>
          <w:rFonts w:ascii="Times New Roman" w:hAnsi="Times New Roman" w:cs="Times New Roman"/>
          <w:b/>
          <w:sz w:val="22"/>
        </w:rPr>
        <w:t>Table S</w:t>
      </w:r>
      <w:r>
        <w:rPr>
          <w:rFonts w:hint="eastAsia" w:ascii="Times New Roman" w:hAnsi="Times New Roman" w:cs="Times New Roman"/>
          <w:b/>
          <w:sz w:val="22"/>
          <w:lang w:val="en-US" w:eastAsia="zh-CN"/>
        </w:rPr>
        <w:t>1</w:t>
      </w:r>
      <w:r>
        <w:rPr>
          <w:rFonts w:ascii="Times New Roman" w:hAnsi="Times New Roman" w:cs="Times New Roman"/>
          <w:b/>
          <w:sz w:val="22"/>
        </w:rPr>
        <w:t xml:space="preserve">. </w:t>
      </w:r>
      <w:r>
        <w:rPr>
          <w:rFonts w:hint="default" w:ascii="Times New Roman" w:hAnsi="Times New Roman" w:cs="Times New Roman"/>
          <w:b/>
          <w:sz w:val="22"/>
        </w:rPr>
        <w:t>Detailed information of studies and datasets used in the present study.</w:t>
      </w:r>
    </w:p>
    <w:tbl>
      <w:tblPr>
        <w:tblStyle w:val="4"/>
        <w:tblW w:w="1589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1"/>
        <w:gridCol w:w="2138"/>
        <w:gridCol w:w="5550"/>
        <w:gridCol w:w="64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51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Times New Roman Bold" w:cs="Times New Roman"/>
                <w:b/>
                <w:sz w:val="22"/>
              </w:rPr>
            </w:pPr>
            <w:r>
              <w:rPr>
                <w:rFonts w:ascii="Times New Roman" w:hAnsi="Times New Roman" w:eastAsia="Times New Roman Bold" w:cs="Times New Roman"/>
                <w:b/>
                <w:kern w:val="0"/>
                <w:sz w:val="22"/>
                <w:lang w:bidi="ar"/>
              </w:rPr>
              <w:t>Exposure or outcome</w:t>
            </w:r>
          </w:p>
        </w:tc>
        <w:tc>
          <w:tcPr>
            <w:tcW w:w="2138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Times New Roman Bold" w:cs="Times New Roman"/>
                <w:b/>
                <w:sz w:val="22"/>
              </w:rPr>
            </w:pPr>
            <w:r>
              <w:rPr>
                <w:rFonts w:ascii="Times New Roman" w:hAnsi="Times New Roman" w:eastAsia="Times New Roman Bold" w:cs="Times New Roman"/>
                <w:b/>
                <w:kern w:val="0"/>
                <w:sz w:val="22"/>
                <w:lang w:bidi="ar"/>
              </w:rPr>
              <w:t>Study or consortium</w:t>
            </w:r>
          </w:p>
        </w:tc>
        <w:tc>
          <w:tcPr>
            <w:tcW w:w="5550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Times New Roman Bold" w:cs="Times New Roman"/>
                <w:b/>
                <w:sz w:val="22"/>
              </w:rPr>
            </w:pPr>
            <w:r>
              <w:rPr>
                <w:rFonts w:ascii="Times New Roman" w:hAnsi="Times New Roman" w:eastAsia="Times New Roman Bold" w:cs="Times New Roman"/>
                <w:b/>
                <w:kern w:val="0"/>
                <w:sz w:val="22"/>
                <w:lang w:bidi="ar"/>
              </w:rPr>
              <w:t xml:space="preserve">Participants                 </w:t>
            </w:r>
            <w:r>
              <w:rPr>
                <w:rFonts w:hint="eastAsia" w:ascii="Times New Roman" w:hAnsi="Times New Roman" w:eastAsia="Times New Roman Bold" w:cs="Times New Roman"/>
                <w:b/>
                <w:kern w:val="0"/>
                <w:sz w:val="22"/>
                <w:lang w:bidi="ar"/>
              </w:rPr>
              <w:t>No. of cases and controls</w:t>
            </w:r>
          </w:p>
        </w:tc>
        <w:tc>
          <w:tcPr>
            <w:tcW w:w="6451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Times New Roman Bold" w:cs="Times New Roman"/>
                <w:b/>
                <w:sz w:val="22"/>
              </w:rPr>
            </w:pPr>
            <w:r>
              <w:rPr>
                <w:rFonts w:ascii="Times New Roman" w:hAnsi="Times New Roman" w:eastAsia="Times New Roman Bold" w:cs="Times New Roman"/>
                <w:b/>
                <w:kern w:val="0"/>
                <w:sz w:val="22"/>
                <w:lang w:bidi="ar"/>
              </w:rPr>
              <w:t>Web source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51" w:type="dxa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Cytokines</w:t>
            </w:r>
          </w:p>
        </w:tc>
        <w:tc>
          <w:tcPr>
            <w:tcW w:w="2138" w:type="dxa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Ahola-Olli et al, 2017</w:t>
            </w:r>
          </w:p>
        </w:tc>
        <w:tc>
          <w:tcPr>
            <w:tcW w:w="5550" w:type="dxa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8,293 Finns                  /</w:t>
            </w:r>
          </w:p>
        </w:tc>
        <w:tc>
          <w:tcPr>
            <w:tcW w:w="6451" w:type="dxa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fldChar w:fldCharType="begin"/>
            </w:r>
            <w:r>
              <w:instrText xml:space="preserve"> HYPERLINK \l "Cytokine_GWAS" </w:instrText>
            </w:r>
            <w:r>
              <w:fldChar w:fldCharType="separate"/>
            </w:r>
            <w:r>
              <w:rPr>
                <w:rStyle w:val="7"/>
                <w:rFonts w:ascii="Times New Roman" w:hAnsi="Times New Roman" w:eastAsia="宋体" w:cs="Times New Roman"/>
                <w:color w:val="auto"/>
                <w:sz w:val="22"/>
                <w:u w:val="none"/>
              </w:rPr>
              <w:t>http://computationalmedicine.fi/data#Cytokine_GWAS</w:t>
            </w:r>
            <w:r>
              <w:rPr>
                <w:rStyle w:val="7"/>
                <w:rFonts w:ascii="Times New Roman" w:hAnsi="Times New Roman" w:eastAsia="宋体" w:cs="Times New Roman"/>
                <w:color w:val="auto"/>
                <w:sz w:val="22"/>
                <w:u w:val="none"/>
              </w:rPr>
              <w:fldChar w:fldCharType="end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0" w:hRule="atLeast"/>
        </w:trPr>
        <w:tc>
          <w:tcPr>
            <w:tcW w:w="175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 w:bidi="ar"/>
              </w:rPr>
              <w:t>Hodgkin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 w:bidi="ar"/>
              </w:rPr>
              <w:t>lymphoma</w:t>
            </w:r>
          </w:p>
        </w:tc>
        <w:tc>
          <w:tcPr>
            <w:tcW w:w="213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 w:bidi="ar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22"/>
                <w:lang w:bidi="ar"/>
              </w:rPr>
              <w:t>UK Biobank</w:t>
            </w:r>
          </w:p>
        </w:tc>
        <w:tc>
          <w:tcPr>
            <w:tcW w:w="555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 w:bidi="ar"/>
              </w:rPr>
              <w:t>361,087 unrelated European-descent individuals(306 Hodgkin lymphoma cases and 360,781controls)</w:t>
            </w:r>
          </w:p>
        </w:tc>
        <w:tc>
          <w:tcPr>
            <w:tcW w:w="645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  <w:u w:val="single"/>
              </w:rPr>
            </w:pPr>
            <w:r>
              <w:rPr>
                <w:rFonts w:hint="eastAsia"/>
              </w:rPr>
              <w:t>https://www.nealelab.is/uk-biobank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pStyle w:val="3"/>
        <w:jc w:val="left"/>
      </w:pPr>
      <w:r>
        <w:rPr>
          <w:rFonts w:ascii="Times New Roman" w:hAnsi="Times New Roman" w:cs="Times New Roman"/>
          <w:b/>
          <w:sz w:val="22"/>
        </w:rPr>
        <w:t>Table S</w:t>
      </w:r>
      <w:r>
        <w:rPr>
          <w:rFonts w:hint="eastAsia" w:ascii="Times New Roman" w:hAnsi="Times New Roman" w:cs="Times New Roman"/>
          <w:b/>
          <w:sz w:val="22"/>
          <w:lang w:val="en-US" w:eastAsia="zh-CN"/>
        </w:rPr>
        <w:t>2</w:t>
      </w:r>
      <w:r>
        <w:rPr>
          <w:rFonts w:ascii="Times New Roman" w:hAnsi="Times New Roman" w:cs="Times New Roman"/>
          <w:b/>
          <w:sz w:val="22"/>
        </w:rPr>
        <w:t>. G</w:t>
      </w:r>
      <w:r>
        <w:rPr>
          <w:rFonts w:ascii="Times New Roman" w:hAnsi="Times New Roman" w:cs="Times New Roman"/>
          <w:b/>
          <w:bCs/>
          <w:sz w:val="22"/>
        </w:rPr>
        <w:t xml:space="preserve">enetic instruments </w:t>
      </w:r>
      <w:r>
        <w:rPr>
          <w:rFonts w:hint="eastAsia" w:ascii="Times New Roman" w:hAnsi="Times New Roman" w:cs="Times New Roman"/>
          <w:b/>
          <w:bCs/>
          <w:sz w:val="22"/>
        </w:rPr>
        <w:t>of</w:t>
      </w:r>
      <w:r>
        <w:rPr>
          <w:rFonts w:ascii="Times New Roman" w:hAnsi="Times New Roman" w:cs="Times New Roman"/>
          <w:b/>
          <w:bCs/>
          <w:sz w:val="22"/>
        </w:rPr>
        <w:t xml:space="preserve"> cytokines included in the present study.</w:t>
      </w:r>
    </w:p>
    <w:tbl>
      <w:tblPr>
        <w:tblStyle w:val="4"/>
        <w:tblpPr w:leftFromText="180" w:rightFromText="180" w:vertAnchor="text" w:horzAnchor="page" w:tblpX="867" w:tblpY="63"/>
        <w:tblOverlap w:val="never"/>
        <w:tblW w:w="99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5"/>
        <w:gridCol w:w="1585"/>
        <w:gridCol w:w="2043"/>
        <w:gridCol w:w="14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9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2"/>
              </w:rPr>
              <w:t>Cytokines</w:t>
            </w:r>
          </w:p>
        </w:tc>
        <w:tc>
          <w:tcPr>
            <w:tcW w:w="158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2"/>
              </w:rPr>
              <w:t>Abbreviation</w:t>
            </w:r>
          </w:p>
        </w:tc>
        <w:tc>
          <w:tcPr>
            <w:tcW w:w="204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2"/>
              </w:rPr>
              <w:t>No. of independent genome-wide significant SNPs</w:t>
            </w:r>
          </w:p>
        </w:tc>
        <w:tc>
          <w:tcPr>
            <w:tcW w:w="1486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2"/>
              </w:rPr>
              <w:t>No. of SNPs included in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2"/>
              </w:rPr>
              <w:t>the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Beta nerve growth factor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</w:rPr>
              <w:t>β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-NGF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Cutaneous T-cell attracting (CCL27)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CTACK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198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Eotaxin (CCL11)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Eotaxin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282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Basic fibroblast growth factor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FGF-basic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Granulocyte colony-stimulating factor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G-CSF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Growth regulated oncogene-α (CXCL1)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GRO-α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43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Hepatocyte growth factor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HGF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50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Interferon-gamma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IFN-γ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FF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Interleukin-1 receptor antagonist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IL-1rα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Interleukin-1-beta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IL-1β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IL-2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Interleukin-2 receptor, alpha subunit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IL-2rα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134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IL-4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Interleukin-5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IL-5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20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Interleukin-6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IL-6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Interleukin-7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IL-7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43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Interleukin-8 (CXCL8)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IL-8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IL-9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Interleukin-10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IL-10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91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Interleukin-12p70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IL-12p70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192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Interleukin-13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IL-13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53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Interleukin-16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IL-16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67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FF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Interleukin-17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IL-17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17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Interleukin-18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IL-18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659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Interferon gamma-induced protein 10 (CXCL10)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IP-10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Macrophage colony-stimulating factor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M-CSF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Monocyte chemotactic protein-1 (CCL2)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MCP-1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633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Monocyte specific chemokine 3 (CCL7)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MCP-3</w:t>
            </w:r>
          </w:p>
        </w:tc>
        <w:tc>
          <w:tcPr>
            <w:tcW w:w="20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Macrophage migration inhibitory factor (glycosylation-inhibiting factor)</w:t>
            </w:r>
          </w:p>
        </w:tc>
        <w:tc>
          <w:tcPr>
            <w:tcW w:w="15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MIF</w:t>
            </w:r>
          </w:p>
        </w:tc>
        <w:tc>
          <w:tcPr>
            <w:tcW w:w="20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14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Monokine induced by interferon-gamma (CXCL9)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MIG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72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Macrophage inflammatory protein-1α (CCL3)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MIP-1α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Macrophage inflammatory protein-1β (CCL4)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MIP-1β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2643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Platelet derived growth factor BB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PDGF-bb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244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Regulated on activation, normal T Cell expressed and secreted (CCL5)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RANTES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Stem cell factor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SCF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61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Stem cell growth factor beta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SCGF-β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228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Stromal cell-derived factor-1 alpha (CXCL12)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SDF-1α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Tumor necrosis factor-alpha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TNF-α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Tumor necrosis factor-beta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TNF-β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14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TNF-related apoptosis inducing ligand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TRAIL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528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9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Vascular endothelial growth factor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VEGF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/>
              </w:rPr>
              <w:t>277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20</w:t>
            </w:r>
          </w:p>
        </w:tc>
      </w:tr>
    </w:tbl>
    <w:p>
      <w:pPr>
        <w:ind w:right="1533" w:rightChars="730" w:firstLine="220" w:firstLineChars="100"/>
        <w:jc w:val="left"/>
        <w:rPr>
          <w:rFonts w:ascii="Times New Roman" w:hAnsi="Times New Roman" w:cs="Times New Roman"/>
          <w:sz w:val="22"/>
          <w:lang w:val="en-US" w:eastAsia="zh-CN"/>
        </w:rPr>
      </w:pPr>
      <w:r>
        <w:rPr>
          <w:rFonts w:ascii="Times New Roman" w:hAnsi="Times New Roman" w:cs="Times New Roman"/>
          <w:sz w:val="22"/>
        </w:rPr>
        <w:t>Abbreviation: SNP, single nucleotide polymorphism.</w:t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bookmarkStart w:id="5" w:name="_GoBack"/>
      <w:bookmarkEnd w:id="5"/>
    </w:p>
    <w:p>
      <w:pPr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Table S3. Details of the number of genetic instruments selected for </w:t>
      </w:r>
      <w:r>
        <w:rPr>
          <w:rFonts w:hint="eastAsia" w:ascii="Times New Roman" w:hAnsi="Times New Roman" w:cs="Times New Roman"/>
          <w:b/>
          <w:sz w:val="22"/>
        </w:rPr>
        <w:t xml:space="preserve">circulating levels of </w:t>
      </w:r>
      <w:r>
        <w:rPr>
          <w:rFonts w:ascii="Times New Roman" w:hAnsi="Times New Roman" w:cs="Times New Roman"/>
          <w:b/>
          <w:sz w:val="22"/>
        </w:rPr>
        <w:t>2</w:t>
      </w:r>
      <w:r>
        <w:rPr>
          <w:rFonts w:hint="eastAsia" w:ascii="Times New Roman" w:hAnsi="Times New Roman" w:cs="Times New Roman"/>
          <w:b/>
          <w:sz w:val="22"/>
          <w:lang w:val="en-US" w:eastAsia="zh-CN"/>
        </w:rPr>
        <w:t>6</w:t>
      </w:r>
      <w:r>
        <w:rPr>
          <w:rFonts w:ascii="Times New Roman" w:hAnsi="Times New Roman" w:cs="Times New Roman"/>
          <w:b/>
          <w:sz w:val="22"/>
        </w:rPr>
        <w:t xml:space="preserve"> cytokines, variance explained by the selected instruments, </w:t>
      </w:r>
      <w:r>
        <w:rPr>
          <w:rFonts w:ascii="Times New Roman" w:hAnsi="Times New Roman" w:cs="Times New Roman"/>
          <w:b/>
          <w:sz w:val="22"/>
          <w:lang w:eastAsia="zh-Hans"/>
        </w:rPr>
        <w:t xml:space="preserve">and </w:t>
      </w:r>
      <w:r>
        <w:rPr>
          <w:rFonts w:ascii="Times New Roman" w:hAnsi="Times New Roman" w:cs="Times New Roman"/>
          <w:b/>
          <w:sz w:val="22"/>
        </w:rPr>
        <w:t>F-statistics for the MR analysis based on the sample size o</w:t>
      </w:r>
      <w:r>
        <w:rPr>
          <w:rFonts w:hint="eastAsia" w:ascii="Times New Roman" w:hAnsi="Times New Roman" w:cs="Times New Roman"/>
          <w:b/>
          <w:sz w:val="22"/>
        </w:rPr>
        <w:t xml:space="preserve">f </w:t>
      </w:r>
      <w:r>
        <w:rPr>
          <w:rFonts w:hint="eastAsia" w:ascii="Times New Roman" w:hAnsi="Times New Roman" w:cs="Times New Roman"/>
          <w:b/>
          <w:sz w:val="22"/>
          <w:lang w:val="en-US" w:eastAsia="zh-CN"/>
        </w:rPr>
        <w:t>FinnGen</w:t>
      </w:r>
      <w:r>
        <w:rPr>
          <w:rFonts w:hint="eastAsia" w:ascii="Times New Roman" w:hAnsi="Times New Roman" w:cs="Times New Roman"/>
          <w:b/>
          <w:sz w:val="22"/>
        </w:rPr>
        <w:t>.</w:t>
      </w:r>
    </w:p>
    <w:tbl>
      <w:tblPr>
        <w:tblStyle w:val="5"/>
        <w:tblW w:w="9300" w:type="dxa"/>
        <w:tblInd w:w="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6"/>
        <w:gridCol w:w="2143"/>
        <w:gridCol w:w="2714"/>
        <w:gridCol w:w="2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2"/>
              </w:rPr>
              <w:t>Cytokines</w:t>
            </w:r>
          </w:p>
        </w:tc>
        <w:tc>
          <w:tcPr>
            <w:tcW w:w="21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2"/>
              </w:rPr>
              <w:t>No. of SNPs included in the analysis</w:t>
            </w:r>
          </w:p>
        </w:tc>
        <w:tc>
          <w:tcPr>
            <w:tcW w:w="27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2"/>
              </w:rPr>
              <w:t>Variance explained (R</w:t>
            </w:r>
            <w:r>
              <w:rPr>
                <w:rFonts w:ascii="Times New Roman" w:hAnsi="Times New Roman" w:eastAsia="宋体" w:cs="Times New Roman"/>
                <w:b/>
                <w:kern w:val="0"/>
                <w:sz w:val="22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b/>
                <w:kern w:val="0"/>
                <w:sz w:val="22"/>
              </w:rPr>
              <w:t>)</w:t>
            </w:r>
            <w:r>
              <w:rPr>
                <w:rFonts w:ascii="Times New Roman" w:hAnsi="Times New Roman" w:eastAsia="宋体" w:cs="Times New Roman"/>
                <w:b/>
                <w:kern w:val="0"/>
                <w:sz w:val="22"/>
                <w:vertAlign w:val="superscript"/>
              </w:rPr>
              <w:t>*</w:t>
            </w: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2"/>
              </w:rPr>
              <w:t>F-statistic, median</w:t>
            </w:r>
          </w:p>
          <w:p>
            <w:pPr>
              <w:jc w:val="left"/>
              <w:rPr>
                <w:rFonts w:ascii="Times New Roman" w:hAnsi="Times New Roman" w:eastAsia="宋体" w:cs="Times New Roman"/>
                <w:b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2"/>
              </w:rPr>
              <w:t>(range)</w:t>
            </w:r>
            <w:r>
              <w:rPr>
                <w:rFonts w:ascii="Times New Roman" w:hAnsi="Times New Roman" w:eastAsia="宋体" w:cs="Times New Roman"/>
                <w:b/>
                <w:kern w:val="0"/>
                <w:sz w:val="22"/>
                <w:vertAlign w:val="superscript"/>
              </w:rPr>
              <w:t>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β-NGF</w:t>
            </w:r>
          </w:p>
        </w:tc>
        <w:tc>
          <w:tcPr>
            <w:tcW w:w="214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7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36</w:t>
            </w: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87.16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CTACK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4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highlight w:val="yellow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016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152.43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74.63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324.11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Eotaxin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7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highlight w:val="yellow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10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92.44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35.22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212.28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GRO-α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7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027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240.59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76.20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614.41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HGF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5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43.41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32.29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54.50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IL-2rα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36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315.32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228.58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402.06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IL-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5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12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102.55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IL-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04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35.90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IL-7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51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447.93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IL-10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17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150.91(40.29-357.17)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IL-12p70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11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97.16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31.22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638.59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IL-1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035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321.10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93.23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775.35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IL-17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05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45.09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IL-18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FF0000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5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015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128.94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45.09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235.28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IP-10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010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88.68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2"/>
              </w:rPr>
              <w:t>M-CSF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014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118.33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MCP-1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9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08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68.47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32</w:t>
            </w:r>
            <w:r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55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202.50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MIG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010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92.05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MIP-1β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64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011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94.33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30.37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934.33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PDGF-bb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11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08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71.53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(30.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84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289.65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RANTES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10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87.52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SCF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04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39.83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(31.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98</w:t>
            </w:r>
            <w:r>
              <w:rPr>
                <w:rFonts w:ascii="Times New Roman" w:hAnsi="Times New Roman" w:cs="Times New Roman"/>
                <w:sz w:val="22"/>
              </w:rPr>
              <w:t>-4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7</w:t>
            </w:r>
            <w:r>
              <w:rPr>
                <w:rFonts w:ascii="Times New Roman" w:hAnsi="Times New Roman" w:cs="Times New Roman"/>
                <w:sz w:val="22"/>
              </w:rPr>
              <w:t>.67)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SCGF-β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8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16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135.25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82.08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225.67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TNF-β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046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404.70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256.70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634.39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TRAIL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015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134.72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34.95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445.92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VEGF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</w:t>
            </w:r>
          </w:p>
        </w:tc>
        <w:tc>
          <w:tcPr>
            <w:tcW w:w="271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13</w:t>
            </w:r>
          </w:p>
        </w:tc>
        <w:tc>
          <w:tcPr>
            <w:tcW w:w="2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119.15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39.01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1108.56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</w:tbl>
    <w:p>
      <w:r>
        <w:t>*</w:t>
      </w:r>
      <m:oMath>
        <m:r>
          <m:rPr>
            <m:nor/>
            <m:sty m:val="p"/>
          </m:rPr>
          <w:rPr>
            <w:rFonts w:ascii="Cambria Math" w:hAnsi="Cambria Math"/>
            <w:b w:val="0"/>
            <w:i w:val="0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R</m:t>
            </m:r>
            <m:ctrlPr>
              <w:rPr>
                <w:rFonts w:ascii="Cambria Math" w:hAnsi="Cambria Math"/>
              </w:rPr>
            </m:ctrlPr>
          </m:e>
          <m:sup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2</m:t>
            </m:r>
            <m:ctrlPr>
              <w:rPr>
                <w:rFonts w:ascii="Cambria Math" w:hAnsi="Cambria Math"/>
              </w:rPr>
            </m:ctrlPr>
          </m:sup>
        </m:sSup>
        <w:bookmarkStart w:id="0" w:name="OLE_LINK24"/>
        <w:bookmarkStart w:id="1" w:name="OLE_LINK25"/>
        <w:bookmarkStart w:id="2" w:name="OLE_LINK26"/>
        <m:r>
          <m:rPr>
            <m:nor/>
            <m:sty m:val="p"/>
          </m:rPr>
          <w:rPr>
            <w:rFonts w:ascii="Cambria Math" w:hAnsi="Cambria Math"/>
            <w:b w:val="0"/>
            <w:i w:val="0"/>
          </w:rPr>
          <m:t xml:space="preserve">= </m:t>
        </m:r>
        <w:bookmarkEnd w:id="0"/>
        <w:bookmarkEnd w:id="1"/>
        <w:bookmarkEnd w:id="2"/>
        <m:r>
          <m:rPr>
            <m:nor/>
            <m:sty m:val="p"/>
          </m:rPr>
          <w:rPr>
            <w:rFonts w:ascii="Cambria Math" w:hAnsi="Cambria Math"/>
            <w:b w:val="0"/>
            <w:i w:val="0"/>
          </w:rPr>
          <m:t>2×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β</m:t>
            </m:r>
            <m:ctrlPr>
              <w:rPr>
                <w:rFonts w:ascii="Cambria Math" w:hAnsi="Cambria Math"/>
              </w:rPr>
            </m:ctrlPr>
          </m:e>
          <m:sup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2</m:t>
            </m:r>
            <m:ctrlPr>
              <w:rPr>
                <w:rFonts w:ascii="Cambria Math" w:hAnsi="Cambria Math"/>
              </w:rPr>
            </m:ctrlPr>
          </m:sup>
        </m:sSup>
        <m:r>
          <m:rPr>
            <m:nor/>
            <m:sty m:val="p"/>
          </m:rPr>
          <w:rPr>
            <w:rFonts w:ascii="Cambria Math" w:hAnsi="Cambria Math"/>
            <w:b w:val="0"/>
            <w:i w:val="0"/>
          </w:rPr>
          <m:t>×MAF×(1-MAF)/(2 ×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β</m:t>
            </m:r>
            <m:ctrlPr>
              <w:rPr>
                <w:rFonts w:ascii="Cambria Math" w:hAnsi="Cambria Math"/>
              </w:rPr>
            </m:ctrlPr>
          </m:e>
          <m:sup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2</m:t>
            </m:r>
            <m:ctrlPr>
              <w:rPr>
                <w:rFonts w:ascii="Cambria Math" w:hAnsi="Cambria Math"/>
              </w:rPr>
            </m:ctrlPr>
          </m:sup>
        </m:sSup>
        <m:r>
          <m:rPr>
            <m:nor/>
            <m:sty m:val="p"/>
          </m:rPr>
          <w:rPr>
            <w:rFonts w:ascii="Cambria Math" w:hAnsi="Cambria Math"/>
            <w:b w:val="0"/>
            <w:i w:val="0"/>
          </w:rPr>
          <m:t>×MAF×(1-MAF)+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(SE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nor/>
                    <m:sty m:val="p"/>
                  </m:rPr>
                  <w:rPr>
                    <w:rFonts w:ascii="Cambria Math" w:hAnsi="Cambria Math"/>
                    <w:b w:val="0"/>
                    <w:i w:val="0"/>
                  </w:rPr>
                  <m:t>β</m:t>
                </m:r>
                <m:ctrlPr>
                  <w:rPr>
                    <w:rFonts w:ascii="Cambria Math" w:hAnsi="Cambria Math"/>
                  </w:rPr>
                </m:ctrlPr>
              </m:e>
            </m:d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)</m:t>
            </m:r>
            <m:ctrlPr>
              <w:rPr>
                <w:rFonts w:ascii="Cambria Math" w:hAnsi="Cambria Math"/>
              </w:rPr>
            </m:ctrlPr>
          </m:e>
          <m:sup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2</m:t>
            </m:r>
            <m:ctrlPr>
              <w:rPr>
                <w:rFonts w:ascii="Cambria Math" w:hAnsi="Cambria Math"/>
              </w:rPr>
            </m:ctrlPr>
          </m:sup>
        </m:sSup>
        <m:r>
          <m:rPr>
            <m:nor/>
            <m:sty m:val="p"/>
          </m:rPr>
          <w:rPr>
            <w:rFonts w:ascii="Cambria Math" w:hAnsi="Cambria Math"/>
            <w:b w:val="0"/>
            <w:i w:val="0"/>
          </w:rPr>
          <m:t>×2×N×MAF×(1-MAF))</m:t>
        </m:r>
      </m:oMath>
      <w:r>
        <w:t>. β: effect size estimates of the SNPs of cytokines levels; MAF: minimum allele frequency. The variance of each cytokine was calculated by using an additive model under the assumption of no interaction between each SNPs. (Yarmolinsky J et al</w:t>
      </w:r>
      <w:r>
        <w:rPr>
          <w:rFonts w:hint="eastAsia"/>
          <w:lang w:val="en-US" w:eastAsia="zh-CN"/>
        </w:rPr>
        <w:t>,</w:t>
      </w:r>
      <w:r>
        <w:t xml:space="preserve"> J Natl Cancer Inst, 2018;110(9):1035-1038.)</w:t>
      </w:r>
    </w:p>
    <w:p>
      <w:pPr>
        <w:rPr>
          <w:rFonts w:hint="eastAsia"/>
        </w:rPr>
      </w:pPr>
      <w:r>
        <w:t xml:space="preserve">¶ </w:t>
      </w:r>
      <m:oMath>
        <m:r>
          <m:rPr>
            <m:nor/>
            <m:sty m:val="p"/>
          </m:rPr>
          <w:rPr>
            <w:rFonts w:ascii="Cambria Math" w:hAnsi="Cambria Math"/>
            <w:b w:val="0"/>
            <w:i w:val="0"/>
          </w:rPr>
          <m:t>F=</m:t>
        </m:r>
        <m:sSup>
          <w:bookmarkStart w:id="3" w:name="OLE_LINK89"/>
          <w:bookmarkStart w:id="4" w:name="OLE_LINK90"/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R</m:t>
            </m:r>
            <m:ctrlPr>
              <w:rPr>
                <w:rFonts w:ascii="Cambria Math" w:hAnsi="Cambria Math"/>
              </w:rPr>
            </m:ctrlPr>
          </m:e>
          <m:sup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2</m:t>
            </m:r>
            <m:ctrlPr>
              <w:rPr>
                <w:rFonts w:ascii="Cambria Math" w:hAnsi="Cambria Math"/>
              </w:rPr>
            </m:ctrlPr>
          </m:sup>
        </m:sSup>
        <m:r>
          <m:rPr>
            <m:nor/>
            <m:sty m:val="p"/>
          </m:rPr>
          <w:rPr>
            <w:rFonts w:ascii="Cambria Math" w:hAnsi="Cambria Math"/>
            <w:b w:val="0"/>
            <w:i w:val="0"/>
          </w:rPr>
          <m:t>×(N-1-k))/((1-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R</m:t>
            </m:r>
            <m:ctrlPr>
              <w:rPr>
                <w:rFonts w:ascii="Cambria Math" w:hAnsi="Cambria Math"/>
              </w:rPr>
            </m:ctrlPr>
          </m:e>
          <m:sup>
            <m:r>
              <m:rPr>
                <m:nor/>
                <m:sty m:val="p"/>
              </m:rPr>
              <w:rPr>
                <w:rFonts w:ascii="Cambria Math" w:hAnsi="Cambria Math"/>
                <w:b w:val="0"/>
                <w:i w:val="0"/>
              </w:rPr>
              <m:t>2</m:t>
            </m:r>
            <m:ctrlPr>
              <w:rPr>
                <w:rFonts w:ascii="Cambria Math" w:hAnsi="Cambria Math"/>
              </w:rPr>
            </m:ctrlPr>
          </m:sup>
        </m:sSup>
        <m:r>
          <m:rPr>
            <m:nor/>
            <m:sty m:val="p"/>
          </m:rPr>
          <w:rPr>
            <w:rFonts w:ascii="Cambria Math" w:hAnsi="Cambria Math"/>
            <w:b w:val="0"/>
            <w:i w:val="0"/>
          </w:rPr>
          <m:t>)×k)</m:t>
        </m:r>
      </m:oMath>
      <w:bookmarkEnd w:id="3"/>
      <w:bookmarkEnd w:id="4"/>
      <w:r>
        <w:t xml:space="preserve">. R2 represents the variance explained by the IVs; N is the sample size; k is the number of SNPs included in the instrument. (Bowden J </w:t>
      </w:r>
      <w:r>
        <w:rPr>
          <w:rFonts w:hint="default"/>
          <w:lang w:eastAsia="zh-Hans"/>
        </w:rPr>
        <w:t>et al</w:t>
      </w:r>
      <w:r>
        <w:rPr>
          <w:rFonts w:hint="eastAsia"/>
          <w:lang w:val="en-US" w:eastAsia="zh-CN"/>
        </w:rPr>
        <w:t xml:space="preserve">, </w:t>
      </w:r>
      <w:r>
        <w:t>Genet Epidemiol</w:t>
      </w:r>
      <w:r>
        <w:rPr>
          <w:rFonts w:hint="default"/>
        </w:rPr>
        <w:t xml:space="preserve">, </w:t>
      </w:r>
      <w:r>
        <w:t>2016;40(4):304-14).</w:t>
      </w:r>
    </w:p>
    <w:p/>
    <w:p/>
    <w:p/>
    <w:p/>
    <w:p/>
    <w:p/>
    <w:p/>
    <w:p/>
    <w:p/>
    <w:p/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left"/>
        <w:textAlignment w:val="center"/>
        <w:rPr>
          <w:rFonts w:hint="eastAsia" w:ascii="Times New Roman" w:hAnsi="Times New Roman" w:eastAsia="Times New Roman"/>
          <w:b/>
          <w:color w:val="000000"/>
          <w:sz w:val="23"/>
          <w:szCs w:val="24"/>
          <w:lang w:val="en-US" w:eastAsia="zh-CN"/>
        </w:rPr>
      </w:pPr>
      <w:r>
        <w:rPr>
          <w:rFonts w:ascii="Times New Roman" w:hAnsi="Times New Roman" w:cs="Times New Roman"/>
          <w:b/>
          <w:sz w:val="22"/>
        </w:rPr>
        <w:t>Table S</w:t>
      </w:r>
      <w:r>
        <w:rPr>
          <w:rFonts w:hint="eastAsia" w:ascii="Times New Roman" w:hAnsi="Times New Roman" w:cs="Times New Roman"/>
          <w:b/>
          <w:sz w:val="22"/>
          <w:lang w:val="en-US" w:eastAsia="zh-CN"/>
        </w:rPr>
        <w:t>4</w:t>
      </w:r>
      <w:r>
        <w:rPr>
          <w:rFonts w:ascii="Times New Roman" w:hAnsi="Times New Roman" w:cs="Times New Roman"/>
          <w:b/>
          <w:sz w:val="22"/>
        </w:rPr>
        <w:t xml:space="preserve">. </w:t>
      </w:r>
      <w:r>
        <w:rPr>
          <w:rFonts w:hint="default" w:ascii="Times New Roman" w:hAnsi="Times New Roman" w:eastAsia="Times New Roman"/>
          <w:b/>
          <w:color w:val="000000"/>
          <w:sz w:val="23"/>
          <w:szCs w:val="24"/>
        </w:rPr>
        <w:t xml:space="preserve">.MR analyses effect estimates for </w:t>
      </w:r>
      <w:r>
        <w:rPr>
          <w:rFonts w:ascii="Times New Roman" w:hAnsi="Times New Roman" w:cs="Times New Roman"/>
          <w:b/>
          <w:sz w:val="22"/>
        </w:rPr>
        <w:t>2</w:t>
      </w:r>
      <w:r>
        <w:rPr>
          <w:rFonts w:hint="eastAsia" w:ascii="Times New Roman" w:hAnsi="Times New Roman" w:cs="Times New Roman"/>
          <w:b/>
          <w:sz w:val="22"/>
          <w:lang w:val="en-US" w:eastAsia="zh-CN"/>
        </w:rPr>
        <w:t>6</w:t>
      </w:r>
      <w:r>
        <w:rPr>
          <w:rFonts w:ascii="Times New Roman" w:hAnsi="Times New Roman" w:cs="Times New Roman"/>
          <w:b/>
          <w:sz w:val="22"/>
        </w:rPr>
        <w:t xml:space="preserve"> cytokines</w:t>
      </w:r>
      <w:r>
        <w:rPr>
          <w:rFonts w:hint="eastAsia" w:ascii="Times New Roman Regular" w:hAnsi="Times New Roman Regular" w:eastAsia="宋体" w:cs="Times New Roman Regular"/>
          <w:b/>
          <w:bCs/>
          <w:color w:val="000000"/>
          <w:kern w:val="0"/>
          <w:sz w:val="22"/>
          <w:lang w:val="en-US" w:eastAsia="zh-CN" w:bidi="ar"/>
        </w:rPr>
        <w:t xml:space="preserve"> </w:t>
      </w:r>
      <w:r>
        <w:rPr>
          <w:rFonts w:hint="default" w:ascii="Times New Roman" w:hAnsi="Times New Roman" w:eastAsia="Times New Roman"/>
          <w:b/>
          <w:color w:val="000000"/>
          <w:sz w:val="23"/>
          <w:szCs w:val="24"/>
        </w:rPr>
        <w:t xml:space="preserve">with </w:t>
      </w:r>
      <w:r>
        <w:rPr>
          <w:rFonts w:hint="eastAsia" w:ascii="Times New Roman" w:hAnsi="Times New Roman" w:eastAsia="Times New Roman"/>
          <w:b/>
          <w:color w:val="000000"/>
          <w:sz w:val="23"/>
          <w:szCs w:val="24"/>
          <w:lang w:val="en-US" w:eastAsia="zh-CN"/>
        </w:rPr>
        <w:t>Hodgkin lymphoma</w:t>
      </w:r>
      <w:r>
        <w:rPr>
          <w:rFonts w:hint="eastAsia" w:ascii="Times New Roman" w:hAnsi="Times New Roman" w:eastAsia="Times New Roman"/>
          <w:b/>
          <w:color w:val="000000"/>
          <w:sz w:val="23"/>
          <w:szCs w:val="24"/>
        </w:rPr>
        <w:t>.</w:t>
      </w:r>
    </w:p>
    <w:tbl>
      <w:tblPr>
        <w:tblStyle w:val="4"/>
        <w:tblW w:w="91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1"/>
        <w:gridCol w:w="1553"/>
        <w:gridCol w:w="2077"/>
        <w:gridCol w:w="14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 Regular" w:hAnsi="Times New Roman Regular" w:eastAsia="宋体" w:cs="Times New Roman Regular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b/>
                <w:bCs/>
                <w:color w:val="000000"/>
                <w:kern w:val="0"/>
                <w:sz w:val="22"/>
                <w:lang w:bidi="ar"/>
              </w:rPr>
              <w:t>Exposure and method</w:t>
            </w:r>
          </w:p>
        </w:tc>
        <w:tc>
          <w:tcPr>
            <w:tcW w:w="155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sz w:val="22"/>
              </w:rPr>
            </w:pPr>
            <w:r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kern w:val="0"/>
                <w:sz w:val="22"/>
                <w:lang w:bidi="ar"/>
              </w:rPr>
              <w:t>SNPs</w:t>
            </w:r>
          </w:p>
        </w:tc>
        <w:tc>
          <w:tcPr>
            <w:tcW w:w="2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sz w:val="22"/>
              </w:rPr>
            </w:pPr>
            <w:r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kern w:val="0"/>
                <w:sz w:val="22"/>
                <w:lang w:bidi="ar"/>
              </w:rPr>
              <w:t>OR (95%</w:t>
            </w:r>
            <w:r>
              <w:rPr>
                <w:rFonts w:hint="eastAsia" w:ascii="Times New Roman Regular" w:hAnsi="Times New Roman Regular" w:eastAsia="宋体" w:cs="Times New Roman Regular"/>
                <w:b/>
                <w:bCs/>
                <w:color w:val="000000"/>
                <w:kern w:val="0"/>
                <w:sz w:val="22"/>
                <w:lang w:val="en-US" w:eastAsia="zh-CN" w:bidi="ar"/>
              </w:rPr>
              <w:t xml:space="preserve"> </w:t>
            </w:r>
            <w:r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kern w:val="0"/>
                <w:sz w:val="22"/>
                <w:lang w:bidi="ar"/>
              </w:rPr>
              <w:t>CI)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/>
                <w:iCs/>
                <w:color w:val="000000"/>
                <w:sz w:val="22"/>
                <w:lang w:val="en-US" w:eastAsia="zh-CN"/>
              </w:rPr>
            </w:pPr>
            <w:r>
              <w:rPr>
                <w:rStyle w:val="8"/>
                <w:b/>
                <w:bCs/>
                <w:lang w:bidi="ar"/>
              </w:rPr>
              <w:t>P</w:t>
            </w:r>
            <w:r>
              <w:rPr>
                <w:rStyle w:val="8"/>
                <w:rFonts w:hint="eastAsia" w:eastAsia="宋体"/>
                <w:b/>
                <w:bCs/>
                <w:lang w:val="en-US" w:eastAsia="zh-CN" w:bidi="ar"/>
              </w:rPr>
              <w:t>-</w:t>
            </w:r>
            <w:r>
              <w:rPr>
                <w:rStyle w:val="9"/>
                <w:rFonts w:hint="eastAsia" w:eastAsia="宋体"/>
                <w:b/>
                <w:bCs/>
                <w:lang w:val="en-US" w:eastAsia="zh-CN" w:bidi="ar"/>
              </w:rPr>
              <w:t>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40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β-NGF</w:t>
            </w:r>
          </w:p>
        </w:tc>
        <w:tc>
          <w:tcPr>
            <w:tcW w:w="155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Wald ratio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Times New Roman Regular" w:hAnsi="Times New Roman Regular" w:eastAsia="宋体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</w:t>
            </w:r>
            <w:r>
              <w:rPr>
                <w:rFonts w:hint="eastAsia" w:ascii="Times New Roman Regular" w:hAnsi="Times New Roman Regular" w:eastAsia="宋体" w:cs="Times New Roman Regular"/>
                <w:color w:val="000000"/>
                <w:sz w:val="16"/>
                <w:szCs w:val="16"/>
                <w:lang w:val="en-US" w:eastAsia="zh-CN"/>
              </w:rPr>
              <w:t>0(0.999,1.001)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0.215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CTACK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0.181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Eotaxin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0.999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0.132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GRO-α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0.999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HGF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b w:val="0"/>
                <w:bCs w:val="0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0.999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IL-2rα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0.890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(0.686,1.155)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IL-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Wald ratio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0(0.999,1.001)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IL-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Wald ratio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0(0.998,1.001)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IL-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Wald ratio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0(0.999,1.000)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0.726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IL-10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0(0.999,1.000)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IL-12p70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0(0.999,1.000)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0.356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IL-1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0(0.999,1.000)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0.630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IL-17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Wald ratio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0.999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(0.998,1.000)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IL-1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0(0.999,1.000)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IP-10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Wald ratio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0.743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(0.355,1.554)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0.430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M-CSF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Wald ratio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0.999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MCP-1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0.999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0.134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MIG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Wald ratio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(0.998,1.001)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MIP-1β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64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0.895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PDGF-bb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RANTES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Wald ratio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(0.998,1.001)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SCF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(0.998,1.001)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SCGF-β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TNF-β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0.999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0.794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TRAIL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23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0.999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0.958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VEGF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IVW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20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</w:rPr>
              <w:t>1.000</w:t>
            </w: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(0.999,1.000)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0" w:firstLineChars="10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 Regular" w:hAnsi="Times New Roman Regular" w:eastAsia="Times New Roman Regular" w:cs="Times New Roman Regular"/>
                <w:color w:val="000000"/>
                <w:sz w:val="16"/>
                <w:szCs w:val="16"/>
                <w:lang w:val="en-US" w:eastAsia="zh-CN"/>
              </w:rPr>
              <w:t>0.438</w:t>
            </w:r>
          </w:p>
        </w:tc>
      </w:tr>
    </w:tbl>
    <w:p>
      <w:pPr>
        <w:rPr>
          <w:rFonts w:hint="default" w:ascii="Times New Roman" w:hAnsi="Times New Roman" w:eastAsia="Times New Roman"/>
          <w:color w:val="000000"/>
          <w:sz w:val="22"/>
          <w:szCs w:val="24"/>
          <w:lang w:val="en-US" w:eastAsia="zh-CN"/>
        </w:rPr>
      </w:pPr>
      <w:r>
        <w:rPr>
          <w:rFonts w:hint="eastAsia" w:ascii="Times New Roman" w:hAnsi="Times New Roman" w:eastAsia="Times New Roman"/>
          <w:color w:val="000000"/>
          <w:sz w:val="22"/>
          <w:szCs w:val="24"/>
        </w:rPr>
        <w:t xml:space="preserve">Abbreviations: </w:t>
      </w:r>
      <w:r>
        <w:rPr>
          <w:rFonts w:hint="default" w:ascii="Times New Roman" w:hAnsi="Times New Roman" w:eastAsia="Times New Roman"/>
          <w:color w:val="000000"/>
          <w:sz w:val="22"/>
          <w:szCs w:val="24"/>
        </w:rPr>
        <w:t>IVW, inverse-variance weighted;</w:t>
      </w:r>
      <w:r>
        <w:rPr>
          <w:rFonts w:hint="eastAsia" w:ascii="Times New Roman" w:hAnsi="Times New Roman" w:eastAsia="Times New Roman"/>
          <w:color w:val="000000"/>
          <w:sz w:val="22"/>
          <w:szCs w:val="24"/>
        </w:rPr>
        <w:t xml:space="preserve">CI,confidence interval. </w:t>
      </w: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Bold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NewRomanPSMT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xNmI4MzU5MTRhYmRjMzU5ZGY5NGQ1Yjc1MWU3ZDIifQ=="/>
  </w:docVars>
  <w:rsids>
    <w:rsidRoot w:val="00172A27"/>
    <w:rsid w:val="15C01464"/>
    <w:rsid w:val="319B0EE5"/>
    <w:rsid w:val="3E7875EF"/>
    <w:rsid w:val="78265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font131"/>
    <w:basedOn w:val="6"/>
    <w:qFormat/>
    <w:uiPriority w:val="0"/>
    <w:rPr>
      <w:rFonts w:hint="default" w:ascii="Times New Roman Regular" w:hAnsi="Times New Roman Regular" w:eastAsia="Times New Roman Regular" w:cs="Times New Roman Regular"/>
      <w:i/>
      <w:iCs/>
      <w:color w:val="000000"/>
      <w:sz w:val="22"/>
      <w:szCs w:val="22"/>
      <w:u w:val="none"/>
    </w:rPr>
  </w:style>
  <w:style w:type="character" w:customStyle="1" w:styleId="9">
    <w:name w:val="font151"/>
    <w:basedOn w:val="6"/>
    <w:qFormat/>
    <w:uiPriority w:val="0"/>
    <w:rPr>
      <w:rFonts w:hint="default" w:ascii="Times New Roman Regular" w:hAnsi="Times New Roman Regular" w:eastAsia="Times New Roman Regular" w:cs="Times New Roman Regular"/>
      <w:color w:val="000000"/>
      <w:sz w:val="22"/>
      <w:szCs w:val="22"/>
      <w:u w:val="none"/>
    </w:rPr>
  </w:style>
  <w:style w:type="character" w:customStyle="1" w:styleId="10">
    <w:name w:val="font112"/>
    <w:basedOn w:val="6"/>
    <w:qFormat/>
    <w:uiPriority w:val="0"/>
    <w:rPr>
      <w:rFonts w:hint="default" w:ascii="Times New Roman Regular" w:hAnsi="Times New Roman Regular" w:eastAsia="Times New Roman Regular" w:cs="Times New Roman Regular"/>
      <w:i/>
      <w:iCs/>
      <w:color w:val="000000"/>
      <w:sz w:val="24"/>
      <w:szCs w:val="24"/>
      <w:u w:val="none"/>
    </w:rPr>
  </w:style>
  <w:style w:type="character" w:customStyle="1" w:styleId="11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141"/>
    <w:basedOn w:val="6"/>
    <w:qFormat/>
    <w:uiPriority w:val="0"/>
    <w:rPr>
      <w:rFonts w:hint="default" w:ascii="Times New Roman Regular" w:hAnsi="Times New Roman Regular" w:eastAsia="Times New Roman Regular" w:cs="Times New Roman Regular"/>
      <w:color w:val="000000"/>
      <w:sz w:val="22"/>
      <w:szCs w:val="22"/>
      <w:u w:val="none"/>
    </w:rPr>
  </w:style>
  <w:style w:type="character" w:customStyle="1" w:styleId="13">
    <w:name w:val="font91"/>
    <w:basedOn w:val="6"/>
    <w:qFormat/>
    <w:uiPriority w:val="0"/>
    <w:rPr>
      <w:rFonts w:hint="default" w:ascii="Times New Roman Regular" w:hAnsi="Times New Roman Regular" w:eastAsia="Times New Roman Regular" w:cs="Times New Roman Regular"/>
      <w:color w:val="000000"/>
      <w:sz w:val="22"/>
      <w:szCs w:val="22"/>
      <w:u w:val="none"/>
      <w:vertAlign w:val="superscript"/>
    </w:rPr>
  </w:style>
  <w:style w:type="paragraph" w:customStyle="1" w:styleId="14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Times New Roman" w:cstheme="minorBidi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741</Words>
  <Characters>4474</Characters>
  <Lines>0</Lines>
  <Paragraphs>0</Paragraphs>
  <TotalTime>0</TotalTime>
  <ScaleCrop>false</ScaleCrop>
  <LinksUpToDate>false</LinksUpToDate>
  <CharactersWithSpaces>4816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2022-12-05T09:28:00Z</dcterms:created>
  <dc:creator>胡小胖</dc:creator>
  <cp:lastModifiedBy>胡小胖</cp:lastModifiedBy>
  <dcterms:modified xsi:type="dcterms:W3CDTF">2022-12-06T11:43:18Z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3DA04E1D1B5240108D53BE6BF3AF905A</vt:lpwstr>
  </property>
</Properties>
</file>