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23C726" w14:textId="77777777" w:rsidR="0030211E" w:rsidRPr="00186407" w:rsidRDefault="0030211E" w:rsidP="0030211E">
      <w:pPr>
        <w:jc w:val="center"/>
        <w:rPr>
          <w:rFonts w:ascii="Times" w:hAnsi="Times"/>
          <w:sz w:val="28"/>
          <w:szCs w:val="28"/>
        </w:rPr>
      </w:pPr>
      <w:r w:rsidRPr="00186407">
        <w:rPr>
          <w:rFonts w:ascii="Times" w:hAnsi="Times"/>
          <w:b/>
          <w:bCs/>
          <w:sz w:val="28"/>
          <w:szCs w:val="28"/>
        </w:rPr>
        <w:t>Supplemental Information</w:t>
      </w:r>
    </w:p>
    <w:p w14:paraId="409BE16F" w14:textId="77777777" w:rsidR="0030211E" w:rsidRDefault="0030211E" w:rsidP="0030211E">
      <w:pPr>
        <w:jc w:val="center"/>
        <w:rPr>
          <w:rFonts w:ascii="Times" w:hAnsi="Times"/>
          <w:sz w:val="28"/>
          <w:szCs w:val="28"/>
        </w:rPr>
      </w:pPr>
    </w:p>
    <w:p w14:paraId="372436FE" w14:textId="77777777" w:rsidR="0030211E" w:rsidRDefault="0030211E" w:rsidP="0030211E">
      <w:pPr>
        <w:rPr>
          <w:rFonts w:ascii="Times" w:hAnsi="Times"/>
          <w:sz w:val="28"/>
          <w:szCs w:val="28"/>
        </w:rPr>
      </w:pPr>
    </w:p>
    <w:p w14:paraId="035E75AF" w14:textId="77777777" w:rsidR="0030211E" w:rsidRPr="00392273" w:rsidRDefault="0030211E" w:rsidP="0030211E">
      <w:pPr>
        <w:rPr>
          <w:rFonts w:ascii="Times" w:hAnsi="Times"/>
        </w:rPr>
      </w:pPr>
      <w:r w:rsidRPr="00392273">
        <w:rPr>
          <w:rFonts w:ascii="Times" w:hAnsi="Times"/>
        </w:rPr>
        <w:t>Figure S1</w:t>
      </w:r>
      <w:r>
        <w:rPr>
          <w:rFonts w:ascii="Times" w:hAnsi="Times"/>
        </w:rPr>
        <w:t>:</w:t>
      </w:r>
    </w:p>
    <w:p w14:paraId="59D57205" w14:textId="77777777" w:rsidR="0030211E" w:rsidRPr="00C34364" w:rsidRDefault="0030211E" w:rsidP="0030211E">
      <w:pPr>
        <w:spacing w:line="360" w:lineRule="auto"/>
        <w:rPr>
          <w:rFonts w:ascii="Times" w:hAnsi="Times"/>
        </w:rPr>
      </w:pPr>
    </w:p>
    <w:p w14:paraId="6C84138A" w14:textId="77777777" w:rsidR="0030211E" w:rsidRPr="00C34364" w:rsidRDefault="0030211E" w:rsidP="0030211E">
      <w:pPr>
        <w:rPr>
          <w:rFonts w:ascii="Times" w:hAnsi="Times"/>
        </w:rPr>
      </w:pPr>
      <w:r w:rsidRPr="001315B6">
        <w:rPr>
          <w:rFonts w:ascii="Times" w:hAnsi="Times"/>
          <w:noProof/>
        </w:rPr>
        <w:drawing>
          <wp:inline distT="0" distB="0" distL="0" distR="0" wp14:anchorId="12E49F5B" wp14:editId="67C21A5B">
            <wp:extent cx="5288280" cy="327805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98992" cy="3284696"/>
                    </a:xfrm>
                    <a:prstGeom prst="rect">
                      <a:avLst/>
                    </a:prstGeom>
                  </pic:spPr>
                </pic:pic>
              </a:graphicData>
            </a:graphic>
          </wp:inline>
        </w:drawing>
      </w:r>
    </w:p>
    <w:p w14:paraId="21EE7A4A" w14:textId="77777777" w:rsidR="0030211E" w:rsidRDefault="0030211E" w:rsidP="0030211E">
      <w:pPr>
        <w:spacing w:line="360" w:lineRule="auto"/>
        <w:rPr>
          <w:rFonts w:ascii="Times" w:hAnsi="Times"/>
        </w:rPr>
      </w:pPr>
      <w:r w:rsidRPr="00C34364">
        <w:rPr>
          <w:rFonts w:ascii="Times" w:hAnsi="Times"/>
        </w:rPr>
        <w:t xml:space="preserve">Figure </w:t>
      </w:r>
      <w:r>
        <w:rPr>
          <w:rFonts w:ascii="Times" w:hAnsi="Times"/>
        </w:rPr>
        <w:t>S</w:t>
      </w:r>
      <w:r w:rsidRPr="00C34364">
        <w:rPr>
          <w:rFonts w:ascii="Times" w:hAnsi="Times"/>
        </w:rPr>
        <w:t xml:space="preserve">1: </w:t>
      </w:r>
      <w:r>
        <w:rPr>
          <w:rFonts w:ascii="Times" w:hAnsi="Times"/>
        </w:rPr>
        <w:t xml:space="preserve">Distribution of semi-arid regions and savanna-grasslands with points identifying the locations of our sites in the meta-analysis. We determined the distribution of savanna-grasslands using the WWF ecoregions but excluded the </w:t>
      </w:r>
      <w:r w:rsidRPr="001405BA">
        <w:rPr>
          <w:rFonts w:ascii="Times" w:hAnsi="Times"/>
        </w:rPr>
        <w:t xml:space="preserve">Montane Grasslands &amp; Shrublands </w:t>
      </w:r>
      <w:r>
        <w:rPr>
          <w:rFonts w:ascii="Times" w:hAnsi="Times"/>
        </w:rPr>
        <w:t>category because this included steppe (</w:t>
      </w:r>
      <w:hyperlink r:id="rId6" w:history="1">
        <w:r>
          <w:rPr>
            <w:rStyle w:val="Hyperlink"/>
          </w:rPr>
          <w:t>https://www.worldwildlife.org/biomes/montane-grasslands-and-shrublands</w:t>
        </w:r>
      </w:hyperlink>
      <w:r>
        <w:rPr>
          <w:rFonts w:ascii="Times" w:hAnsi="Times"/>
        </w:rPr>
        <w:t xml:space="preserve">). Maps were downloaded on 1/1/2023. We also added the MODIS map of </w:t>
      </w:r>
      <w:r w:rsidRPr="001315B6">
        <w:rPr>
          <w:rFonts w:ascii="Times" w:hAnsi="Times"/>
        </w:rPr>
        <w:t xml:space="preserve">semidry shrub </w:t>
      </w:r>
      <w:r>
        <w:rPr>
          <w:rFonts w:ascii="Times" w:hAnsi="Times"/>
        </w:rPr>
        <w:t>and</w:t>
      </w:r>
      <w:r w:rsidRPr="001315B6">
        <w:rPr>
          <w:rFonts w:ascii="Times" w:hAnsi="Times"/>
        </w:rPr>
        <w:t xml:space="preserve"> savanna</w:t>
      </w:r>
      <w:r>
        <w:rPr>
          <w:rFonts w:ascii="Times" w:hAnsi="Times"/>
        </w:rPr>
        <w:fldChar w:fldCharType="begin" w:fldLock="1"/>
      </w:r>
      <w:r>
        <w:rPr>
          <w:rFonts w:ascii="Times" w:hAnsi="Times"/>
        </w:rPr>
        <w:instrText>ADDIN CSL_CITATION {"citationItems":[{"id":"ITEM-1","itemData":{"DOI":"10.1126/science.aaa1668","abstract":"The growth rate of atmospheric carbon dioxide (CO2) concentrations since industrialization is characterized by large interannual variability, mostly resulting from variability in CO2 uptake by terrestrial ecosystems (typically termed carbon sink). However, the contributions of regional ecosystems to that variability are not well known. Using an ensemble of ecosystem and land-surface models and an empirical observation-based product of global gross primary production, we show that the mean sink, trend, and interannual variability in CO2 uptake by terrestrial ecosystems are dominated by distinct biogeographic regions. Whereas the mean sink is dominated by highly productive lands (mainly tropical forests), the trend and interannual variability of the sink are dominated by semi-arid ecosystems whose carbon balance is strongly associated with circulation-driven variations in both precipitation and temperature.","author":[{"dropping-particle":"","family":"Ahlström","given":"Anders","non-dropping-particle":"","parse-names":false,"suffix":""},{"dropping-particle":"","family":"Raupach","given":"Michael R","non-dropping-particle":"","parse-names":false,"suffix":""},{"dropping-particle":"","family":"Schurgers","given":"Guy","non-dropping-particle":"","parse-names":false,"suffix":""},{"dropping-particle":"","family":"Smith","given":"Benjamin","non-dropping-particle":"","parse-names":false,"suffix":""},{"dropping-particle":"","family":"Arneth","given":"Almut","non-dropping-particle":"","parse-names":false,"suffix":""},{"dropping-particle":"","family":"Jung","given":"Martin","non-dropping-particle":"","parse-names":false,"suffix":""},{"dropping-particle":"","family":"Reichstein","given":"Markus","non-dropping-particle":"","parse-names":false,"suffix":""},{"dropping-particle":"","family":"Canadell","given":"Josep G","non-dropping-particle":"","parse-names":false,"suffix":""},{"dropping-particle":"","family":"Friedlingstein","given":"Pierre","non-dropping-particle":"","parse-names":false,"suffix":""},{"dropping-particle":"","family":"Jain","given":"Atul K","non-dropping-particle":"","parse-names":false,"suffix":""},{"dropping-particle":"","family":"Kato","given":"Etsushi","non-dropping-particle":"","parse-names":false,"suffix":""},{"dropping-particle":"","family":"Poulter","given":"Benjamin","non-dropping-particle":"","parse-names":false,"suffix":""},{"dropping-particle":"","family":"Sitch","given":"Stephen","non-dropping-particle":"","parse-names":false,"suffix":""},{"dropping-particle":"","family":"Stocker","given":"Benjamin D","non-dropping-particle":"","parse-names":false,"suffix":""},{"dropping-particle":"","family":"Viovy","given":"Nicolas","non-dropping-particle":"","parse-names":false,"suffix":""},{"dropping-particle":"","family":"Wang","given":"Ying Ping","non-dropping-particle":"","parse-names":false,"suffix":""},{"dropping-particle":"","family":"Wiltshire","given":"Andy","non-dropping-particle":"","parse-names":false,"suffix":""},{"dropping-particle":"","family":"Zaehle","given":"Sönke","non-dropping-particle":"","parse-names":false,"suffix":""},{"dropping-particle":"","family":"Zeng","given":"Ning","non-dropping-particle":"","parse-names":false,"suffix":""}],"container-title":"Science","id":"ITEM-1","issue":"6237","issued":{"date-parts":[["2015"]]},"page":"895-899","title":"The dominant role of semi-arid ecosystems in the trend and variability of the land CO2 sink","type":"article-journal","volume":"348"},"uris":["http://www.mendeley.com/documents/?uuid=d8e34b8b-3364-311d-addd-8cc19f330e1a"]}],"mendeley":{"formattedCitation":"&lt;sup&gt;37&lt;/sup&gt;","plainTextFormattedCitation":"37"},"properties":{"noteIndex":0},"schema":"https://github.com/citation-style-language/schema/raw/master/csl-citation.json"}</w:instrText>
      </w:r>
      <w:r>
        <w:rPr>
          <w:rFonts w:ascii="Times" w:hAnsi="Times"/>
        </w:rPr>
        <w:fldChar w:fldCharType="separate"/>
      </w:r>
      <w:r w:rsidRPr="001315B6">
        <w:rPr>
          <w:rFonts w:ascii="Times" w:hAnsi="Times"/>
          <w:noProof/>
          <w:vertAlign w:val="superscript"/>
        </w:rPr>
        <w:t>37</w:t>
      </w:r>
      <w:r>
        <w:rPr>
          <w:rFonts w:ascii="Times" w:hAnsi="Times"/>
        </w:rPr>
        <w:fldChar w:fldCharType="end"/>
      </w:r>
      <w:r>
        <w:rPr>
          <w:rFonts w:ascii="Times" w:hAnsi="Times"/>
        </w:rPr>
        <w:t>.</w:t>
      </w:r>
    </w:p>
    <w:p w14:paraId="54D624C0" w14:textId="77777777" w:rsidR="0030211E" w:rsidRPr="00C34364" w:rsidRDefault="0030211E" w:rsidP="0030211E">
      <w:pPr>
        <w:spacing w:line="360" w:lineRule="auto"/>
        <w:rPr>
          <w:rFonts w:ascii="Times" w:hAnsi="Times"/>
        </w:rPr>
      </w:pPr>
    </w:p>
    <w:p w14:paraId="364CB89C" w14:textId="77777777" w:rsidR="0030211E" w:rsidRPr="00450246" w:rsidRDefault="0030211E" w:rsidP="0030211E">
      <w:pPr>
        <w:jc w:val="center"/>
        <w:rPr>
          <w:rFonts w:ascii="Times" w:hAnsi="Times"/>
          <w:sz w:val="28"/>
          <w:szCs w:val="28"/>
        </w:rPr>
      </w:pPr>
    </w:p>
    <w:p w14:paraId="385310DD" w14:textId="77777777" w:rsidR="0030211E" w:rsidRDefault="0030211E" w:rsidP="0030211E">
      <w:pPr>
        <w:rPr>
          <w:rFonts w:ascii="Times" w:hAnsi="Times"/>
        </w:rPr>
      </w:pPr>
    </w:p>
    <w:p w14:paraId="65BAC01B" w14:textId="77777777" w:rsidR="0030211E" w:rsidRPr="008A44DB" w:rsidRDefault="0030211E" w:rsidP="0030211E">
      <w:pPr>
        <w:rPr>
          <w:rFonts w:ascii="Times" w:hAnsi="Times"/>
        </w:rPr>
      </w:pPr>
    </w:p>
    <w:p w14:paraId="4868B322" w14:textId="77777777" w:rsidR="0030211E" w:rsidRDefault="0030211E" w:rsidP="0030211E">
      <w:pPr>
        <w:rPr>
          <w:rFonts w:ascii="Times" w:hAnsi="Times"/>
        </w:rPr>
      </w:pPr>
      <w:r>
        <w:rPr>
          <w:rFonts w:ascii="Times" w:hAnsi="Times"/>
        </w:rPr>
        <w:br w:type="page"/>
      </w:r>
    </w:p>
    <w:p w14:paraId="73AD0BB2" w14:textId="77777777" w:rsidR="0030211E" w:rsidRDefault="0030211E" w:rsidP="0030211E">
      <w:pPr>
        <w:rPr>
          <w:rFonts w:ascii="Times" w:hAnsi="Times"/>
        </w:rPr>
      </w:pPr>
      <w:r>
        <w:rPr>
          <w:rFonts w:ascii="Times" w:hAnsi="Times"/>
        </w:rPr>
        <w:lastRenderedPageBreak/>
        <w:t>Figure S2:</w:t>
      </w:r>
    </w:p>
    <w:p w14:paraId="50A69E87" w14:textId="77777777" w:rsidR="0030211E" w:rsidRDefault="0030211E" w:rsidP="0030211E">
      <w:pPr>
        <w:rPr>
          <w:rFonts w:ascii="Times" w:hAnsi="Times"/>
        </w:rPr>
      </w:pPr>
      <w:r w:rsidRPr="0095734F">
        <w:rPr>
          <w:rFonts w:ascii="Times" w:hAnsi="Times"/>
          <w:noProof/>
          <w:lang w:val="en-CA" w:eastAsia="en-CA"/>
        </w:rPr>
        <w:drawing>
          <wp:inline distT="0" distB="0" distL="0" distR="0" wp14:anchorId="1C7A0D05" wp14:editId="11524B3E">
            <wp:extent cx="2869786" cy="5013158"/>
            <wp:effectExtent l="0" t="0" r="635"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874890" cy="5022075"/>
                    </a:xfrm>
                    <a:prstGeom prst="rect">
                      <a:avLst/>
                    </a:prstGeom>
                  </pic:spPr>
                </pic:pic>
              </a:graphicData>
            </a:graphic>
          </wp:inline>
        </w:drawing>
      </w:r>
    </w:p>
    <w:p w14:paraId="231C8C6B" w14:textId="77777777" w:rsidR="0030211E" w:rsidRDefault="0030211E" w:rsidP="0030211E">
      <w:pPr>
        <w:rPr>
          <w:rFonts w:ascii="Times" w:hAnsi="Times"/>
        </w:rPr>
      </w:pPr>
    </w:p>
    <w:p w14:paraId="1943A384" w14:textId="77777777" w:rsidR="0030211E" w:rsidRDefault="0030211E" w:rsidP="0030211E">
      <w:pPr>
        <w:rPr>
          <w:rFonts w:ascii="Times" w:hAnsi="Times"/>
        </w:rPr>
      </w:pPr>
      <w:r>
        <w:rPr>
          <w:rFonts w:ascii="Times" w:hAnsi="Times"/>
        </w:rPr>
        <w:t>Figure S2: Fire frequency is not important at explaining the relative changes in soil carbon (C) across sites but it is important within sites. a) Each point is a site, displaying the percent difference in mineral soil C concentrations in the high frequency vs. unburned plots. b-c) comparisons using the intermediate fire frequency treatments on 34 sites containing the treatment levels illustrating the percent change in soil C between the higher frequency vs. lower frequency (i.e., negative illustrates lower carbon concentrations in the higher frequency treatment). Error bars are 95% confidence intervals. b) comparison of the intermediate frequency vs. unburned treatments; c) comparison of the high frequency vs. intermediate frequency treatments.</w:t>
      </w:r>
    </w:p>
    <w:p w14:paraId="52E4ACBC" w14:textId="77777777" w:rsidR="0030211E" w:rsidRDefault="0030211E" w:rsidP="0030211E">
      <w:pPr>
        <w:rPr>
          <w:rFonts w:ascii="Times" w:hAnsi="Times"/>
        </w:rPr>
      </w:pPr>
    </w:p>
    <w:p w14:paraId="29C38177" w14:textId="77777777" w:rsidR="0030211E" w:rsidRDefault="0030211E" w:rsidP="0030211E">
      <w:pPr>
        <w:rPr>
          <w:rFonts w:ascii="Times" w:hAnsi="Times"/>
        </w:rPr>
      </w:pPr>
      <w:r>
        <w:rPr>
          <w:rFonts w:ascii="Times" w:hAnsi="Times"/>
        </w:rPr>
        <w:br w:type="page"/>
      </w:r>
    </w:p>
    <w:p w14:paraId="4C4A6B8D" w14:textId="77777777" w:rsidR="0030211E" w:rsidRDefault="0030211E" w:rsidP="0030211E">
      <w:pPr>
        <w:rPr>
          <w:rFonts w:ascii="Times" w:hAnsi="Times"/>
        </w:rPr>
      </w:pPr>
      <w:r>
        <w:rPr>
          <w:rFonts w:ascii="Times" w:hAnsi="Times"/>
        </w:rPr>
        <w:lastRenderedPageBreak/>
        <w:t>Figure S3:</w:t>
      </w:r>
      <w:r w:rsidRPr="002F6F3F">
        <w:rPr>
          <w:noProof/>
        </w:rPr>
        <w:t xml:space="preserve"> </w:t>
      </w:r>
      <w:r w:rsidRPr="002F6F3F">
        <w:rPr>
          <w:rFonts w:ascii="Times" w:hAnsi="Times"/>
          <w:noProof/>
          <w:lang w:val="en-CA" w:eastAsia="en-CA"/>
        </w:rPr>
        <w:drawing>
          <wp:inline distT="0" distB="0" distL="0" distR="0" wp14:anchorId="1D1D3582" wp14:editId="049A879C">
            <wp:extent cx="5943600" cy="5735955"/>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5735955"/>
                    </a:xfrm>
                    <a:prstGeom prst="rect">
                      <a:avLst/>
                    </a:prstGeom>
                  </pic:spPr>
                </pic:pic>
              </a:graphicData>
            </a:graphic>
          </wp:inline>
        </w:drawing>
      </w:r>
    </w:p>
    <w:p w14:paraId="5E0CD856" w14:textId="77777777" w:rsidR="0030211E" w:rsidRDefault="0030211E" w:rsidP="0030211E">
      <w:pPr>
        <w:rPr>
          <w:rFonts w:ascii="Times" w:hAnsi="Times"/>
        </w:rPr>
      </w:pPr>
      <w:r w:rsidRPr="0011720C">
        <w:rPr>
          <w:rFonts w:ascii="Times" w:hAnsi="Times"/>
        </w:rPr>
        <w:t>Figure S</w:t>
      </w:r>
      <w:r>
        <w:rPr>
          <w:rFonts w:ascii="Times" w:hAnsi="Times"/>
        </w:rPr>
        <w:t>3</w:t>
      </w:r>
      <w:r w:rsidRPr="0011720C">
        <w:rPr>
          <w:rFonts w:ascii="Times" w:hAnsi="Times"/>
        </w:rPr>
        <w:t>:</w:t>
      </w:r>
      <w:r>
        <w:rPr>
          <w:rFonts w:ascii="Times" w:hAnsi="Times"/>
        </w:rPr>
        <w:t xml:space="preserve"> Global distribution of the percent difference in soil carbon stock between the fire on and fire off simulations. Spatial resolution of model output varies according to model structure.</w:t>
      </w:r>
    </w:p>
    <w:p w14:paraId="2DD44C76" w14:textId="77777777" w:rsidR="0030211E" w:rsidRDefault="0030211E" w:rsidP="0030211E">
      <w:pPr>
        <w:rPr>
          <w:rFonts w:ascii="Times" w:hAnsi="Times"/>
        </w:rPr>
      </w:pPr>
      <w:r>
        <w:rPr>
          <w:rFonts w:ascii="Times" w:hAnsi="Times"/>
        </w:rPr>
        <w:br w:type="page"/>
      </w:r>
    </w:p>
    <w:p w14:paraId="44860FF3" w14:textId="77777777" w:rsidR="0030211E" w:rsidRDefault="0030211E" w:rsidP="0030211E">
      <w:pPr>
        <w:rPr>
          <w:rFonts w:ascii="Times" w:hAnsi="Times"/>
        </w:rPr>
      </w:pPr>
      <w:r>
        <w:rPr>
          <w:rFonts w:ascii="Times" w:hAnsi="Times"/>
        </w:rPr>
        <w:lastRenderedPageBreak/>
        <w:t xml:space="preserve">Figure S4: </w:t>
      </w:r>
    </w:p>
    <w:p w14:paraId="661EC93F" w14:textId="77777777" w:rsidR="0030211E" w:rsidRDefault="0030211E" w:rsidP="0030211E">
      <w:pPr>
        <w:rPr>
          <w:rFonts w:ascii="Times" w:hAnsi="Times"/>
        </w:rPr>
      </w:pPr>
      <w:r w:rsidRPr="00F17BCC">
        <w:rPr>
          <w:rFonts w:ascii="Times" w:hAnsi="Times"/>
          <w:noProof/>
          <w:lang w:val="en-CA" w:eastAsia="en-CA"/>
        </w:rPr>
        <w:drawing>
          <wp:inline distT="0" distB="0" distL="0" distR="0" wp14:anchorId="375114CF" wp14:editId="3C981853">
            <wp:extent cx="5943600" cy="4978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4978400"/>
                    </a:xfrm>
                    <a:prstGeom prst="rect">
                      <a:avLst/>
                    </a:prstGeom>
                  </pic:spPr>
                </pic:pic>
              </a:graphicData>
            </a:graphic>
          </wp:inline>
        </w:drawing>
      </w:r>
    </w:p>
    <w:p w14:paraId="461B6C46" w14:textId="77777777" w:rsidR="0030211E" w:rsidRDefault="0030211E" w:rsidP="0030211E">
      <w:pPr>
        <w:rPr>
          <w:rFonts w:ascii="Times" w:hAnsi="Times"/>
        </w:rPr>
      </w:pPr>
      <w:r>
        <w:rPr>
          <w:rFonts w:ascii="Times" w:hAnsi="Times"/>
        </w:rPr>
        <w:t xml:space="preserve">Figure S4: Model-based predictions of percent difference in soil carbon between the fire on vs. fire off simulations across global savanna-grasslands as a function of the burned area within a gridcell in the fire on scenario expressed as the percent of a gridcell that burns annually. Points are colored based on their densities (yellow indicates higher density). Dashed grey line is a generalized additive model fit to the model output. </w:t>
      </w:r>
    </w:p>
    <w:p w14:paraId="251592F9" w14:textId="77777777" w:rsidR="0030211E" w:rsidRPr="0011720C" w:rsidRDefault="0030211E" w:rsidP="0030211E">
      <w:pPr>
        <w:rPr>
          <w:rFonts w:ascii="Times" w:hAnsi="Times"/>
        </w:rPr>
      </w:pPr>
      <w:r w:rsidRPr="0011720C">
        <w:rPr>
          <w:rFonts w:ascii="Times" w:hAnsi="Times"/>
        </w:rPr>
        <w:br w:type="page"/>
      </w:r>
    </w:p>
    <w:p w14:paraId="47B41041" w14:textId="77777777" w:rsidR="0030211E" w:rsidRDefault="0030211E" w:rsidP="0030211E">
      <w:pPr>
        <w:rPr>
          <w:rFonts w:ascii="Times" w:hAnsi="Times"/>
        </w:rPr>
      </w:pPr>
      <w:r w:rsidRPr="0011720C">
        <w:rPr>
          <w:rFonts w:ascii="Times" w:hAnsi="Times"/>
        </w:rPr>
        <w:lastRenderedPageBreak/>
        <w:t>Figure S</w:t>
      </w:r>
      <w:r>
        <w:rPr>
          <w:rFonts w:ascii="Times" w:hAnsi="Times"/>
        </w:rPr>
        <w:t>5</w:t>
      </w:r>
      <w:r w:rsidRPr="0011720C">
        <w:rPr>
          <w:rFonts w:ascii="Times" w:hAnsi="Times"/>
        </w:rPr>
        <w:t>:</w:t>
      </w:r>
    </w:p>
    <w:p w14:paraId="61E0777C" w14:textId="77777777" w:rsidR="0030211E" w:rsidRDefault="0030211E" w:rsidP="0030211E">
      <w:pPr>
        <w:rPr>
          <w:rFonts w:ascii="Times" w:hAnsi="Times"/>
        </w:rPr>
      </w:pPr>
      <w:r>
        <w:rPr>
          <w:noProof/>
        </w:rPr>
        <w:drawing>
          <wp:inline distT="0" distB="0" distL="0" distR="0" wp14:anchorId="31E9FACD" wp14:editId="78474B5C">
            <wp:extent cx="5943600" cy="5613400"/>
            <wp:effectExtent l="0" t="0" r="0" b="0"/>
            <wp:docPr id="12" name="Picture 12" descr="Chart, poly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polygon&#10;&#10;Description automatically generated"/>
                    <pic:cNvPicPr/>
                  </pic:nvPicPr>
                  <pic:blipFill>
                    <a:blip r:embed="rId10"/>
                    <a:stretch>
                      <a:fillRect/>
                    </a:stretch>
                  </pic:blipFill>
                  <pic:spPr>
                    <a:xfrm>
                      <a:off x="0" y="0"/>
                      <a:ext cx="5943600" cy="5613400"/>
                    </a:xfrm>
                    <a:prstGeom prst="rect">
                      <a:avLst/>
                    </a:prstGeom>
                  </pic:spPr>
                </pic:pic>
              </a:graphicData>
            </a:graphic>
          </wp:inline>
        </w:drawing>
      </w:r>
    </w:p>
    <w:p w14:paraId="7B54C322" w14:textId="77777777" w:rsidR="0030211E" w:rsidRDefault="0030211E" w:rsidP="0030211E">
      <w:pPr>
        <w:rPr>
          <w:rFonts w:ascii="Times" w:hAnsi="Times"/>
        </w:rPr>
      </w:pPr>
    </w:p>
    <w:p w14:paraId="7DCEEF8D" w14:textId="77777777" w:rsidR="0030211E" w:rsidRDefault="0030211E" w:rsidP="0030211E">
      <w:pPr>
        <w:rPr>
          <w:rFonts w:ascii="Times" w:hAnsi="Times"/>
        </w:rPr>
      </w:pPr>
      <w:r>
        <w:rPr>
          <w:rFonts w:ascii="Times" w:hAnsi="Times"/>
        </w:rPr>
        <w:t>Figure S5: Model-based predictions of percent difference in soil carbon between the fire on vs. fire off simulations across global savanna-grasslands as a function of aridity.</w:t>
      </w:r>
      <w:r w:rsidRPr="00890D91">
        <w:rPr>
          <w:rFonts w:ascii="Times" w:hAnsi="Times"/>
        </w:rPr>
        <w:t xml:space="preserve"> </w:t>
      </w:r>
      <w:r>
        <w:rPr>
          <w:rFonts w:ascii="Times" w:hAnsi="Times"/>
        </w:rPr>
        <w:t>This comparison is meant to demonstrate the agreement in the direction of change in fire effects on soil C across the climate gradient, not direct comparisons of their quantitative values because of the fundamental differences in how model simulations are conducted compared to field experiments. Points are colored based on their densities (yellow indicates higher density). Dashed grey line is a generalized additive model fit to the model output and the solid black line is the relationship derived from empirical data with shaded grey illustrating +/- the standard error.</w:t>
      </w:r>
    </w:p>
    <w:p w14:paraId="06C8EC56" w14:textId="77777777" w:rsidR="0030211E" w:rsidRDefault="0030211E" w:rsidP="0030211E">
      <w:pPr>
        <w:rPr>
          <w:rFonts w:ascii="Times" w:hAnsi="Times"/>
        </w:rPr>
      </w:pPr>
    </w:p>
    <w:p w14:paraId="651F594F" w14:textId="77777777" w:rsidR="0030211E" w:rsidRDefault="0030211E" w:rsidP="0030211E">
      <w:pPr>
        <w:rPr>
          <w:rFonts w:ascii="Times" w:hAnsi="Times"/>
        </w:rPr>
      </w:pPr>
      <w:r>
        <w:rPr>
          <w:rFonts w:ascii="Times" w:hAnsi="Times"/>
        </w:rPr>
        <w:br w:type="page"/>
      </w:r>
    </w:p>
    <w:p w14:paraId="7EB22322" w14:textId="77777777" w:rsidR="0030211E" w:rsidRDefault="0030211E" w:rsidP="0030211E">
      <w:pPr>
        <w:rPr>
          <w:rFonts w:ascii="Times" w:hAnsi="Times"/>
        </w:rPr>
      </w:pPr>
      <w:r>
        <w:rPr>
          <w:rFonts w:ascii="Times" w:hAnsi="Times"/>
        </w:rPr>
        <w:lastRenderedPageBreak/>
        <w:t>Figure S6:</w:t>
      </w:r>
    </w:p>
    <w:p w14:paraId="12FABDB9" w14:textId="77777777" w:rsidR="0030211E" w:rsidRDefault="0030211E" w:rsidP="0030211E">
      <w:pPr>
        <w:rPr>
          <w:rFonts w:ascii="Times" w:hAnsi="Times"/>
        </w:rPr>
      </w:pPr>
      <w:r>
        <w:rPr>
          <w:noProof/>
        </w:rPr>
        <w:drawing>
          <wp:inline distT="0" distB="0" distL="0" distR="0" wp14:anchorId="6222EDCC" wp14:editId="7109A22B">
            <wp:extent cx="5943600" cy="5054600"/>
            <wp:effectExtent l="0" t="0" r="0" b="0"/>
            <wp:docPr id="10" name="Picture 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10;&#10;Description automatically generated"/>
                    <pic:cNvPicPr/>
                  </pic:nvPicPr>
                  <pic:blipFill>
                    <a:blip r:embed="rId11"/>
                    <a:stretch>
                      <a:fillRect/>
                    </a:stretch>
                  </pic:blipFill>
                  <pic:spPr>
                    <a:xfrm>
                      <a:off x="0" y="0"/>
                      <a:ext cx="5943600" cy="5054600"/>
                    </a:xfrm>
                    <a:prstGeom prst="rect">
                      <a:avLst/>
                    </a:prstGeom>
                  </pic:spPr>
                </pic:pic>
              </a:graphicData>
            </a:graphic>
          </wp:inline>
        </w:drawing>
      </w:r>
    </w:p>
    <w:p w14:paraId="384D2B1D" w14:textId="77777777" w:rsidR="0030211E" w:rsidRDefault="0030211E" w:rsidP="0030211E">
      <w:pPr>
        <w:rPr>
          <w:rFonts w:ascii="Times" w:hAnsi="Times"/>
        </w:rPr>
      </w:pPr>
      <w:bookmarkStart w:id="0" w:name="OLE_LINK7"/>
      <w:bookmarkStart w:id="1" w:name="OLE_LINK8"/>
      <w:r>
        <w:rPr>
          <w:rFonts w:ascii="Times" w:hAnsi="Times"/>
        </w:rPr>
        <w:t xml:space="preserve">Figure S6: </w:t>
      </w:r>
      <w:r w:rsidRPr="00890D91">
        <w:rPr>
          <w:rFonts w:ascii="Times" w:hAnsi="Times"/>
        </w:rPr>
        <w:t>Model-based predictions of percent difference in soil carbon between the fire on vs. fire off simulations across global savanna-grasslands as a function of precipitation seasonality (coefficient of variation of annual precipitation across months).</w:t>
      </w:r>
      <w:r>
        <w:rPr>
          <w:rFonts w:ascii="Times" w:hAnsi="Times"/>
        </w:rPr>
        <w:t xml:space="preserve"> This comparison is meant to demonstrate the agreement in the direction of change in fire effects on soil C across the climate gradient, not direct comparisons of their quantitative values because of the fundamental differences in how model simulations are conducted compared to field experiments. Points are colored based on their densities (yellow indicates higher density). Dashed grey line is a generalized additive model fit to the model output and the solid black line is the relationship derived from empirical data with shaded grey illustrating +/- the standard error.</w:t>
      </w:r>
      <w:r w:rsidRPr="00FA0AA5">
        <w:rPr>
          <w:rFonts w:ascii="Times" w:hAnsi="Times"/>
          <w:color w:val="000000"/>
          <w:lang w:val="en-GB" w:eastAsia="en-GB"/>
        </w:rPr>
        <w:t xml:space="preserve"> </w:t>
      </w:r>
      <w:r w:rsidRPr="00E13CF5">
        <w:rPr>
          <w:rFonts w:ascii="Times" w:hAnsi="Times"/>
          <w:color w:val="000000"/>
          <w:lang w:val="en-GB" w:eastAsia="en-GB"/>
        </w:rPr>
        <w:t>Precipitation seasonality is the coefficient of variation of monthly precipitation within a year</w:t>
      </w:r>
      <w:r w:rsidRPr="00973BC2">
        <w:rPr>
          <w:rFonts w:ascii="Times" w:hAnsi="Times"/>
          <w:color w:val="000000"/>
          <w:lang w:val="en-GB" w:eastAsia="en-GB"/>
        </w:rPr>
        <w:t xml:space="preserve"> </w:t>
      </w:r>
      <w:r>
        <w:rPr>
          <w:rFonts w:ascii="Times" w:hAnsi="Times"/>
          <w:color w:val="000000"/>
          <w:lang w:val="en-GB" w:eastAsia="en-GB"/>
        </w:rPr>
        <w:t>multiplied by 100</w:t>
      </w:r>
      <w:r w:rsidRPr="00E13CF5">
        <w:rPr>
          <w:rFonts w:ascii="Times" w:hAnsi="Times"/>
          <w:color w:val="000000"/>
          <w:lang w:val="en-GB" w:eastAsia="en-GB"/>
        </w:rPr>
        <w:t>.</w:t>
      </w:r>
    </w:p>
    <w:bookmarkEnd w:id="0"/>
    <w:bookmarkEnd w:id="1"/>
    <w:p w14:paraId="037BC743" w14:textId="77777777" w:rsidR="0030211E" w:rsidRDefault="0030211E" w:rsidP="0030211E">
      <w:pPr>
        <w:rPr>
          <w:rFonts w:ascii="Times" w:hAnsi="Times"/>
        </w:rPr>
      </w:pPr>
    </w:p>
    <w:p w14:paraId="3E981302" w14:textId="77777777" w:rsidR="0030211E" w:rsidRDefault="0030211E" w:rsidP="0030211E">
      <w:pPr>
        <w:rPr>
          <w:rFonts w:ascii="Times" w:hAnsi="Times"/>
        </w:rPr>
      </w:pPr>
    </w:p>
    <w:p w14:paraId="6B1DFA02" w14:textId="77777777" w:rsidR="0030211E" w:rsidRDefault="0030211E" w:rsidP="0030211E">
      <w:pPr>
        <w:rPr>
          <w:rFonts w:ascii="Times" w:hAnsi="Times"/>
        </w:rPr>
      </w:pPr>
      <w:r>
        <w:rPr>
          <w:rFonts w:ascii="Times" w:hAnsi="Times"/>
        </w:rPr>
        <w:br w:type="page"/>
      </w:r>
    </w:p>
    <w:p w14:paraId="780D0719" w14:textId="77777777" w:rsidR="0030211E" w:rsidRDefault="0030211E" w:rsidP="0030211E">
      <w:pPr>
        <w:rPr>
          <w:rFonts w:ascii="Times" w:hAnsi="Times"/>
        </w:rPr>
      </w:pPr>
      <w:r>
        <w:rPr>
          <w:rFonts w:ascii="Times" w:hAnsi="Times"/>
        </w:rPr>
        <w:lastRenderedPageBreak/>
        <w:t>Figure S7:</w:t>
      </w:r>
    </w:p>
    <w:p w14:paraId="26D64B56" w14:textId="77777777" w:rsidR="0030211E" w:rsidRDefault="0030211E" w:rsidP="0030211E">
      <w:pPr>
        <w:rPr>
          <w:rFonts w:ascii="Times" w:hAnsi="Times"/>
        </w:rPr>
      </w:pPr>
    </w:p>
    <w:p w14:paraId="0614E276" w14:textId="77777777" w:rsidR="0030211E" w:rsidRDefault="0030211E" w:rsidP="0030211E">
      <w:pPr>
        <w:rPr>
          <w:rFonts w:ascii="Times" w:hAnsi="Times"/>
        </w:rPr>
      </w:pPr>
      <w:r>
        <w:rPr>
          <w:noProof/>
        </w:rPr>
        <w:drawing>
          <wp:inline distT="0" distB="0" distL="0" distR="0" wp14:anchorId="199F3D84" wp14:editId="0D07A807">
            <wp:extent cx="5397500" cy="5245100"/>
            <wp:effectExtent l="0" t="0" r="0" b="0"/>
            <wp:docPr id="7" name="Picture 7" descr="Chart, su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surface chart&#10;&#10;Description automatically generated"/>
                    <pic:cNvPicPr/>
                  </pic:nvPicPr>
                  <pic:blipFill>
                    <a:blip r:embed="rId12"/>
                    <a:stretch>
                      <a:fillRect/>
                    </a:stretch>
                  </pic:blipFill>
                  <pic:spPr>
                    <a:xfrm>
                      <a:off x="0" y="0"/>
                      <a:ext cx="5397500" cy="5245100"/>
                    </a:xfrm>
                    <a:prstGeom prst="rect">
                      <a:avLst/>
                    </a:prstGeom>
                  </pic:spPr>
                </pic:pic>
              </a:graphicData>
            </a:graphic>
          </wp:inline>
        </w:drawing>
      </w:r>
    </w:p>
    <w:p w14:paraId="6A406F87" w14:textId="77777777" w:rsidR="0030211E" w:rsidRDefault="0030211E" w:rsidP="0030211E">
      <w:pPr>
        <w:rPr>
          <w:rFonts w:ascii="Times" w:hAnsi="Times"/>
        </w:rPr>
      </w:pPr>
    </w:p>
    <w:p w14:paraId="450383C1" w14:textId="77777777" w:rsidR="0030211E" w:rsidRDefault="0030211E" w:rsidP="0030211E">
      <w:pPr>
        <w:rPr>
          <w:rFonts w:ascii="Times" w:hAnsi="Times"/>
        </w:rPr>
      </w:pPr>
      <w:r>
        <w:rPr>
          <w:rFonts w:ascii="Times" w:hAnsi="Times"/>
        </w:rPr>
        <w:t>Figure S7: Density graphs of the distribution of variable values in our dataset used to train the model and the global values that we extrapolated our model across. MAP=mean annual precipitation in mm yr</w:t>
      </w:r>
      <w:r w:rsidRPr="00B769AC">
        <w:rPr>
          <w:rFonts w:ascii="Times" w:hAnsi="Times"/>
          <w:vertAlign w:val="superscript"/>
        </w:rPr>
        <w:t>-1</w:t>
      </w:r>
      <w:r>
        <w:rPr>
          <w:rFonts w:ascii="Times" w:hAnsi="Times"/>
        </w:rPr>
        <w:t xml:space="preserve">, MAT= mean annual temperature in degrees Celsius. Aridity index is calculated as the ratio between precipitation and potential evapotranspiration. Precip. seasonality= </w:t>
      </w:r>
      <w:r w:rsidRPr="00E13CF5">
        <w:rPr>
          <w:rFonts w:ascii="Times" w:hAnsi="Times"/>
          <w:color w:val="000000"/>
          <w:lang w:val="en-GB" w:eastAsia="en-GB"/>
        </w:rPr>
        <w:t>Precipitation seasonality</w:t>
      </w:r>
      <w:r>
        <w:rPr>
          <w:rFonts w:ascii="Times" w:hAnsi="Times"/>
          <w:color w:val="000000"/>
          <w:lang w:val="en-GB" w:eastAsia="en-GB"/>
        </w:rPr>
        <w:t>, which</w:t>
      </w:r>
      <w:r w:rsidRPr="00E13CF5">
        <w:rPr>
          <w:rFonts w:ascii="Times" w:hAnsi="Times"/>
          <w:color w:val="000000"/>
          <w:lang w:val="en-GB" w:eastAsia="en-GB"/>
        </w:rPr>
        <w:t xml:space="preserve"> is the coefficient of variation of monthly precipitation within a year</w:t>
      </w:r>
      <w:r w:rsidRPr="00973BC2">
        <w:rPr>
          <w:rFonts w:ascii="Times" w:hAnsi="Times"/>
          <w:color w:val="000000"/>
          <w:lang w:val="en-GB" w:eastAsia="en-GB"/>
        </w:rPr>
        <w:t xml:space="preserve"> </w:t>
      </w:r>
      <w:r>
        <w:rPr>
          <w:rFonts w:ascii="Times" w:hAnsi="Times"/>
          <w:color w:val="000000"/>
          <w:lang w:val="en-GB" w:eastAsia="en-GB"/>
        </w:rPr>
        <w:t>multiplied by 100</w:t>
      </w:r>
      <w:r w:rsidRPr="00E13CF5">
        <w:rPr>
          <w:rFonts w:ascii="Times" w:hAnsi="Times"/>
          <w:color w:val="000000"/>
          <w:lang w:val="en-GB" w:eastAsia="en-GB"/>
        </w:rPr>
        <w:t>.</w:t>
      </w:r>
      <w:r>
        <w:rPr>
          <w:rFonts w:ascii="Times" w:hAnsi="Times"/>
        </w:rPr>
        <w:t xml:space="preserve"> Sources for these values are explained in detail in the SI, but briefly the climate data come from WorldClim and soils data from the Harmonized World Soils Database v.1.2 (accessed 5/20/2020). </w:t>
      </w:r>
    </w:p>
    <w:p w14:paraId="32E26AAA" w14:textId="77777777" w:rsidR="0030211E" w:rsidRDefault="0030211E" w:rsidP="0030211E">
      <w:pPr>
        <w:rPr>
          <w:rFonts w:ascii="Times" w:hAnsi="Times"/>
        </w:rPr>
      </w:pPr>
    </w:p>
    <w:p w14:paraId="3322D6A6" w14:textId="77777777" w:rsidR="0030211E" w:rsidRDefault="0030211E" w:rsidP="0030211E">
      <w:pPr>
        <w:rPr>
          <w:rFonts w:ascii="Times" w:hAnsi="Times"/>
        </w:rPr>
      </w:pPr>
    </w:p>
    <w:p w14:paraId="5A915E71" w14:textId="77777777" w:rsidR="0030211E" w:rsidRDefault="0030211E" w:rsidP="0030211E">
      <w:pPr>
        <w:rPr>
          <w:rFonts w:ascii="Times" w:hAnsi="Times"/>
        </w:rPr>
      </w:pPr>
      <w:r>
        <w:rPr>
          <w:rFonts w:ascii="Times" w:hAnsi="Times"/>
        </w:rPr>
        <w:br w:type="page"/>
      </w:r>
    </w:p>
    <w:p w14:paraId="15E1017A" w14:textId="77777777" w:rsidR="0030211E" w:rsidRDefault="0030211E" w:rsidP="0030211E">
      <w:pPr>
        <w:rPr>
          <w:rFonts w:ascii="Times" w:hAnsi="Times"/>
        </w:rPr>
      </w:pPr>
      <w:r w:rsidRPr="008A44DB">
        <w:rPr>
          <w:rFonts w:ascii="Times" w:hAnsi="Times"/>
        </w:rPr>
        <w:lastRenderedPageBreak/>
        <w:t xml:space="preserve">Table S1: </w:t>
      </w:r>
      <w:r w:rsidRPr="00B73B07">
        <w:rPr>
          <w:rFonts w:ascii="Times" w:hAnsi="Times"/>
        </w:rPr>
        <w:t>List of sites. Full meta-data for each site are in Dataset 1.</w:t>
      </w:r>
      <w:r>
        <w:rPr>
          <w:rFonts w:ascii="Times" w:hAnsi="Times"/>
          <w:b/>
          <w:bCs/>
        </w:rPr>
        <w:t xml:space="preserve"> </w:t>
      </w:r>
      <w:r w:rsidRPr="00637D56">
        <w:rPr>
          <w:rFonts w:ascii="Times" w:hAnsi="Times"/>
        </w:rPr>
        <w:t xml:space="preserve">* indicates we </w:t>
      </w:r>
      <w:r>
        <w:rPr>
          <w:rFonts w:ascii="Times" w:hAnsi="Times"/>
        </w:rPr>
        <w:t>either re-analyzed the soils or collected</w:t>
      </w:r>
      <w:r w:rsidRPr="00637D56">
        <w:rPr>
          <w:rFonts w:ascii="Times" w:hAnsi="Times"/>
        </w:rPr>
        <w:t xml:space="preserve"> own samples from the experiment but the reference describes the experiment.</w:t>
      </w:r>
      <w:r>
        <w:rPr>
          <w:rFonts w:ascii="Times" w:hAnsi="Times"/>
        </w:rPr>
        <w:t xml:space="preserve"> The study duration is in years and max fire frequency is in terms of number of fires per-year of the high frequency treatment.</w:t>
      </w:r>
    </w:p>
    <w:p w14:paraId="7402526D" w14:textId="77777777" w:rsidR="0030211E" w:rsidRDefault="0030211E" w:rsidP="0030211E">
      <w:pPr>
        <w:rPr>
          <w:rFonts w:ascii="Times" w:hAnsi="Times"/>
          <w:b/>
          <w:bCs/>
        </w:rPr>
      </w:pPr>
    </w:p>
    <w:tbl>
      <w:tblPr>
        <w:tblW w:w="9351" w:type="dxa"/>
        <w:tblBorders>
          <w:top w:val="single" w:sz="4" w:space="0" w:color="auto"/>
          <w:bottom w:val="single" w:sz="4" w:space="0" w:color="auto"/>
        </w:tblBorders>
        <w:tblLook w:val="04A0" w:firstRow="1" w:lastRow="0" w:firstColumn="1" w:lastColumn="0" w:noHBand="0" w:noVBand="1"/>
      </w:tblPr>
      <w:tblGrid>
        <w:gridCol w:w="2238"/>
        <w:gridCol w:w="1300"/>
        <w:gridCol w:w="1389"/>
        <w:gridCol w:w="1520"/>
        <w:gridCol w:w="1417"/>
        <w:gridCol w:w="1487"/>
      </w:tblGrid>
      <w:tr w:rsidR="0030211E" w:rsidRPr="0056043D" w14:paraId="42EC7E68" w14:textId="77777777" w:rsidTr="00315655">
        <w:trPr>
          <w:trHeight w:val="320"/>
        </w:trPr>
        <w:tc>
          <w:tcPr>
            <w:tcW w:w="2238" w:type="dxa"/>
            <w:shd w:val="clear" w:color="auto" w:fill="auto"/>
            <w:noWrap/>
            <w:vAlign w:val="bottom"/>
            <w:hideMark/>
          </w:tcPr>
          <w:p w14:paraId="182106C7" w14:textId="77777777" w:rsidR="0030211E" w:rsidRPr="00773B70" w:rsidRDefault="0030211E" w:rsidP="00315655">
            <w:pPr>
              <w:rPr>
                <w:rFonts w:ascii="Times" w:hAnsi="Times" w:cs="Calibri"/>
                <w:b/>
                <w:bCs/>
                <w:color w:val="000000"/>
                <w:sz w:val="20"/>
                <w:szCs w:val="20"/>
              </w:rPr>
            </w:pPr>
            <w:r w:rsidRPr="00773B70">
              <w:rPr>
                <w:rFonts w:ascii="Times" w:hAnsi="Times" w:cs="Calibri"/>
                <w:b/>
                <w:bCs/>
                <w:color w:val="000000"/>
                <w:sz w:val="20"/>
                <w:szCs w:val="20"/>
              </w:rPr>
              <w:t>Site</w:t>
            </w:r>
          </w:p>
        </w:tc>
        <w:tc>
          <w:tcPr>
            <w:tcW w:w="2689" w:type="dxa"/>
            <w:gridSpan w:val="2"/>
            <w:shd w:val="clear" w:color="auto" w:fill="auto"/>
            <w:noWrap/>
            <w:vAlign w:val="center"/>
            <w:hideMark/>
          </w:tcPr>
          <w:p w14:paraId="460DB86A" w14:textId="77777777" w:rsidR="0030211E" w:rsidRPr="00773B70" w:rsidRDefault="0030211E" w:rsidP="00315655">
            <w:pPr>
              <w:jc w:val="center"/>
              <w:rPr>
                <w:rFonts w:ascii="Times" w:hAnsi="Times" w:cs="Calibri"/>
                <w:b/>
                <w:bCs/>
                <w:color w:val="000000"/>
                <w:sz w:val="20"/>
                <w:szCs w:val="20"/>
              </w:rPr>
            </w:pPr>
            <w:r w:rsidRPr="00773B70">
              <w:rPr>
                <w:rFonts w:ascii="Times" w:hAnsi="Times" w:cs="Calibri"/>
                <w:b/>
                <w:bCs/>
                <w:color w:val="000000"/>
                <w:sz w:val="20"/>
                <w:szCs w:val="20"/>
              </w:rPr>
              <w:t>Biome</w:t>
            </w:r>
          </w:p>
        </w:tc>
        <w:tc>
          <w:tcPr>
            <w:tcW w:w="1520" w:type="dxa"/>
            <w:shd w:val="clear" w:color="auto" w:fill="auto"/>
            <w:noWrap/>
            <w:vAlign w:val="bottom"/>
            <w:hideMark/>
          </w:tcPr>
          <w:p w14:paraId="17689639" w14:textId="77777777" w:rsidR="0030211E" w:rsidRPr="00773B70" w:rsidRDefault="0030211E" w:rsidP="00315655">
            <w:pPr>
              <w:rPr>
                <w:rFonts w:ascii="Times" w:hAnsi="Times" w:cs="Calibri"/>
                <w:b/>
                <w:bCs/>
                <w:color w:val="000000"/>
                <w:sz w:val="20"/>
                <w:szCs w:val="20"/>
              </w:rPr>
            </w:pPr>
            <w:r w:rsidRPr="00773B70">
              <w:rPr>
                <w:rFonts w:ascii="Times" w:hAnsi="Times" w:cs="Calibri"/>
                <w:b/>
                <w:bCs/>
                <w:color w:val="000000"/>
                <w:sz w:val="20"/>
                <w:szCs w:val="20"/>
              </w:rPr>
              <w:t>Continent</w:t>
            </w:r>
          </w:p>
        </w:tc>
        <w:tc>
          <w:tcPr>
            <w:tcW w:w="1417" w:type="dxa"/>
            <w:shd w:val="clear" w:color="auto" w:fill="auto"/>
            <w:noWrap/>
            <w:vAlign w:val="bottom"/>
            <w:hideMark/>
          </w:tcPr>
          <w:p w14:paraId="2257C8C6" w14:textId="77777777" w:rsidR="0030211E" w:rsidRPr="00773B70" w:rsidRDefault="0030211E" w:rsidP="00315655">
            <w:pPr>
              <w:rPr>
                <w:rFonts w:ascii="Times" w:hAnsi="Times" w:cs="Calibri"/>
                <w:b/>
                <w:bCs/>
                <w:color w:val="000000"/>
                <w:sz w:val="20"/>
                <w:szCs w:val="20"/>
              </w:rPr>
            </w:pPr>
            <w:r w:rsidRPr="00773B70">
              <w:rPr>
                <w:rFonts w:ascii="Times" w:hAnsi="Times" w:cs="Calibri"/>
                <w:b/>
                <w:bCs/>
                <w:color w:val="000000"/>
                <w:sz w:val="20"/>
                <w:szCs w:val="20"/>
              </w:rPr>
              <w:t xml:space="preserve">Study </w:t>
            </w:r>
            <w:r>
              <w:rPr>
                <w:rFonts w:ascii="Times" w:hAnsi="Times" w:cs="Calibri"/>
                <w:b/>
                <w:bCs/>
                <w:color w:val="000000"/>
                <w:sz w:val="20"/>
                <w:szCs w:val="20"/>
              </w:rPr>
              <w:t>duration</w:t>
            </w:r>
          </w:p>
        </w:tc>
        <w:tc>
          <w:tcPr>
            <w:tcW w:w="1487" w:type="dxa"/>
            <w:shd w:val="clear" w:color="auto" w:fill="auto"/>
            <w:noWrap/>
            <w:vAlign w:val="bottom"/>
            <w:hideMark/>
          </w:tcPr>
          <w:p w14:paraId="1CBE1306" w14:textId="77777777" w:rsidR="0030211E" w:rsidRPr="00773B70" w:rsidRDefault="0030211E" w:rsidP="00315655">
            <w:pPr>
              <w:rPr>
                <w:rFonts w:ascii="Times" w:hAnsi="Times" w:cs="Calibri"/>
                <w:b/>
                <w:bCs/>
                <w:color w:val="000000"/>
                <w:sz w:val="20"/>
                <w:szCs w:val="20"/>
              </w:rPr>
            </w:pPr>
            <w:r w:rsidRPr="00773B70">
              <w:rPr>
                <w:rFonts w:ascii="Times" w:hAnsi="Times" w:cs="Calibri"/>
                <w:b/>
                <w:bCs/>
                <w:color w:val="000000"/>
                <w:sz w:val="20"/>
                <w:szCs w:val="20"/>
              </w:rPr>
              <w:t>MaxFireFreq</w:t>
            </w:r>
          </w:p>
        </w:tc>
      </w:tr>
      <w:tr w:rsidR="0030211E" w:rsidRPr="0056043D" w14:paraId="317AB963" w14:textId="77777777" w:rsidTr="00315655">
        <w:trPr>
          <w:trHeight w:val="320"/>
        </w:trPr>
        <w:tc>
          <w:tcPr>
            <w:tcW w:w="2238" w:type="dxa"/>
            <w:shd w:val="clear" w:color="auto" w:fill="auto"/>
            <w:noWrap/>
            <w:vAlign w:val="bottom"/>
            <w:hideMark/>
          </w:tcPr>
          <w:p w14:paraId="05BA4296"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Alapaha</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{"citationItems":[{"id":"ITEM-1","itemData":{"author":[{"dropping-particle":"","family":"Andela","given":"N.","non-dropping-particle":"","parse-names":false,"suffix":""},{"dropping-particle":"","family":"Morton","given":"D. C.","non-dropping-particle":"","parse-names":false,"suffix":""},{"dropping-particle":"","family":"Giglio","given":"L.","non-dropping-particle":"","parse-names":false,"suffix":""},{"dropping-particle":"","family":"Chen","given":"Y.","non-dropping-particle":"","parse-names":false,"suffix":""},{"dropping-particle":"","family":"Werf","given":"G. R.","non-dropping-particle":"van der","parse-names":false,"suffix":""},{"dropping-particle":"","family":"Kasibhatla","given":"P. S.","non-dropping-particle":"","parse-names":false,"suffix":""},{"dropping-particle":"","family":"DeFries","given":"R. S.","non-dropping-particle":"","parse-names":false,"suffix":""},{"dropping-particle":"","family":"Collatz","given":"G. J.","non-dropping-particle":"","parse-names":false,"suffix":""},{"dropping-particle":"","family":"Hantson","given":"S.","non-dropping-particle":"","parse-names":false,"suffix":""},{"dropping-particle":"","family":"Kloster","given":"S.","non-dropping-particle":"","parse-names":false,"suffix":""},{"dropping-particle":"","family":"Bachelet","given":"D.","non-dropping-particle":"","parse-names":false,"suffix":""},{"dropping-particle":"","family":"Forrest","given":"M.","non-dropping-particle":"","parse-names":false,"suffix":""},{"dropping-particle":"","family":"Lasslop","given":"G.","non-dropping-particle":"","parse-names":false,"suffix":""},{"dropping-particle":"","family":"Li","given":"F.","non-dropping-particle":"","parse-names":false,"suffix":""},{"dropping-particle":"","family":"Mangeon","given":"S.","non-dropping-particle":"","parse-names":false,"suffix":""},{"dropping-particle":"","family":"Melton","given":"J. R.","non-dropping-particle":"","parse-names":false,"suffix":""},{"dropping-particle":"","family":"Yue","given":"C.","non-dropping-particle":"","parse-names":false,"suffix":""},{"dropping-particle":"","family":"Randerson","given":"J. T.","non-dropping-particle":"","parse-names":false,"suffix":""}],"container-title":"Science","id":"ITEM-1","issue":"6345","issued":{"date-parts":[["2017"]]},"page":"1356-1362","title":"A human-driven decline in global burned area","type":"article-journal","volume":"356"},"uris":["http://www.mendeley.com/documents/?uuid=a89f51f3-7556-3498-9cae-5503dfaa8935"]}],"mendeley":{"formattedCitation":"&lt;sup&gt;2&lt;/sup&gt;","plainTextFormattedCitation":"2","previouslyFormattedCitation":"&lt;sup&gt;2&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2</w:t>
            </w:r>
            <w:r w:rsidRPr="00773B70">
              <w:rPr>
                <w:rFonts w:ascii="Times" w:hAnsi="Times" w:cs="Calibri"/>
                <w:color w:val="000000"/>
                <w:sz w:val="20"/>
                <w:szCs w:val="20"/>
              </w:rPr>
              <w:fldChar w:fldCharType="end"/>
            </w:r>
          </w:p>
        </w:tc>
        <w:tc>
          <w:tcPr>
            <w:tcW w:w="1300" w:type="dxa"/>
            <w:shd w:val="clear" w:color="auto" w:fill="auto"/>
            <w:noWrap/>
            <w:vAlign w:val="bottom"/>
            <w:hideMark/>
          </w:tcPr>
          <w:p w14:paraId="5599300F"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Needleleaf</w:t>
            </w:r>
          </w:p>
        </w:tc>
        <w:tc>
          <w:tcPr>
            <w:tcW w:w="1389" w:type="dxa"/>
            <w:shd w:val="clear" w:color="auto" w:fill="auto"/>
            <w:noWrap/>
            <w:vAlign w:val="bottom"/>
            <w:hideMark/>
          </w:tcPr>
          <w:p w14:paraId="70D598CC"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WarmNeedle</w:t>
            </w:r>
          </w:p>
        </w:tc>
        <w:tc>
          <w:tcPr>
            <w:tcW w:w="1520" w:type="dxa"/>
            <w:shd w:val="clear" w:color="auto" w:fill="auto"/>
            <w:noWrap/>
            <w:vAlign w:val="bottom"/>
            <w:hideMark/>
          </w:tcPr>
          <w:p w14:paraId="4D53B2C9"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1EFE996C"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40</w:t>
            </w:r>
          </w:p>
        </w:tc>
        <w:tc>
          <w:tcPr>
            <w:tcW w:w="1487" w:type="dxa"/>
            <w:shd w:val="clear" w:color="auto" w:fill="auto"/>
            <w:noWrap/>
            <w:vAlign w:val="bottom"/>
            <w:hideMark/>
          </w:tcPr>
          <w:p w14:paraId="285073E4"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69B51FF5" w14:textId="77777777" w:rsidTr="00315655">
        <w:trPr>
          <w:trHeight w:val="320"/>
        </w:trPr>
        <w:tc>
          <w:tcPr>
            <w:tcW w:w="2238" w:type="dxa"/>
            <w:shd w:val="clear" w:color="auto" w:fill="auto"/>
            <w:noWrap/>
            <w:vAlign w:val="bottom"/>
            <w:hideMark/>
          </w:tcPr>
          <w:p w14:paraId="4C26D059"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Bauple</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{"citationItems":[{"id":"ITEM-1","itemData":{"DOI":"10.2737/SE-GTR-24","author":[{"dropping-particle":"","family":"McKee","given":"W H","non-dropping-particle":"","parse-names":false,"suffix":""},{"dropping-particle":"","family":"Lewis","given":"C E","non-dropping-particle":"","parse-names":false,"suffix":""}],"container-title":"Proceedings of the Second Biennial Southern Silvicultural Research Station Conference","editor":[{"dropping-particle":"","family":"Jones","given":"Earle P Jr.","non-dropping-particle":"","parse-names":false,"suffix":""}],"id":"ITEM-1","issued":{"date-parts":[["1983"]]},"page":"79-86","publisher":"Gen. Tech. Rep. SE-24. Asheville, NC: U.S. Department of Agriculture, Forest Service, Southeastern Forest Experiment Station.","publisher-place":"Atlanta","title":"Influence of burning and grazing on soil nutrient properties and tree growth on a Georgia coastal plain site after 40 years","type":"paper-conference","volume":"024"},"uris":["http://www.mendeley.com/documents/?uuid=dd8a5ea1-cb13-3b5f-8179-bc33e5625ea2"]}],"mendeley":{"formattedCitation":"&lt;sup&gt;38&lt;/sup&gt;","plainTextFormattedCitation":"38","previouslyFormattedCitation":"&lt;sup&gt;38&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38</w:t>
            </w:r>
            <w:r w:rsidRPr="00773B70">
              <w:rPr>
                <w:rFonts w:ascii="Times" w:hAnsi="Times" w:cs="Calibri"/>
                <w:color w:val="000000"/>
                <w:sz w:val="20"/>
                <w:szCs w:val="20"/>
              </w:rPr>
              <w:fldChar w:fldCharType="end"/>
            </w:r>
          </w:p>
        </w:tc>
        <w:tc>
          <w:tcPr>
            <w:tcW w:w="1300" w:type="dxa"/>
            <w:shd w:val="clear" w:color="auto" w:fill="auto"/>
            <w:noWrap/>
            <w:vAlign w:val="bottom"/>
            <w:hideMark/>
          </w:tcPr>
          <w:p w14:paraId="0813C7D1"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389" w:type="dxa"/>
            <w:shd w:val="clear" w:color="auto" w:fill="auto"/>
            <w:noWrap/>
            <w:vAlign w:val="bottom"/>
            <w:hideMark/>
          </w:tcPr>
          <w:p w14:paraId="79E55C76"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520" w:type="dxa"/>
            <w:shd w:val="clear" w:color="auto" w:fill="auto"/>
            <w:noWrap/>
            <w:vAlign w:val="bottom"/>
            <w:hideMark/>
          </w:tcPr>
          <w:p w14:paraId="6F191C4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Australia</w:t>
            </w:r>
          </w:p>
        </w:tc>
        <w:tc>
          <w:tcPr>
            <w:tcW w:w="1417" w:type="dxa"/>
            <w:shd w:val="clear" w:color="auto" w:fill="auto"/>
            <w:noWrap/>
            <w:vAlign w:val="bottom"/>
            <w:hideMark/>
          </w:tcPr>
          <w:p w14:paraId="315E5138"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44</w:t>
            </w:r>
          </w:p>
        </w:tc>
        <w:tc>
          <w:tcPr>
            <w:tcW w:w="1487" w:type="dxa"/>
            <w:shd w:val="clear" w:color="auto" w:fill="auto"/>
            <w:noWrap/>
            <w:vAlign w:val="bottom"/>
            <w:hideMark/>
          </w:tcPr>
          <w:p w14:paraId="0A5E9635"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0.89</w:t>
            </w:r>
          </w:p>
        </w:tc>
      </w:tr>
      <w:tr w:rsidR="0030211E" w:rsidRPr="0056043D" w14:paraId="62BFBD97" w14:textId="77777777" w:rsidTr="00315655">
        <w:trPr>
          <w:trHeight w:val="320"/>
        </w:trPr>
        <w:tc>
          <w:tcPr>
            <w:tcW w:w="2238" w:type="dxa"/>
            <w:shd w:val="clear" w:color="auto" w:fill="auto"/>
            <w:noWrap/>
            <w:vAlign w:val="bottom"/>
            <w:hideMark/>
          </w:tcPr>
          <w:p w14:paraId="6497D663"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BlueMountains</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{"citationItems":[{"id":"ITEM-1","itemData":{"ISSN":"0048-0134","abstract":"The long-term impacts of repeated prescribed-burning on surface (0-30 cm) soil chemical properties and forest floor nutrients in two contrasting native eucalypt forests in south-east Queensland, Australia were assessed. Most effects were confined to the topsoil (0-10 cm). At the dry sclerophyll site, more than 40 years of annual burning had not led to any loss in topsoil total nitrogen and organic carbon but had significantly increased topsoil acid-extractable phosphorus. At the wet sclerophyll site, biennial burning (10 burns) resulted in decreases in topsoil total nitrogen and potentially mineralisable nitrogen despite a shorter experimental period (22 years). The increase in acid-extractable phosphorus with burning on this latter site was not significant. The varying impacts of prescribed-burning on soil chemical properties at the two sites may be partly explained by differences in site quality and in the number of times the forests have been subjected to various burning regimes. These changes may have implications for tree growth in the long term. Repeated burning reduced the weight, organic matter, and nutrient contents of the forest floor at both sites, the decreases being directly proportional to the frequency of burning.","author":[{"dropping-particle":"","family":"Guinto","given":"Danilo F","non-dropping-particle":"","parse-names":false,"suffix":""},{"dropping-particle":"","family":"Xu","given":"Zhihong H","non-dropping-particle":"","parse-names":false,"suffix":""},{"dropping-particle":"","family":"Saffigna","given":"Paul Gio","non-dropping-particle":"","parse-names":false,"suffix":""},{"dropping-particle":"","family":"House","given":"A P N","non-dropping-particle":"","parse-names":false,"suffix":""},{"dropping-particle":"","family":"Saffigna","given":"Paul Gio","non-dropping-particle":"","parse-names":false,"suffix":""},{"dropping-particle":"","family":"House","given":"A P N","non-dropping-particle":"","parse-names":false,"suffix":""}],"container-title":"New Zealand Journal of Forestry Science","id":"ITEM-1","issue":"2","issued":{"date-parts":[["2001"]]},"page":"170-187","title":"Soil chemical properties and forest floor nutrients under repeated prescribed-burning in eucalypt forests of south-east Queensland, Australia","type":"article-journal","volume":"31"},"uris":["http://www.mendeley.com/documents/?uuid=44dcbc1f-7359-4248-b7b4-d690abf817a6"]}],"mendeley":{"formattedCitation":"&lt;sup&gt;39&lt;/sup&gt;","plainTextFormattedCitation":"39","previouslyFormattedCitation":"&lt;sup&gt;39&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39</w:t>
            </w:r>
            <w:r w:rsidRPr="00773B70">
              <w:rPr>
                <w:rFonts w:ascii="Times" w:hAnsi="Times" w:cs="Calibri"/>
                <w:color w:val="000000"/>
                <w:sz w:val="20"/>
                <w:szCs w:val="20"/>
              </w:rPr>
              <w:fldChar w:fldCharType="end"/>
            </w:r>
          </w:p>
        </w:tc>
        <w:tc>
          <w:tcPr>
            <w:tcW w:w="1300" w:type="dxa"/>
            <w:shd w:val="clear" w:color="auto" w:fill="auto"/>
            <w:noWrap/>
            <w:vAlign w:val="bottom"/>
            <w:hideMark/>
          </w:tcPr>
          <w:p w14:paraId="300892BF"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Needleleaf</w:t>
            </w:r>
          </w:p>
        </w:tc>
        <w:tc>
          <w:tcPr>
            <w:tcW w:w="1389" w:type="dxa"/>
            <w:shd w:val="clear" w:color="auto" w:fill="auto"/>
            <w:noWrap/>
            <w:vAlign w:val="bottom"/>
            <w:hideMark/>
          </w:tcPr>
          <w:p w14:paraId="53F269C0"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CoolNeedle</w:t>
            </w:r>
          </w:p>
        </w:tc>
        <w:tc>
          <w:tcPr>
            <w:tcW w:w="1520" w:type="dxa"/>
            <w:shd w:val="clear" w:color="auto" w:fill="auto"/>
            <w:noWrap/>
            <w:vAlign w:val="bottom"/>
            <w:hideMark/>
          </w:tcPr>
          <w:p w14:paraId="15CFC5B7"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5EE0C496"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17</w:t>
            </w:r>
          </w:p>
        </w:tc>
        <w:tc>
          <w:tcPr>
            <w:tcW w:w="1487" w:type="dxa"/>
            <w:shd w:val="clear" w:color="auto" w:fill="auto"/>
            <w:noWrap/>
            <w:vAlign w:val="bottom"/>
            <w:hideMark/>
          </w:tcPr>
          <w:p w14:paraId="6FE296CA"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0.20</w:t>
            </w:r>
          </w:p>
        </w:tc>
      </w:tr>
      <w:tr w:rsidR="0030211E" w:rsidRPr="0056043D" w14:paraId="0576E7C2" w14:textId="77777777" w:rsidTr="00315655">
        <w:trPr>
          <w:trHeight w:val="320"/>
        </w:trPr>
        <w:tc>
          <w:tcPr>
            <w:tcW w:w="2238" w:type="dxa"/>
            <w:shd w:val="clear" w:color="auto" w:fill="auto"/>
            <w:noWrap/>
            <w:vAlign w:val="bottom"/>
            <w:hideMark/>
          </w:tcPr>
          <w:p w14:paraId="70D92D95"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Breaks</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{"citationItems":[{"id":"ITEM-1","itemData":{"DOI":"http://dx.doi.org/10.1016/j.foreco.2011.12.036","ISSN":"0378-1127","abstract":"Fire exclusion over the past 100 years has changed the vegetative community and led to an increase in the propensity for large catastrophic wildfires of ponderosa pine forests. Prescribed burning is used to reduce fuel loads and achieve desired stand conditions while the impact caused by this restoration process is primarily dependent on the severity of the fire, which is managed by burning in either fall or spring. The objectives of this study were to assess the effect of season and interval of burn on soil and tree productivity in a ponderosa pine forest in Malheur National Forest of the southern Blue Mountains of eastern Oregon. Prescribed burning was initiated in the spring of 1997 and fall of 1997 at 5- and 15-year intervals. This study was initiated in 2004 so that the 5-year interval plots had burned twice with 1–2 years of recovery while the 15-year interval plots had burned only once with 6–7 years of recovery since the last fire. Soils were sampled by major genetic horizon and A horizon samples were analyzed for soil available nitrogen (KCl extractable NH 4 + and NO 3 - ) and phosphorous (Bray 1 extract). Soil temperature (2 cm) and moisture (7.5, 25, 50, and 100 cm) were monitored for 24 months. Observations and previous studies indicated that fall burns were more severe than spring burns consuming more fuel and leading to higher rates of tree mortality. Extractable NH 4 + and phosphate increased with multiple burns relative to the single burn treatments, but were statistically similar to the control. Soil temperatures were found to be highest in the more severe fall burn treatments, particularly the 5-year interval burns. Soil moisture was also slightly higher with the 5-year interval burns, possibly due to reduced transpiration from understory vegetation and/or reduced interception by the O horizon. These changes to the soil did not significantly affect ponderosa pine growth relative to the control and may have caused a slight increase in tree growth with the spring burns applied at a 5-year interval relative to the other burn treatments. We hypothesize that low severity spring burning improved the soil growing environment without injuring trees. Combined with results from previous studies spring burns appear to preserve stand productivity, soil carbon and nitrogen, and understory vegetative communities. However, more research is necessary to examine the long-term consequences of repeated burning in these forest types.","author":[{"dropping-particle":"","family":"Hatten","given":"Jeff","non-dropping-particle":"","parse-names":false,"suffix":""},{"dropping-particle":"","family":"Zabowski","given":"Darlene","non-dropping-particle":"","parse-names":false,"suffix":""},{"dropping-particle":"","family":"Ogden","given":"Amanda","non-dropping-particle":"","parse-names":false,"suffix":""},{"dropping-particle":"","family":"Theis","given":"Walt","non-dropping-particle":"","parse-names":false,"suffix":""},{"dropping-particle":"","family":"Choi","given":"Byoungkoo","non-dropping-particle":"","parse-names":false,"suffix":""}],"container-title":"Forest Ecology and Management","id":"ITEM-1","issued":{"date-parts":[["2012"]]},"page":"106-115","title":"Role of season and interval of prescribed burning on ponderosa pine growth in relation to soil inorganic N and P and moisture","type":"article-journal","volume":"269"},"uris":["http://www.mendeley.com/documents/?uuid=6707b67b-2fbc-434f-8836-8566d910720d"]}],"mendeley":{"formattedCitation":"&lt;sup&gt;40&lt;/sup&gt;","plainTextFormattedCitation":"40","previouslyFormattedCitation":"&lt;sup&gt;40&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40</w:t>
            </w:r>
            <w:r w:rsidRPr="00773B70">
              <w:rPr>
                <w:rFonts w:ascii="Times" w:hAnsi="Times" w:cs="Calibri"/>
                <w:color w:val="000000"/>
                <w:sz w:val="20"/>
                <w:szCs w:val="20"/>
              </w:rPr>
              <w:fldChar w:fldCharType="end"/>
            </w:r>
          </w:p>
        </w:tc>
        <w:tc>
          <w:tcPr>
            <w:tcW w:w="1300" w:type="dxa"/>
            <w:shd w:val="clear" w:color="auto" w:fill="auto"/>
            <w:noWrap/>
            <w:vAlign w:val="bottom"/>
            <w:hideMark/>
          </w:tcPr>
          <w:p w14:paraId="56B6A44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37C8975A"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WoodySav</w:t>
            </w:r>
          </w:p>
        </w:tc>
        <w:tc>
          <w:tcPr>
            <w:tcW w:w="1520" w:type="dxa"/>
            <w:shd w:val="clear" w:color="auto" w:fill="auto"/>
            <w:noWrap/>
            <w:vAlign w:val="bottom"/>
            <w:hideMark/>
          </w:tcPr>
          <w:p w14:paraId="25631896"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65B2F181"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33</w:t>
            </w:r>
          </w:p>
        </w:tc>
        <w:tc>
          <w:tcPr>
            <w:tcW w:w="1487" w:type="dxa"/>
            <w:shd w:val="clear" w:color="auto" w:fill="auto"/>
            <w:noWrap/>
            <w:vAlign w:val="bottom"/>
            <w:hideMark/>
          </w:tcPr>
          <w:p w14:paraId="1CE7D8DA"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0.06</w:t>
            </w:r>
          </w:p>
        </w:tc>
      </w:tr>
      <w:tr w:rsidR="0030211E" w:rsidRPr="0056043D" w14:paraId="34E4DFFC" w14:textId="77777777" w:rsidTr="00315655">
        <w:trPr>
          <w:trHeight w:val="320"/>
        </w:trPr>
        <w:tc>
          <w:tcPr>
            <w:tcW w:w="2238" w:type="dxa"/>
            <w:shd w:val="clear" w:color="auto" w:fill="auto"/>
            <w:noWrap/>
            <w:vAlign w:val="bottom"/>
            <w:hideMark/>
          </w:tcPr>
          <w:p w14:paraId="3DA5B8AC"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CedarCreek</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{"citationItems":[{"id":"ITEM-1","itemData":{"DOI":"10.1111/1365-2745.13351","author":[{"dropping-particle":"","family":"Pellegrini","given":"A. F. A.","non-dropping-particle":"","parse-names":false,"suffix":""},{"dropping-particle":"","family":"Hobbie","given":"S. E.","non-dropping-particle":"","parse-names":false,"suffix":""},{"dropping-particle":"","family":"Reich","given":"P. B.","non-dropping-particle":"","parse-names":false,"suffix":""},{"dropping-particle":"","family":"Jumpponen","given":"A.","non-dropping-particle":"","parse-names":false,"suffix":""},{"dropping-particle":"","family":"Brookshire","given":"E. N. J.","non-dropping-particle":"","parse-names":false,"suffix":""},{"dropping-particle":"","family":"Caprio","given":"A. C.","non-dropping-particle":"","parse-names":false,"suffix":""},{"dropping-particle":"","family":"Coetsee","given":"C.","non-dropping-particle":"","parse-names":false,"suffix":""},{"dropping-particle":"","family":"Jackson","given":"R. B.","non-dropping-particle":"","parse-names":false,"suffix":""}],"container-title":"Ecological Monographs","id":"ITEM-1","issue":"4","issued":{"date-parts":[["2020"]]},"page":"e01409","title":"Repeated fire shifts carbon and nitrogen cycling by changing plant inputs and soil decomposition across ecosystems","type":"article-journal","volume":"90"},"uris":["http://www.mendeley.com/documents/?uuid=67c80e92-93b4-47f1-940b-fc2b830d1314"]}],"mendeley":{"formattedCitation":"&lt;sup&gt;24&lt;/sup&gt;","plainTextFormattedCitation":"24","previouslyFormattedCitation":"&lt;sup&gt;24&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24</w:t>
            </w:r>
            <w:r w:rsidRPr="00773B70">
              <w:rPr>
                <w:rFonts w:ascii="Times" w:hAnsi="Times" w:cs="Calibri"/>
                <w:color w:val="000000"/>
                <w:sz w:val="20"/>
                <w:szCs w:val="20"/>
              </w:rPr>
              <w:fldChar w:fldCharType="end"/>
            </w:r>
          </w:p>
        </w:tc>
        <w:tc>
          <w:tcPr>
            <w:tcW w:w="1300" w:type="dxa"/>
            <w:shd w:val="clear" w:color="auto" w:fill="auto"/>
            <w:noWrap/>
            <w:vAlign w:val="bottom"/>
            <w:hideMark/>
          </w:tcPr>
          <w:p w14:paraId="19AA64FF"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38F13B31"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WoodySav</w:t>
            </w:r>
          </w:p>
        </w:tc>
        <w:tc>
          <w:tcPr>
            <w:tcW w:w="1520" w:type="dxa"/>
            <w:shd w:val="clear" w:color="auto" w:fill="auto"/>
            <w:noWrap/>
            <w:vAlign w:val="bottom"/>
            <w:hideMark/>
          </w:tcPr>
          <w:p w14:paraId="19789541"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420298E8"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53</w:t>
            </w:r>
          </w:p>
        </w:tc>
        <w:tc>
          <w:tcPr>
            <w:tcW w:w="1487" w:type="dxa"/>
            <w:shd w:val="clear" w:color="auto" w:fill="auto"/>
            <w:noWrap/>
            <w:vAlign w:val="bottom"/>
            <w:hideMark/>
          </w:tcPr>
          <w:p w14:paraId="78B0E241"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0.77</w:t>
            </w:r>
          </w:p>
        </w:tc>
      </w:tr>
      <w:tr w:rsidR="0030211E" w:rsidRPr="0056043D" w14:paraId="267C0152" w14:textId="77777777" w:rsidTr="00315655">
        <w:trPr>
          <w:trHeight w:val="320"/>
        </w:trPr>
        <w:tc>
          <w:tcPr>
            <w:tcW w:w="2238" w:type="dxa"/>
            <w:shd w:val="clear" w:color="auto" w:fill="auto"/>
            <w:noWrap/>
            <w:vAlign w:val="bottom"/>
            <w:hideMark/>
          </w:tcPr>
          <w:p w14:paraId="4B719080"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ChacoSerrano</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{"citationItems":[{"id":"ITEM-1","itemData":{"DOI":"10.1111/1365-2745.13351","author":[{"dropping-particle":"","family":"Pellegrini","given":"A. F. A.","non-dropping-particle":"","parse-names":false,"suffix":""},{"dropping-particle":"","family":"Hobbie","given":"S. E.","non-dropping-particle":"","parse-names":false,"suffix":""},{"dropping-particle":"","family":"Reich","given":"P. B.","non-dropping-particle":"","parse-names":false,"suffix":""},{"dropping-particle":"","family":"Jumpponen","given":"A.","non-dropping-particle":"","parse-names":false,"suffix":""},{"dropping-particle":"","family":"Brookshire","given":"E. N. J.","non-dropping-particle":"","parse-names":false,"suffix":""},{"dropping-particle":"","family":"Caprio","given":"A. C.","non-dropping-particle":"","parse-names":false,"suffix":""},{"dropping-particle":"","family":"Coetsee","given":"C.","non-dropping-particle":"","parse-names":false,"suffix":""},{"dropping-particle":"","family":"Jackson","given":"R. B.","non-dropping-particle":"","parse-names":false,"suffix":""}],"container-title":"Ecological Monographs","id":"ITEM-1","issue":"4","issued":{"date-parts":[["2020"]]},"page":"e01409","title":"Repeated fire shifts carbon and nitrogen cycling by changing plant inputs and soil decomposition across ecosystems","type":"article-journal","volume":"90"},"uris":["http://www.mendeley.com/documents/?uuid=67c80e92-93b4-47f1-940b-fc2b830d1314"]}],"mendeley":{"formattedCitation":"&lt;sup&gt;24&lt;/sup&gt;","plainTextFormattedCitation":"24","previouslyFormattedCitation":"&lt;sup&gt;24&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24</w:t>
            </w:r>
            <w:r w:rsidRPr="00773B70">
              <w:rPr>
                <w:rFonts w:ascii="Times" w:hAnsi="Times" w:cs="Calibri"/>
                <w:color w:val="000000"/>
                <w:sz w:val="20"/>
                <w:szCs w:val="20"/>
              </w:rPr>
              <w:fldChar w:fldCharType="end"/>
            </w:r>
          </w:p>
        </w:tc>
        <w:tc>
          <w:tcPr>
            <w:tcW w:w="1300" w:type="dxa"/>
            <w:shd w:val="clear" w:color="auto" w:fill="auto"/>
            <w:noWrap/>
            <w:vAlign w:val="bottom"/>
            <w:hideMark/>
          </w:tcPr>
          <w:p w14:paraId="5EC1630D"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389" w:type="dxa"/>
            <w:shd w:val="clear" w:color="auto" w:fill="auto"/>
            <w:noWrap/>
            <w:vAlign w:val="bottom"/>
            <w:hideMark/>
          </w:tcPr>
          <w:p w14:paraId="3C01E0C9"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520" w:type="dxa"/>
            <w:shd w:val="clear" w:color="auto" w:fill="auto"/>
            <w:noWrap/>
            <w:vAlign w:val="bottom"/>
            <w:hideMark/>
          </w:tcPr>
          <w:p w14:paraId="2F194A8C"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SouthAmerica</w:t>
            </w:r>
          </w:p>
        </w:tc>
        <w:tc>
          <w:tcPr>
            <w:tcW w:w="1417" w:type="dxa"/>
            <w:shd w:val="clear" w:color="auto" w:fill="auto"/>
            <w:noWrap/>
            <w:vAlign w:val="bottom"/>
            <w:hideMark/>
          </w:tcPr>
          <w:p w14:paraId="784DBA4B"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22</w:t>
            </w:r>
          </w:p>
        </w:tc>
        <w:tc>
          <w:tcPr>
            <w:tcW w:w="1487" w:type="dxa"/>
            <w:shd w:val="clear" w:color="auto" w:fill="auto"/>
            <w:noWrap/>
            <w:vAlign w:val="bottom"/>
            <w:hideMark/>
          </w:tcPr>
          <w:p w14:paraId="58F0BC7E"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0.16</w:t>
            </w:r>
          </w:p>
        </w:tc>
      </w:tr>
      <w:tr w:rsidR="0030211E" w:rsidRPr="0056043D" w14:paraId="21725A1E" w14:textId="77777777" w:rsidTr="00315655">
        <w:trPr>
          <w:trHeight w:val="320"/>
        </w:trPr>
        <w:tc>
          <w:tcPr>
            <w:tcW w:w="2238" w:type="dxa"/>
            <w:shd w:val="clear" w:color="auto" w:fill="auto"/>
            <w:noWrap/>
            <w:vAlign w:val="bottom"/>
            <w:hideMark/>
          </w:tcPr>
          <w:p w14:paraId="7E4B6E91"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ChimneySprings*</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{"citationItems":[{"id":"ITEM-1","itemData":{"DOI":"10.1111/aec.12364","ISSN":"1442-9993","author":[{"dropping-particle":"","family":"Carbone","given":"Lucas M","non-dropping-particle":"","parse-names":false,"suffix":""},{"dropping-particle":"","family":"Aguilar","given":"Ramiro","non-dropping-particle":"","parse-names":false,"suffix":""}],"container-title":"Austral Ecology","id":"ITEM-1","issued":{"date-parts":[["2016"]]},"page":"778-790","title":"Contrasting effects of fire frequency on plant traits of three dominant perennial herbs from Chaco Serrano","type":"article-journal","volume":"41"},"uris":["http://www.mendeley.com/documents/?uuid=43ff23e4-d362-46f4-91c8-20b197855024"]}],"mendeley":{"formattedCitation":"&lt;sup&gt;41&lt;/sup&gt;","plainTextFormattedCitation":"41","previouslyFormattedCitation":"&lt;sup&gt;41&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41</w:t>
            </w:r>
            <w:r w:rsidRPr="00773B70">
              <w:rPr>
                <w:rFonts w:ascii="Times" w:hAnsi="Times" w:cs="Calibri"/>
                <w:color w:val="000000"/>
                <w:sz w:val="20"/>
                <w:szCs w:val="20"/>
              </w:rPr>
              <w:fldChar w:fldCharType="end"/>
            </w:r>
          </w:p>
        </w:tc>
        <w:tc>
          <w:tcPr>
            <w:tcW w:w="1300" w:type="dxa"/>
            <w:shd w:val="clear" w:color="auto" w:fill="auto"/>
            <w:noWrap/>
            <w:vAlign w:val="bottom"/>
            <w:hideMark/>
          </w:tcPr>
          <w:p w14:paraId="2EDDB15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Needleleaf</w:t>
            </w:r>
          </w:p>
        </w:tc>
        <w:tc>
          <w:tcPr>
            <w:tcW w:w="1389" w:type="dxa"/>
            <w:shd w:val="clear" w:color="auto" w:fill="auto"/>
            <w:noWrap/>
            <w:vAlign w:val="bottom"/>
            <w:hideMark/>
          </w:tcPr>
          <w:p w14:paraId="09E8B8B6"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CoolNeedle</w:t>
            </w:r>
          </w:p>
        </w:tc>
        <w:tc>
          <w:tcPr>
            <w:tcW w:w="1520" w:type="dxa"/>
            <w:shd w:val="clear" w:color="auto" w:fill="auto"/>
            <w:noWrap/>
            <w:vAlign w:val="bottom"/>
            <w:hideMark/>
          </w:tcPr>
          <w:p w14:paraId="4002E5C0"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4A34C31A"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42</w:t>
            </w:r>
          </w:p>
        </w:tc>
        <w:tc>
          <w:tcPr>
            <w:tcW w:w="1487" w:type="dxa"/>
            <w:shd w:val="clear" w:color="auto" w:fill="auto"/>
            <w:noWrap/>
            <w:vAlign w:val="bottom"/>
            <w:hideMark/>
          </w:tcPr>
          <w:p w14:paraId="652D99CE"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15F310E9" w14:textId="77777777" w:rsidTr="00315655">
        <w:trPr>
          <w:trHeight w:val="320"/>
        </w:trPr>
        <w:tc>
          <w:tcPr>
            <w:tcW w:w="2238" w:type="dxa"/>
            <w:shd w:val="clear" w:color="auto" w:fill="auto"/>
            <w:noWrap/>
            <w:vAlign w:val="bottom"/>
            <w:hideMark/>
          </w:tcPr>
          <w:p w14:paraId="3AF7E20D"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DryPeachester</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{"citationItems":[{"id":"ITEM-1","itemData":{"ISSN":"11956860","abstract":"We examined the cumulative effects of 20 years of two-year interval prescription burning on available nitrogen (N) and total N and phosphorus (P) pools in the upper 15 cm of mineral soil of a southwestern ponderosa pine (Pinus ponderosa Dougl. ex Laws.) forest over a complete two-year burn cycle. Repeated burning reduced anaerobically mineralizable N up to 25%. However, burned and control plots had similar monthly ammonium and nitrate pool sizes in the mineral soil during both years of the two-year burn cycle. Mineral soil total N in the upper 15 cm was reduced by 110 kg N/ha (about a 7% reduction) after 20 years of prescription burning at this site. This estimate, coupled with a calculated 470 kg/ha loss of N from the forest floor, indicates repeated burning has substantially depleted soil N stocks at this site. In contrast to N, mineral soil total P in burned plots was similar to control plots. Our results suggest that repeated prescription burning at two-year intervals may have deleterious long-term effects on N cycling in southwestern ponderosa pine forests. Nous avons examin&amp;#xe9;, dans une for&amp;#xea;t de pins (Pinus ponderosa Dougl. ex Laws.) du sud-ouest de l'Am&amp;#xe9;rique du Nord, les effets cumulatifs des feux allum&amp;#xe9;s de fa&amp;#xe7;on intentionnelle tous les deux ans sur la disponibilit&amp;#xe9; de l'azote et du phosphore contenus dans la couche sup&amp;#xe9;rieure (15 cm) du sol min&amp;#xe9;ral. La for&amp;#xea;t a &amp;#xe9;t&amp;#xe9; soumise &amp;#xe0; des feux r&amp;#xe9;p&amp;#xe9;t&amp;#xe9;s sur une p&amp;#xe9;riode de vingt ans. Les feux r&amp;#xe9;p&amp;#xe9;t&amp;#xe9;s r&amp;#xe9;duisent de 25 % la quantit&amp;#xe9; d'azote min&amp;#xe9;ralisable de fa&amp;#xe7;on ana&amp;#xe9;robique. Toutefois, les parcelles br&amp;#xfb;l&amp;#xe9;es et t&amp;#xe9;moins ont des r&amp;#xe9;servoirs d'ammonium et de nitrates dans le sol min&amp;#xe9;ral de taille comparable au cours des deux ann&amp;#xe9;es que dure un cycle de feux. La quantit&amp;#xe9; totale d'azote de la couche sup&amp;#xe9;rieure du sol min&amp;#xe9;ral est r&amp;#xe9;duite de 7 % (110 kg N/ha) apr&amp;#xe8;s 20 ans de feux r&amp;#xe9;p&amp;#xe9;t&amp;#xe9;s. Cet estim&amp;#xe9;, auquel on ajoute une perte de 470 kg/ha d'azote en provenance de la surface du sol, indique que les feux r&amp;#xe9;p&amp;#xe9;t&amp;#xe9;s diminuent de fa&amp;#xe7;on substantielle les r&amp;#xe9;serves d'azote. &amp;#xc0; l'inverse, la quantit&amp;#xe9; totale de phosphore dans les parcelles br&amp;#xfb;l&amp;#xe9;es est similaire &amp;#xe0; celle des parcelles t&amp;#xe9;moins. Ces r&amp;#xe9;sultats sugg&amp;#xe8;rent que les feux allum&amp;#xe9;s de fa&amp;#xe7;on intentionnelle tous le…","author":[{"dropping-particle":"","family":"Wright","given":"Robert J","non-dropping-particle":"","parse-names":false,"suffix":""},{"dropping-particle":"","family":"Hart","given":"Stephen C","non-dropping-particle":"","parse-names":false,"suffix":""}],"container-title":"Écoscience","id":"ITEM-1","issue":"4","issued":{"date-parts":[["1997"]]},"page":"526-533","publisher":"Taylor &amp; Francis, Ltd.","title":"Nitrogen and phosphorus status in a ponderosa pine forest after 20 years of interval burning","type":"article-journal","volume":"4"},"uris":["http://www.mendeley.com/documents/?uuid=885a367f-4384-45d3-996b-430ad5270077"]}],"mendeley":{"formattedCitation":"&lt;sup&gt;42&lt;/sup&gt;","plainTextFormattedCitation":"42","previouslyFormattedCitation":"&lt;sup&gt;42&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42</w:t>
            </w:r>
            <w:r w:rsidRPr="00773B70">
              <w:rPr>
                <w:rFonts w:ascii="Times" w:hAnsi="Times" w:cs="Calibri"/>
                <w:color w:val="000000"/>
                <w:sz w:val="20"/>
                <w:szCs w:val="20"/>
              </w:rPr>
              <w:fldChar w:fldCharType="end"/>
            </w:r>
          </w:p>
        </w:tc>
        <w:tc>
          <w:tcPr>
            <w:tcW w:w="1300" w:type="dxa"/>
            <w:shd w:val="clear" w:color="auto" w:fill="auto"/>
            <w:noWrap/>
            <w:vAlign w:val="bottom"/>
            <w:hideMark/>
          </w:tcPr>
          <w:p w14:paraId="52A7EC8E"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389" w:type="dxa"/>
            <w:shd w:val="clear" w:color="auto" w:fill="auto"/>
            <w:noWrap/>
            <w:vAlign w:val="bottom"/>
            <w:hideMark/>
          </w:tcPr>
          <w:p w14:paraId="0F2AE9A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520" w:type="dxa"/>
            <w:shd w:val="clear" w:color="auto" w:fill="auto"/>
            <w:noWrap/>
            <w:vAlign w:val="bottom"/>
            <w:hideMark/>
          </w:tcPr>
          <w:p w14:paraId="7C51FB30"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Australia</w:t>
            </w:r>
          </w:p>
        </w:tc>
        <w:tc>
          <w:tcPr>
            <w:tcW w:w="1417" w:type="dxa"/>
            <w:shd w:val="clear" w:color="auto" w:fill="auto"/>
            <w:noWrap/>
            <w:vAlign w:val="bottom"/>
            <w:hideMark/>
          </w:tcPr>
          <w:p w14:paraId="701E4CA2"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22</w:t>
            </w:r>
          </w:p>
        </w:tc>
        <w:tc>
          <w:tcPr>
            <w:tcW w:w="1487" w:type="dxa"/>
            <w:shd w:val="clear" w:color="auto" w:fill="auto"/>
            <w:noWrap/>
            <w:vAlign w:val="bottom"/>
            <w:hideMark/>
          </w:tcPr>
          <w:p w14:paraId="556EC7C7"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0.50</w:t>
            </w:r>
          </w:p>
        </w:tc>
      </w:tr>
      <w:tr w:rsidR="0030211E" w:rsidRPr="0056043D" w14:paraId="01324EBF" w14:textId="77777777" w:rsidTr="00315655">
        <w:trPr>
          <w:trHeight w:val="320"/>
        </w:trPr>
        <w:tc>
          <w:tcPr>
            <w:tcW w:w="2238" w:type="dxa"/>
            <w:shd w:val="clear" w:color="auto" w:fill="auto"/>
            <w:noWrap/>
            <w:vAlign w:val="bottom"/>
            <w:hideMark/>
          </w:tcPr>
          <w:p w14:paraId="28DC7889"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Eden</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{"citationItems":[{"id":"ITEM-1","itemData":{"ISSN":"0048-0134","abstract":"The long-term impacts of repeated prescribed-burning on surface (0-30 cm) soil chemical properties and forest floor nutrients in two contrasting native eucalypt forests in south-east Queensland, Australia were assessed. Most effects were confined to the topsoil (0-10 cm). At the dry sclerophyll site, more than 40 years of annual burning had not led to any loss in topsoil total nitrogen and organic carbon but had significantly increased topsoil acid-extractable phosphorus. At the wet sclerophyll site, biennial burning (10 burns) resulted in decreases in topsoil total nitrogen and potentially mineralisable nitrogen despite a shorter experimental period (22 years). The increase in acid-extractable phosphorus with burning on this latter site was not significant. The varying impacts of prescribed-burning on soil chemical properties at the two sites may be partly explained by differences in site quality and in the number of times the forests have been subjected to various burning regimes. These changes may have implications for tree growth in the long term. Repeated burning reduced the weight, organic matter, and nutrient contents of the forest floor at both sites, the decreases being directly proportional to the frequency of burning.","author":[{"dropping-particle":"","family":"Guinto","given":"Danilo F","non-dropping-particle":"","parse-names":false,"suffix":""},{"dropping-particle":"","family":"Xu","given":"Zhihong H","non-dropping-particle":"","parse-names":false,"suffix":""},{"dropping-particle":"","family":"Saffigna","given":"Paul Gio","non-dropping-particle":"","parse-names":false,"suffix":""},{"dropping-particle":"","family":"House","given":"A P N","non-dropping-particle":"","parse-names":false,"suffix":""},{"dropping-particle":"","family":"Saffigna","given":"Paul Gio","non-dropping-particle":"","parse-names":false,"suffix":""},{"dropping-particle":"","family":"House","given":"A P N","non-dropping-particle":"","parse-names":false,"suffix":""}],"container-title":"New Zealand Journal of Forestry Science","id":"ITEM-1","issue":"2","issued":{"date-parts":[["2001"]]},"page":"170-187","title":"Soil chemical properties and forest floor nutrients under repeated prescribed-burning in eucalypt forests of south-east Queensland, Australia","type":"article-journal","volume":"31"},"uris":["http://www.mendeley.com/documents/?uuid=44dcbc1f-7359-4248-b7b4-d690abf817a6"]}],"mendeley":{"formattedCitation":"&lt;sup&gt;39&lt;/sup&gt;","plainTextFormattedCitation":"39","previouslyFormattedCitation":"&lt;sup&gt;39&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39</w:t>
            </w:r>
            <w:r w:rsidRPr="00773B70">
              <w:rPr>
                <w:rFonts w:ascii="Times" w:hAnsi="Times" w:cs="Calibri"/>
                <w:color w:val="000000"/>
                <w:sz w:val="20"/>
                <w:szCs w:val="20"/>
              </w:rPr>
              <w:fldChar w:fldCharType="end"/>
            </w:r>
          </w:p>
        </w:tc>
        <w:tc>
          <w:tcPr>
            <w:tcW w:w="1300" w:type="dxa"/>
            <w:shd w:val="clear" w:color="auto" w:fill="auto"/>
            <w:noWrap/>
            <w:vAlign w:val="bottom"/>
            <w:hideMark/>
          </w:tcPr>
          <w:p w14:paraId="2D08FAF5"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389" w:type="dxa"/>
            <w:shd w:val="clear" w:color="auto" w:fill="auto"/>
            <w:noWrap/>
            <w:vAlign w:val="bottom"/>
            <w:hideMark/>
          </w:tcPr>
          <w:p w14:paraId="4C90650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520" w:type="dxa"/>
            <w:shd w:val="clear" w:color="auto" w:fill="auto"/>
            <w:noWrap/>
            <w:vAlign w:val="bottom"/>
            <w:hideMark/>
          </w:tcPr>
          <w:p w14:paraId="5A80266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Australia</w:t>
            </w:r>
          </w:p>
        </w:tc>
        <w:tc>
          <w:tcPr>
            <w:tcW w:w="1417" w:type="dxa"/>
            <w:shd w:val="clear" w:color="auto" w:fill="auto"/>
            <w:noWrap/>
            <w:vAlign w:val="bottom"/>
            <w:hideMark/>
          </w:tcPr>
          <w:p w14:paraId="014D9F4D"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34</w:t>
            </w:r>
          </w:p>
        </w:tc>
        <w:tc>
          <w:tcPr>
            <w:tcW w:w="1487" w:type="dxa"/>
            <w:shd w:val="clear" w:color="auto" w:fill="auto"/>
            <w:noWrap/>
            <w:vAlign w:val="bottom"/>
            <w:hideMark/>
          </w:tcPr>
          <w:p w14:paraId="19E4FFB4"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0.10</w:t>
            </w:r>
          </w:p>
        </w:tc>
      </w:tr>
      <w:tr w:rsidR="0030211E" w:rsidRPr="0056043D" w14:paraId="62AC273D" w14:textId="77777777" w:rsidTr="00315655">
        <w:trPr>
          <w:trHeight w:val="320"/>
        </w:trPr>
        <w:tc>
          <w:tcPr>
            <w:tcW w:w="2238" w:type="dxa"/>
            <w:shd w:val="clear" w:color="auto" w:fill="auto"/>
            <w:noWrap/>
            <w:vAlign w:val="bottom"/>
            <w:hideMark/>
          </w:tcPr>
          <w:p w14:paraId="0203B6C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Emas</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{"citationItems":[{"id":"ITEM-1","itemData":{"DOI":"http://dx.doi.org/10.1016/j.foreco.2008.06.021","ISSN":"0378-1127","abstract":"In the Eden area in NSW, Australia, low fertility granitic surface soils were sampled from 156 sites and analysed for pH, organic C, total N, total P, available P, exchangeable bases and exchangeable Al. Fifty eight of these sites were also sampled to a depth of 40 cm. Time since fire ranged from 1 to 39 years and was used in the analysis as a surrogate for fire frequency. No information was available on fire intensity. No significant relationships were found between time since fire and P or base cations. However, the quantities of organic matter and total N (kg ha−1), and the C/N ratio were significantly related to both time since fire alone and to the combination of time since fire and soil total P. Based on these relationships, it was estimated that there were average net increases of between 11 and 21 kg N ha−1 year−1 in surface soil, the actual quantity depending on the level of soil total P. There was little change in N in the initial 10 years after fire and there was a peak in N accumulation about 24 years after fire. The C/N ratio and surface soil pH decreased with time since fire. Accumulation of N and reductions in pH and C/N ratio were studied further in a small scale paired plot analysis. The repeatedly burnt plots had lower levels of both litter and understorey and the overstorey trees generally had healthier crowns than in the unburnt plots. The differences between the repeatedly burnt and the unburnt plots matched the models developed from the general survey. There were no significant changes in the C/N ratio, but the unburnt sites had higher levels of extractable mineral N and the relationships between the mineral N and the C/N ratio for burnt and unburnt sites were statistically significant. The quantities of extractable mineral N in the unburnt soils (2.3 kg N ha−1) were about twice the levels in the burnt soils (1.2 kg N ha−1). The pH of the surface soil (4.4 in 1:1 water) in the regularly burnt area was higher than in the unburnt area (pH 4.1) and the exchangeable aluminium also differed (0.62 c mol−1 in the burnt area and 1.3 c mol−1 in the unburnt). The combined data indicate that changes occur in forest soils when there is a long period of exclusion of fire. It is suggested that these changes generally lead to secondary changes, such as in pH and availability of other elements such as aluminium. The study highlights a number of issues including the rates of inputs of N to the system and the question of N saturation and its long te…","author":[{"dropping-particle":"","family":"Turner","given":"John","non-dropping-particle":"","parse-names":false,"suffix":""},{"dropping-particle":"","family":"Lambert","given":"Marcia","non-dropping-particle":"","parse-names":false,"suffix":""},{"dropping-particle":"","family":"Jurskis","given":"Vic","non-dropping-particle":"","parse-names":false,"suffix":""},{"dropping-particle":"","family":"Bi","given":"Huiquan","non-dropping-particle":"","parse-names":false,"suffix":""}],"container-title":"Forest Ecology and Management","id":"ITEM-1","issue":"5","issued":{"date-parts":[["2008"]]},"page":"1133-1142","title":"Long term accumulation of nitrogen in soils of dry mixed eucalypt forest in the absence of fire","type":"article-journal","volume":"256"},"uris":["http://www.mendeley.com/documents/?uuid=f7211fae-54a6-3716-a768-42e671cb30d0"]}],"mendeley":{"formattedCitation":"&lt;sup&gt;43&lt;/sup&gt;","plainTextFormattedCitation":"43","previouslyFormattedCitation":"&lt;sup&gt;43&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43</w:t>
            </w:r>
            <w:r w:rsidRPr="00773B70">
              <w:rPr>
                <w:rFonts w:ascii="Times" w:hAnsi="Times" w:cs="Calibri"/>
                <w:color w:val="000000"/>
                <w:sz w:val="20"/>
                <w:szCs w:val="20"/>
              </w:rPr>
              <w:fldChar w:fldCharType="end"/>
            </w:r>
          </w:p>
        </w:tc>
        <w:tc>
          <w:tcPr>
            <w:tcW w:w="1300" w:type="dxa"/>
            <w:shd w:val="clear" w:color="auto" w:fill="auto"/>
            <w:noWrap/>
            <w:vAlign w:val="bottom"/>
            <w:hideMark/>
          </w:tcPr>
          <w:p w14:paraId="63872FF7"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5448119C"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WoodySav</w:t>
            </w:r>
          </w:p>
        </w:tc>
        <w:tc>
          <w:tcPr>
            <w:tcW w:w="1520" w:type="dxa"/>
            <w:shd w:val="clear" w:color="auto" w:fill="auto"/>
            <w:noWrap/>
            <w:vAlign w:val="bottom"/>
            <w:hideMark/>
          </w:tcPr>
          <w:p w14:paraId="6BD872AC"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SouthAmerica</w:t>
            </w:r>
          </w:p>
        </w:tc>
        <w:tc>
          <w:tcPr>
            <w:tcW w:w="1417" w:type="dxa"/>
            <w:shd w:val="clear" w:color="auto" w:fill="auto"/>
            <w:noWrap/>
            <w:vAlign w:val="bottom"/>
            <w:hideMark/>
          </w:tcPr>
          <w:p w14:paraId="69B42AFD"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12</w:t>
            </w:r>
          </w:p>
        </w:tc>
        <w:tc>
          <w:tcPr>
            <w:tcW w:w="1487" w:type="dxa"/>
            <w:shd w:val="clear" w:color="auto" w:fill="auto"/>
            <w:noWrap/>
            <w:vAlign w:val="bottom"/>
            <w:hideMark/>
          </w:tcPr>
          <w:p w14:paraId="3FE22B83"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0.50</w:t>
            </w:r>
          </w:p>
        </w:tc>
      </w:tr>
      <w:tr w:rsidR="0030211E" w:rsidRPr="0056043D" w14:paraId="7F4ABB4D" w14:textId="77777777" w:rsidTr="00315655">
        <w:trPr>
          <w:trHeight w:val="320"/>
        </w:trPr>
        <w:tc>
          <w:tcPr>
            <w:tcW w:w="2238" w:type="dxa"/>
            <w:shd w:val="clear" w:color="auto" w:fill="auto"/>
            <w:noWrap/>
            <w:vAlign w:val="bottom"/>
            <w:hideMark/>
          </w:tcPr>
          <w:p w14:paraId="016A4986"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EMBRAPA</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{"citationItems":[{"id":"ITEM-1","itemData":{"ISSN":"0032-079X","author":[{"dropping-particle":"","family":"Silva","given":"D M","non-dropping-particle":"da","parse-names":false,"suffix":""},{"dropping-particle":"","family":"Batalha","given":"M A","non-dropping-particle":"","parse-names":false,"suffix":""}],"container-title":"Plant and Soil","id":"ITEM-1","issue":"1","issued":{"date-parts":[["2008"]]},"page":"87-96","title":"Soil–vegetation relationships in cerrados under different fire frequencies","type":"article-journal","volume":"311"},"uris":["http://www.mendeley.com/documents/?uuid=99cb8910-b4b1-398d-8d66-7a1715227831"]}],"mendeley":{"formattedCitation":"&lt;sup&gt;44&lt;/sup&gt;","plainTextFormattedCitation":"44","previouslyFormattedCitation":"&lt;sup&gt;44&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44</w:t>
            </w:r>
            <w:r w:rsidRPr="00773B70">
              <w:rPr>
                <w:rFonts w:ascii="Times" w:hAnsi="Times" w:cs="Calibri"/>
                <w:color w:val="000000"/>
                <w:sz w:val="20"/>
                <w:szCs w:val="20"/>
              </w:rPr>
              <w:fldChar w:fldCharType="end"/>
            </w:r>
          </w:p>
        </w:tc>
        <w:tc>
          <w:tcPr>
            <w:tcW w:w="1300" w:type="dxa"/>
            <w:shd w:val="clear" w:color="auto" w:fill="auto"/>
            <w:noWrap/>
            <w:vAlign w:val="bottom"/>
            <w:hideMark/>
          </w:tcPr>
          <w:p w14:paraId="65933E8B"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5CD3426C"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WoodySav</w:t>
            </w:r>
          </w:p>
        </w:tc>
        <w:tc>
          <w:tcPr>
            <w:tcW w:w="1520" w:type="dxa"/>
            <w:shd w:val="clear" w:color="auto" w:fill="auto"/>
            <w:noWrap/>
            <w:vAlign w:val="bottom"/>
            <w:hideMark/>
          </w:tcPr>
          <w:p w14:paraId="2FA80C11"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SouthAmerica</w:t>
            </w:r>
          </w:p>
        </w:tc>
        <w:tc>
          <w:tcPr>
            <w:tcW w:w="1417" w:type="dxa"/>
            <w:shd w:val="clear" w:color="auto" w:fill="auto"/>
            <w:noWrap/>
            <w:vAlign w:val="bottom"/>
            <w:hideMark/>
          </w:tcPr>
          <w:p w14:paraId="5CE3B20E"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21</w:t>
            </w:r>
          </w:p>
        </w:tc>
        <w:tc>
          <w:tcPr>
            <w:tcW w:w="1487" w:type="dxa"/>
            <w:shd w:val="clear" w:color="auto" w:fill="auto"/>
            <w:noWrap/>
            <w:vAlign w:val="bottom"/>
            <w:hideMark/>
          </w:tcPr>
          <w:p w14:paraId="2632A0AC"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0.50</w:t>
            </w:r>
          </w:p>
        </w:tc>
      </w:tr>
      <w:tr w:rsidR="0030211E" w:rsidRPr="0056043D" w14:paraId="7AD869A4" w14:textId="77777777" w:rsidTr="00315655">
        <w:trPr>
          <w:trHeight w:val="320"/>
        </w:trPr>
        <w:tc>
          <w:tcPr>
            <w:tcW w:w="2238" w:type="dxa"/>
            <w:shd w:val="clear" w:color="auto" w:fill="auto"/>
            <w:noWrap/>
            <w:vAlign w:val="bottom"/>
            <w:hideMark/>
          </w:tcPr>
          <w:p w14:paraId="71006A7D"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Ferran</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{"citationItems":[{"id":"ITEM-1","itemData":{"DOI":"http://dx.doi.org/10.1016/0378-1127(94)90096-5","ISSN":"0378-1127","abstract":"Over a period of 16 years, unburned longleaf pine (Pinus palustris Mill.) pole stands grew an average of 27% more volume than similar stands regularly burned. Treatments included biennial burns in winter, spring, and summer plus an unburned check, each of which was combined with three supplemental treatments, namely, initial herbicide injection of all hardwoods, repeated handclearing of all woody stems, and no treatment. All unburned and winter-burned plots were paired to study this growth reduction relative to treatments. The status of nitrogen, phosphorus, available moisture holding capacity, bulk density, and macropore space was determined in both surface and subsurface soils. Foliage from pines on sampled plots was analyzed for N, P, K, Ca, Mg, Mn, Cu, Fe, and Zn. Burning did not significantly affect either soil N and P or foliar nutrients. However, burning reduced available moisture holding capacity and macropore space and increased the bulk density of surface soils, and also reduced the moisture-holding capacity of subsurface soils. The results from this and other studies suggest that growth losses are due, at least in part, to increased moisture stress associated with changes in soil physical properties.","author":[{"dropping-particle":"","family":"Boyer","given":"William D","non-dropping-particle":"","parse-names":false,"suffix":""},{"dropping-particle":"","family":"Miller","given":"James H","non-dropping-particle":"","parse-names":false,"suffix":""}],"container-title":"Forest Ecology and Management","id":"ITEM-1","issue":"1","issued":{"date-parts":[["1994"]]},"page":"311-318","title":"Effect of burning and brush treatments on nutrient and soil physical properties in young longleaf pine stands","type":"article-journal","volume":"70"},"uris":["http://www.mendeley.com/documents/?uuid=196f85e6-eec1-347d-b038-a906aad010b5"]}],"mendeley":{"formattedCitation":"&lt;sup&gt;45&lt;/sup&gt;","plainTextFormattedCitation":"45","previouslyFormattedCitation":"&lt;sup&gt;45&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45</w:t>
            </w:r>
            <w:r w:rsidRPr="00773B70">
              <w:rPr>
                <w:rFonts w:ascii="Times" w:hAnsi="Times" w:cs="Calibri"/>
                <w:color w:val="000000"/>
                <w:sz w:val="20"/>
                <w:szCs w:val="20"/>
              </w:rPr>
              <w:fldChar w:fldCharType="end"/>
            </w:r>
          </w:p>
        </w:tc>
        <w:tc>
          <w:tcPr>
            <w:tcW w:w="1300" w:type="dxa"/>
            <w:shd w:val="clear" w:color="auto" w:fill="auto"/>
            <w:noWrap/>
            <w:vAlign w:val="bottom"/>
            <w:hideMark/>
          </w:tcPr>
          <w:p w14:paraId="38021E71"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389" w:type="dxa"/>
            <w:shd w:val="clear" w:color="auto" w:fill="auto"/>
            <w:noWrap/>
            <w:vAlign w:val="bottom"/>
            <w:hideMark/>
          </w:tcPr>
          <w:p w14:paraId="4456B795"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520" w:type="dxa"/>
            <w:shd w:val="clear" w:color="auto" w:fill="auto"/>
            <w:noWrap/>
            <w:vAlign w:val="bottom"/>
            <w:hideMark/>
          </w:tcPr>
          <w:p w14:paraId="4DCDA37F"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Europe</w:t>
            </w:r>
          </w:p>
        </w:tc>
        <w:tc>
          <w:tcPr>
            <w:tcW w:w="1417" w:type="dxa"/>
            <w:shd w:val="clear" w:color="auto" w:fill="auto"/>
            <w:noWrap/>
            <w:vAlign w:val="bottom"/>
            <w:hideMark/>
          </w:tcPr>
          <w:p w14:paraId="65062D34"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16</w:t>
            </w:r>
          </w:p>
        </w:tc>
        <w:tc>
          <w:tcPr>
            <w:tcW w:w="1487" w:type="dxa"/>
            <w:shd w:val="clear" w:color="auto" w:fill="auto"/>
            <w:noWrap/>
            <w:vAlign w:val="bottom"/>
            <w:hideMark/>
          </w:tcPr>
          <w:p w14:paraId="39011D93"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0.19</w:t>
            </w:r>
          </w:p>
        </w:tc>
      </w:tr>
      <w:tr w:rsidR="0030211E" w:rsidRPr="0056043D" w14:paraId="7BC924EB" w14:textId="77777777" w:rsidTr="00315655">
        <w:trPr>
          <w:trHeight w:val="320"/>
        </w:trPr>
        <w:tc>
          <w:tcPr>
            <w:tcW w:w="2238" w:type="dxa"/>
            <w:shd w:val="clear" w:color="auto" w:fill="auto"/>
            <w:noWrap/>
            <w:vAlign w:val="bottom"/>
            <w:hideMark/>
          </w:tcPr>
          <w:p w14:paraId="5B599F3B"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FESA/Wombat</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ISSN":"1385-0237","author":[{"dropping-particle":"","family":"Ferran","given":"Anna","non-dropping-particle":"","parse-names":false,"suffix":""},{"dropping-particle":"","family":"Delitti","given":"Welington","non-dropping-particle":"","parse-names":false,"suffix":""},{"dropping-particle":"","family":"Vallejo","given":"V R","non-dropping-particle":"","parse-names":false,"suffix":""}],"container-title":"Plant Ecology","id":"ITEM-1","issue":"1","issued":{"date-parts":[["2005"]]},"page":"71-83","title":"Effects of fire recurrence in Quercus coccifera L. shrublands of the Valencia Region (Spain): II. plant and soil nutrients","type":"article-journal","volume":"177"},"uris":["http://www.mendeley.com/documents/?uuid=28ef8a6c-ab83-416c-8819-a35bfdef3bf4"]}],"mendeley":{"formattedCitation":"&lt;sup&gt;46&lt;/sup&gt;","plainTextFormattedCitation":"46","previouslyFormattedCitation":"&lt;sup&gt;46&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46</w:t>
            </w:r>
            <w:r w:rsidRPr="00773B70">
              <w:rPr>
                <w:rFonts w:ascii="Times" w:hAnsi="Times" w:cs="Calibri"/>
                <w:color w:val="000000"/>
                <w:sz w:val="20"/>
                <w:szCs w:val="20"/>
              </w:rPr>
              <w:fldChar w:fldCharType="end"/>
            </w:r>
          </w:p>
        </w:tc>
        <w:tc>
          <w:tcPr>
            <w:tcW w:w="1300" w:type="dxa"/>
            <w:shd w:val="clear" w:color="auto" w:fill="auto"/>
            <w:noWrap/>
            <w:vAlign w:val="bottom"/>
            <w:hideMark/>
          </w:tcPr>
          <w:p w14:paraId="183E6E95"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389" w:type="dxa"/>
            <w:shd w:val="clear" w:color="auto" w:fill="auto"/>
            <w:noWrap/>
            <w:vAlign w:val="bottom"/>
            <w:hideMark/>
          </w:tcPr>
          <w:p w14:paraId="2E24FCEF"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520" w:type="dxa"/>
            <w:shd w:val="clear" w:color="auto" w:fill="auto"/>
            <w:noWrap/>
            <w:vAlign w:val="bottom"/>
            <w:hideMark/>
          </w:tcPr>
          <w:p w14:paraId="5C081625"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Australia</w:t>
            </w:r>
          </w:p>
        </w:tc>
        <w:tc>
          <w:tcPr>
            <w:tcW w:w="1417" w:type="dxa"/>
            <w:shd w:val="clear" w:color="auto" w:fill="auto"/>
            <w:noWrap/>
            <w:vAlign w:val="bottom"/>
            <w:hideMark/>
          </w:tcPr>
          <w:p w14:paraId="3D46618F"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23</w:t>
            </w:r>
          </w:p>
        </w:tc>
        <w:tc>
          <w:tcPr>
            <w:tcW w:w="1487" w:type="dxa"/>
            <w:shd w:val="clear" w:color="auto" w:fill="auto"/>
            <w:noWrap/>
            <w:vAlign w:val="bottom"/>
            <w:hideMark/>
          </w:tcPr>
          <w:p w14:paraId="501975CD"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0.30</w:t>
            </w:r>
          </w:p>
        </w:tc>
      </w:tr>
      <w:tr w:rsidR="0030211E" w:rsidRPr="0056043D" w14:paraId="3CCF4A53" w14:textId="77777777" w:rsidTr="00315655">
        <w:trPr>
          <w:trHeight w:val="320"/>
        </w:trPr>
        <w:tc>
          <w:tcPr>
            <w:tcW w:w="2238" w:type="dxa"/>
            <w:shd w:val="clear" w:color="auto" w:fill="auto"/>
            <w:noWrap/>
            <w:vAlign w:val="bottom"/>
            <w:hideMark/>
          </w:tcPr>
          <w:p w14:paraId="6E9A3757"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FortHare/Alice</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{"citationItems":[{"id":"ITEM-1","itemData":{"ISSN":"0168-1923","author":[{"dropping-particle":"","family":"Fest","given":"Benedikt J","non-dropping-particle":"","parse-names":false,"suffix":""},{"dropping-particle":"","family":"Livesley","given":"Stephen J","non-dropping-particle":"","parse-names":false,"suffix":""},{"dropping-particle":"","family":"Fischer","given":"Joseph C","non-dropping-particle":"von","parse-names":false,"suffix":""},{"dropping-particle":"","family":"Arndt","given":"Stefan K","non-dropping-particle":"","parse-names":false,"suffix":""}],"container-title":"Agricultural and Forest Meteorology","id":"ITEM-1","issued":{"date-parts":[["2015"]]},"page":"17-25","title":"Repeated fuel reduction burns have little long-term impact on soil greenhouse gas exchange in a dry sclerophyll eucalypt forest","type":"article-journal","volume":"201"},"uris":["http://www.mendeley.com/documents/?uuid=1e3e3be3-66a4-3da5-9e41-0f211c90152d"]}],"mendeley":{"formattedCitation":"&lt;sup&gt;47&lt;/sup&gt;","plainTextFormattedCitation":"47","previouslyFormattedCitation":"&lt;sup&gt;47&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47</w:t>
            </w:r>
            <w:r w:rsidRPr="00773B70">
              <w:rPr>
                <w:rFonts w:ascii="Times" w:hAnsi="Times" w:cs="Calibri"/>
                <w:color w:val="000000"/>
                <w:sz w:val="20"/>
                <w:szCs w:val="20"/>
              </w:rPr>
              <w:fldChar w:fldCharType="end"/>
            </w:r>
          </w:p>
        </w:tc>
        <w:tc>
          <w:tcPr>
            <w:tcW w:w="1300" w:type="dxa"/>
            <w:shd w:val="clear" w:color="auto" w:fill="auto"/>
            <w:noWrap/>
            <w:vAlign w:val="bottom"/>
            <w:hideMark/>
          </w:tcPr>
          <w:p w14:paraId="2D49FB12"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0A319BC3"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Grassland</w:t>
            </w:r>
          </w:p>
        </w:tc>
        <w:tc>
          <w:tcPr>
            <w:tcW w:w="1520" w:type="dxa"/>
            <w:shd w:val="clear" w:color="auto" w:fill="auto"/>
            <w:noWrap/>
            <w:vAlign w:val="bottom"/>
            <w:hideMark/>
          </w:tcPr>
          <w:p w14:paraId="2C31407D"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Africa</w:t>
            </w:r>
          </w:p>
        </w:tc>
        <w:tc>
          <w:tcPr>
            <w:tcW w:w="1417" w:type="dxa"/>
            <w:shd w:val="clear" w:color="auto" w:fill="auto"/>
            <w:noWrap/>
            <w:vAlign w:val="bottom"/>
            <w:hideMark/>
          </w:tcPr>
          <w:p w14:paraId="7883BB2C"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16</w:t>
            </w:r>
          </w:p>
        </w:tc>
        <w:tc>
          <w:tcPr>
            <w:tcW w:w="1487" w:type="dxa"/>
            <w:shd w:val="clear" w:color="auto" w:fill="auto"/>
            <w:noWrap/>
            <w:vAlign w:val="bottom"/>
            <w:hideMark/>
          </w:tcPr>
          <w:p w14:paraId="70B076ED"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63141C00" w14:textId="77777777" w:rsidTr="00315655">
        <w:trPr>
          <w:trHeight w:val="320"/>
        </w:trPr>
        <w:tc>
          <w:tcPr>
            <w:tcW w:w="2238" w:type="dxa"/>
            <w:shd w:val="clear" w:color="auto" w:fill="auto"/>
            <w:noWrap/>
            <w:vAlign w:val="bottom"/>
            <w:hideMark/>
          </w:tcPr>
          <w:p w14:paraId="77631F1A"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Francis Marion</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{"citationItems":[{"id":"ITEM-1","itemData":{"DOI":"10.1080/02571862.1998.10635127","ISSN":"0257-1862","author":[{"dropping-particle":"","family":"Materechera","given":"S A","non-dropping-particle":"","parse-names":false,"suffix":""},{"dropping-particle":"","family":"Mandiringana","given":"O T","non-dropping-particle":"","parse-names":false,"suffix":""},{"dropping-particle":"","family":"Mbokodi","given":"P M","non-dropping-particle":"","parse-names":false,"suffix":""},{"dropping-particle":"","family":"Nyamapfene","given":"K","non-dropping-particle":"","parse-names":false,"suffix":""}],"container-title":"South African Journal of Plant and Soil","id":"ITEM-1","issue":"3","issued":{"date-parts":[["1998"]]},"page":"109-115","publisher":"Taylor &amp; Francis","title":"Organic matter, pH and nutrient distribution in soil layers of a savanna Thornveld subjected to different burning frequencies at Alice in the Eastern Cape","type":"article-journal","volume":"15"},"uris":["http://www.mendeley.com/documents/?uuid=7f702126-287a-450c-94e8-a3af311d90e2"]}],"mendeley":{"formattedCitation":"&lt;sup&gt;48&lt;/sup&gt;","plainTextFormattedCitation":"48","previouslyFormattedCitation":"&lt;sup&gt;48&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48</w:t>
            </w:r>
            <w:r w:rsidRPr="00773B70">
              <w:rPr>
                <w:rFonts w:ascii="Times" w:hAnsi="Times" w:cs="Calibri"/>
                <w:color w:val="000000"/>
                <w:sz w:val="20"/>
                <w:szCs w:val="20"/>
              </w:rPr>
              <w:fldChar w:fldCharType="end"/>
            </w:r>
          </w:p>
        </w:tc>
        <w:tc>
          <w:tcPr>
            <w:tcW w:w="1300" w:type="dxa"/>
            <w:shd w:val="clear" w:color="auto" w:fill="auto"/>
            <w:noWrap/>
            <w:vAlign w:val="bottom"/>
            <w:hideMark/>
          </w:tcPr>
          <w:p w14:paraId="30AD1731"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Needleleaf</w:t>
            </w:r>
          </w:p>
        </w:tc>
        <w:tc>
          <w:tcPr>
            <w:tcW w:w="1389" w:type="dxa"/>
            <w:shd w:val="clear" w:color="auto" w:fill="auto"/>
            <w:noWrap/>
            <w:vAlign w:val="bottom"/>
            <w:hideMark/>
          </w:tcPr>
          <w:p w14:paraId="7B5F7842"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WarmNeedle</w:t>
            </w:r>
          </w:p>
        </w:tc>
        <w:tc>
          <w:tcPr>
            <w:tcW w:w="1520" w:type="dxa"/>
            <w:shd w:val="clear" w:color="auto" w:fill="auto"/>
            <w:noWrap/>
            <w:vAlign w:val="bottom"/>
            <w:hideMark/>
          </w:tcPr>
          <w:p w14:paraId="1895646E"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363A8B88"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30</w:t>
            </w:r>
          </w:p>
        </w:tc>
        <w:tc>
          <w:tcPr>
            <w:tcW w:w="1487" w:type="dxa"/>
            <w:shd w:val="clear" w:color="auto" w:fill="auto"/>
            <w:noWrap/>
            <w:vAlign w:val="bottom"/>
            <w:hideMark/>
          </w:tcPr>
          <w:p w14:paraId="7F07A363"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2C5CE5BC" w14:textId="77777777" w:rsidTr="00315655">
        <w:trPr>
          <w:trHeight w:val="320"/>
        </w:trPr>
        <w:tc>
          <w:tcPr>
            <w:tcW w:w="2238" w:type="dxa"/>
            <w:shd w:val="clear" w:color="auto" w:fill="auto"/>
            <w:noWrap/>
            <w:vAlign w:val="bottom"/>
            <w:hideMark/>
          </w:tcPr>
          <w:p w14:paraId="158322C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HighlandRim</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{"citationItems":[{"id":"ITEM-1","itemData":{"DOI":"10.2307/1941772","ISSN":"10510761","abstract":"We examined the 30-yr cumulative effects of prescribed fires at intervals of 1, 2, 3, and 4 yr in a loblolly and longleaf pine forest in the Coastal Plain of South Carolina. The fine fraction of the forest floor (Oe + Oa horizons) contained much more carbon and nitrogen per unit area in the control plots (1.7 and 0.05 kg/m^2, respectively) than in the 1-yr burn interval plots (0.4 and 0.007 kg/m^2, respectively). Mineral soils (0-0.2 m depth) were highly variable in chemistry, and showed only slight differences across the burning treatments for nitrogen and sulfur. No trends were apparent for phosphorus in the forest floor or mineral soil; differences in acidity and extractable cations were also slight. The nutrient content of foliage was generally low, with no differences across burning intervals. Our results are consistent with earlier studies that showed the biogeochemical effects of repeated surface fires in southern pine forests are generally limited to the forest floor, with the possible exception of overall reductions in nitrogen cycling.","author":[{"dropping-particle":"","family":"Binkley","given":"Dan","non-dropping-particle":"","parse-names":false,"suffix":""},{"dropping-particle":"","family":"Richter","given":"Dan","non-dropping-particle":"","parse-names":false,"suffix":""},{"dropping-particle":"","family":"David","given":"Mark B","non-dropping-particle":"","parse-names":false,"suffix":""},{"dropping-particle":"","family":"Caldwell","given":"Bruce","non-dropping-particle":"","parse-names":false,"suffix":""}],"container-title":"Ecological Applications","id":"ITEM-1","issue":"2","issued":{"date-parts":[["1992"]]},"page":"157-164","publisher":"Ecological Society of America","title":"Soil chemistry in a loblolly/longleaf pine forest with interval burning","type":"article-journal","volume":"2"},"uris":["http://www.mendeley.com/documents/?uuid=4ba6dd21-8a2c-43a3-8439-8f5a7f4f04c9"]}],"mendeley":{"formattedCitation":"&lt;sup&gt;49&lt;/sup&gt;","plainTextFormattedCitation":"49","previouslyFormattedCitation":"&lt;sup&gt;49&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49</w:t>
            </w:r>
            <w:r w:rsidRPr="00773B70">
              <w:rPr>
                <w:rFonts w:ascii="Times" w:hAnsi="Times" w:cs="Calibri"/>
                <w:color w:val="000000"/>
                <w:sz w:val="20"/>
                <w:szCs w:val="20"/>
              </w:rPr>
              <w:fldChar w:fldCharType="end"/>
            </w:r>
          </w:p>
        </w:tc>
        <w:tc>
          <w:tcPr>
            <w:tcW w:w="1300" w:type="dxa"/>
            <w:shd w:val="clear" w:color="auto" w:fill="auto"/>
            <w:noWrap/>
            <w:vAlign w:val="bottom"/>
            <w:hideMark/>
          </w:tcPr>
          <w:p w14:paraId="62D968DB"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389" w:type="dxa"/>
            <w:shd w:val="clear" w:color="auto" w:fill="auto"/>
            <w:noWrap/>
            <w:vAlign w:val="bottom"/>
            <w:hideMark/>
          </w:tcPr>
          <w:p w14:paraId="4998877A"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520" w:type="dxa"/>
            <w:shd w:val="clear" w:color="auto" w:fill="auto"/>
            <w:noWrap/>
            <w:vAlign w:val="bottom"/>
            <w:hideMark/>
          </w:tcPr>
          <w:p w14:paraId="7B923F10"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348A50A9"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35</w:t>
            </w:r>
          </w:p>
        </w:tc>
        <w:tc>
          <w:tcPr>
            <w:tcW w:w="1487" w:type="dxa"/>
            <w:shd w:val="clear" w:color="auto" w:fill="auto"/>
            <w:noWrap/>
            <w:vAlign w:val="bottom"/>
            <w:hideMark/>
          </w:tcPr>
          <w:p w14:paraId="39452302"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119EE82C" w14:textId="77777777" w:rsidTr="00315655">
        <w:trPr>
          <w:trHeight w:val="320"/>
        </w:trPr>
        <w:tc>
          <w:tcPr>
            <w:tcW w:w="2238" w:type="dxa"/>
            <w:shd w:val="clear" w:color="auto" w:fill="auto"/>
            <w:noWrap/>
            <w:vAlign w:val="bottom"/>
            <w:hideMark/>
          </w:tcPr>
          <w:p w14:paraId="02E62741"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Hitchiti</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{"citationItems":[{"id":"ITEM-1","itemData":{"DOI":"10.2136/sssaj2000.642754x","ISSN":"1435-0661","abstract":"The reduction of forest floor ground cover and litter layers by prescribed fires may alter the morphology (field and micro) and physical properties of surface horizons. This study determined long-term (35 yr) changes in surface horizon bulk density, organic matter concentration and content, and morphology in response to periodic (5 yr) and annual (1 yr) prescribed fires. Soils were fine-silty, siliceous, thermic Glossic Fragiuldults, supporting mixed oak vegetation in middle Tennessee. Upper mineral soils (0- to 2-cm and 0- to 7.6-cm depths) were sampled and detailed field descriptions made. Periodic and control plots had a thin layer of Oi, Oe, and Oa horizons 5 yr after the 1993 burn, whereas on annual burn plots a 1- to 2-cm charred layer was present. Significant reductions in organic matter concentration and mean thickness of the A horizon were found from burning (A horizons thicknesses were 6.4, 4.6, and 2.9 cm in control, periodic, and annual plots, respectively). Periodic burns did not significantly alter the organic matter and bulk density of the upper 7.6 cm of mineral soil; however, annual burns did result in significantly higher bulk densities (1.01, 1.07, and 1.29 Mg m-3 in control, periodic, and annual plots, respectively) and lower organic matter concentrations and contents. Microscopic investigations confirmed that compaction was increased from annual burning. Thin sections also revealed that the granular structure of the A horizons in control and periodic plots resulted from bioterbation of macro and mesofauna, fungi, and roots. Long-term annual burning greatly affected surface soil properties, whereas periodic burning on a 5-yr cycle had only limited effects.","author":[{"dropping-particle":"","family":"Phillips","given":"D H","non-dropping-particle":"","parse-names":false,"suffix":""},{"dropping-particle":"","family":"Foss","given":"J E","non-dropping-particle":"","parse-names":false,"suffix":""},{"dropping-particle":"","family":"Buckner","given":"E R","non-dropping-particle":"","parse-names":false,"suffix":""},{"dropping-particle":"","family":"Evans","given":"R M","non-dropping-particle":"","parse-names":false,"suffix":""},{"dropping-particle":"","family":"FitzPatrick","given":"E A","non-dropping-particle":"","parse-names":false,"suffix":""}],"container-title":"Soil Science Society of America Journal","id":"ITEM-1","issue":"2","issued":{"date-parts":[["2000"]]},"language":"English","page":"754-760","title":"Response of surface horizons in an oak forest to prescribed burning","type":"article-journal","volume":"64"},"uris":["http://www.mendeley.com/documents/?uuid=232fd189-eda5-4df8-baf5-dec8c9127d20"]}],"mendeley":{"formattedCitation":"&lt;sup&gt;50&lt;/sup&gt;","plainTextFormattedCitation":"50","previouslyFormattedCitation":"&lt;sup&gt;50&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50</w:t>
            </w:r>
            <w:r w:rsidRPr="00773B70">
              <w:rPr>
                <w:rFonts w:ascii="Times" w:hAnsi="Times" w:cs="Calibri"/>
                <w:color w:val="000000"/>
                <w:sz w:val="20"/>
                <w:szCs w:val="20"/>
              </w:rPr>
              <w:fldChar w:fldCharType="end"/>
            </w:r>
          </w:p>
        </w:tc>
        <w:tc>
          <w:tcPr>
            <w:tcW w:w="1300" w:type="dxa"/>
            <w:shd w:val="clear" w:color="auto" w:fill="auto"/>
            <w:noWrap/>
            <w:vAlign w:val="bottom"/>
            <w:hideMark/>
          </w:tcPr>
          <w:p w14:paraId="527CA6CE"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Needleleaf</w:t>
            </w:r>
          </w:p>
        </w:tc>
        <w:tc>
          <w:tcPr>
            <w:tcW w:w="1389" w:type="dxa"/>
            <w:shd w:val="clear" w:color="auto" w:fill="auto"/>
            <w:noWrap/>
            <w:vAlign w:val="bottom"/>
            <w:hideMark/>
          </w:tcPr>
          <w:p w14:paraId="1317FD8A"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WarmNeedle</w:t>
            </w:r>
          </w:p>
        </w:tc>
        <w:tc>
          <w:tcPr>
            <w:tcW w:w="1520" w:type="dxa"/>
            <w:shd w:val="clear" w:color="auto" w:fill="auto"/>
            <w:noWrap/>
            <w:vAlign w:val="bottom"/>
            <w:hideMark/>
          </w:tcPr>
          <w:p w14:paraId="1A66534E"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62968557"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19</w:t>
            </w:r>
          </w:p>
        </w:tc>
        <w:tc>
          <w:tcPr>
            <w:tcW w:w="1487" w:type="dxa"/>
            <w:shd w:val="clear" w:color="auto" w:fill="auto"/>
            <w:noWrap/>
            <w:vAlign w:val="bottom"/>
            <w:hideMark/>
          </w:tcPr>
          <w:p w14:paraId="438648AD"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0.50</w:t>
            </w:r>
          </w:p>
        </w:tc>
      </w:tr>
      <w:tr w:rsidR="0030211E" w:rsidRPr="0056043D" w14:paraId="5D4E4D88" w14:textId="77777777" w:rsidTr="00315655">
        <w:trPr>
          <w:trHeight w:val="320"/>
        </w:trPr>
        <w:tc>
          <w:tcPr>
            <w:tcW w:w="2238" w:type="dxa"/>
            <w:shd w:val="clear" w:color="auto" w:fill="auto"/>
            <w:noWrap/>
            <w:vAlign w:val="bottom"/>
            <w:hideMark/>
          </w:tcPr>
          <w:p w14:paraId="183D92DD"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IBGE</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{"citationItems":[{"id":"ITEM-1","itemData":{"DOI":"10.1111/1365-2745.13351","author":[{"dropping-particle":"","family":"Pellegrini","given":"A. F. A.","non-dropping-particle":"","parse-names":false,"suffix":""},{"dropping-particle":"","family":"Hobbie","given":"S. E.","non-dropping-particle":"","parse-names":false,"suffix":""},{"dropping-particle":"","family":"Reich","given":"P. B.","non-dropping-particle":"","parse-names":false,"suffix":""},{"dropping-particle":"","family":"Jumpponen","given":"A.","non-dropping-particle":"","parse-names":false,"suffix":""},{"dropping-particle":"","family":"Brookshire","given":"E. N. J.","non-dropping-particle":"","parse-names":false,"suffix":""},{"dropping-particle":"","family":"Caprio","given":"A. C.","non-dropping-particle":"","parse-names":false,"suffix":""},{"dropping-particle":"","family":"Coetsee","given":"C.","non-dropping-particle":"","parse-names":false,"suffix":""},{"dropping-particle":"","family":"Jackson","given":"R. B.","non-dropping-particle":"","parse-names":false,"suffix":""}],"container-title":"Ecological Monographs","id":"ITEM-1","issue":"4","issued":{"date-parts":[["2020"]]},"page":"e01409","title":"Repeated fire shifts carbon and nitrogen cycling by changing plant inputs and soil decomposition across ecosystems","type":"article-journal","volume":"90"},"uris":["http://www.mendeley.com/documents/?uuid=67c80e92-93b4-47f1-940b-fc2b830d1314"]}],"mendeley":{"formattedCitation":"&lt;sup&gt;24&lt;/sup&gt;","plainTextFormattedCitation":"24","previouslyFormattedCitation":"&lt;sup&gt;24&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24</w:t>
            </w:r>
            <w:r w:rsidRPr="00773B70">
              <w:rPr>
                <w:rFonts w:ascii="Times" w:hAnsi="Times" w:cs="Calibri"/>
                <w:color w:val="000000"/>
                <w:sz w:val="20"/>
                <w:szCs w:val="20"/>
              </w:rPr>
              <w:fldChar w:fldCharType="end"/>
            </w:r>
          </w:p>
        </w:tc>
        <w:tc>
          <w:tcPr>
            <w:tcW w:w="1300" w:type="dxa"/>
            <w:shd w:val="clear" w:color="auto" w:fill="auto"/>
            <w:noWrap/>
            <w:vAlign w:val="bottom"/>
            <w:hideMark/>
          </w:tcPr>
          <w:p w14:paraId="0D37E89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34E22366"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WoodySav</w:t>
            </w:r>
          </w:p>
        </w:tc>
        <w:tc>
          <w:tcPr>
            <w:tcW w:w="1520" w:type="dxa"/>
            <w:shd w:val="clear" w:color="auto" w:fill="auto"/>
            <w:noWrap/>
            <w:vAlign w:val="bottom"/>
            <w:hideMark/>
          </w:tcPr>
          <w:p w14:paraId="6274CB48"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SouthAmerica</w:t>
            </w:r>
          </w:p>
        </w:tc>
        <w:tc>
          <w:tcPr>
            <w:tcW w:w="1417" w:type="dxa"/>
            <w:shd w:val="clear" w:color="auto" w:fill="auto"/>
            <w:noWrap/>
            <w:vAlign w:val="bottom"/>
            <w:hideMark/>
          </w:tcPr>
          <w:p w14:paraId="35A77115"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64</w:t>
            </w:r>
          </w:p>
        </w:tc>
        <w:tc>
          <w:tcPr>
            <w:tcW w:w="1487" w:type="dxa"/>
            <w:shd w:val="clear" w:color="auto" w:fill="auto"/>
            <w:noWrap/>
            <w:vAlign w:val="bottom"/>
            <w:hideMark/>
          </w:tcPr>
          <w:p w14:paraId="73AA09FE"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0.30</w:t>
            </w:r>
          </w:p>
        </w:tc>
      </w:tr>
      <w:tr w:rsidR="0030211E" w:rsidRPr="0056043D" w14:paraId="5EA70CA9" w14:textId="77777777" w:rsidTr="00315655">
        <w:trPr>
          <w:trHeight w:val="320"/>
        </w:trPr>
        <w:tc>
          <w:tcPr>
            <w:tcW w:w="2238" w:type="dxa"/>
            <w:shd w:val="clear" w:color="auto" w:fill="auto"/>
            <w:noWrap/>
            <w:vAlign w:val="bottom"/>
            <w:hideMark/>
          </w:tcPr>
          <w:p w14:paraId="200148C7"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IBGE2</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{"citationItems":[{"id":"ITEM-1","itemData":{"DOI":"10.1890/13-0290.1","ISSN":"0012-9658","abstract":"The expansion of tropical forest into savanna may potentially be a large carbon sink, but little is known about the patterns of carbon sequestration during transitional forest formation. Moreover, it is unclear how nutrient limitation, due to extended exposure to fire-driven nutrient losses, may constrain carbon accumulation. Here, we sampled plots that spanned a woody biomass gradient from savanna to transitional forest in response to differential fire protection in central Brazil. These plots were used to investigate how the process of transitional forest formation affects the size and distribution of carbon (C) and nitrogen (N) pools. This was paired with a detailed analysis of the nitrogen cycle to explore possible connections between carbon accumulation and nitrogen limitation. An analysis of carbon pools in the vegetation, upper soil, and litter shows that the transition from savanna to transitional forest can result in a fourfold increase in total carbon (from 43 to 179 Mg C/ha) with a doubling of carbon stocks in the litter and soil layers. Total nitrogen in the litter and soil layers increased with forest development in both the bulk (+68%) and plant-available (+150%) pools, with the most pronounced changes occurring in the upper layers. However, the analyses of nitrate concentrations, nitrate?:?ammonium ratios, plant stoichiometry of carbon and nitrogen, and soil and foliar nitrogen isotope ratios suggest that a conservative nitrogen cycle persists throughout forest development, indicating that nitrogen remains in low supply relative to demand. Furthermore, the lack of variation in underlying soil type (&gt;20 cm depth) suggests that the biogeochemical trends across the gradient are driven by vegetation. Our results provide evidence for high carbon sequestration potential with forest encroachment on savanna, but nitrogen limitation may play a large and persistent role in governing carbon sequestration in savannas or other equally fire-disturbed tropical landscapes. In turn, the link between forest development and nitrogen pool recovery creates a framework for evaluating potential positive feedbacks on savanna?forest boundaries.","author":[{"dropping-particle":"","family":"Pellegrini","given":"Adam F. A.","non-dropping-particle":"","parse-names":false,"suffix":""},{"dropping-particle":"","family":"Hoffmann","given":"William A.","non-dropping-particle":"","parse-names":false,"suffix":""},{"dropping-particle":"","family":"Franco","given":"Augusto C.","non-dropping-particle":"","parse-names":false,"suffix":""}],"container-title":"Ecology","id":"ITEM-1","issue":"2","issued":{"date-parts":[["2014","2","1"]]},"page":"342-352","publisher":"Ecological Society of America","title":"Carbon accumulation and nitrogen pool recovery during transitions from savanna to forest in central Brazil","type":"article-journal","volume":"95"},"uris":["http://www.mendeley.com/documents/?uuid=7afa8acb-0d63-460b-80ca-fd2087ff53f2"]}],"mendeley":{"formattedCitation":"&lt;sup&gt;51&lt;/sup&gt;","plainTextFormattedCitation":"51","previouslyFormattedCitation":"&lt;sup&gt;51&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51</w:t>
            </w:r>
            <w:r w:rsidRPr="00773B70">
              <w:rPr>
                <w:rFonts w:ascii="Times" w:hAnsi="Times" w:cs="Calibri"/>
                <w:color w:val="000000"/>
                <w:sz w:val="20"/>
                <w:szCs w:val="20"/>
              </w:rPr>
              <w:fldChar w:fldCharType="end"/>
            </w:r>
          </w:p>
        </w:tc>
        <w:tc>
          <w:tcPr>
            <w:tcW w:w="1300" w:type="dxa"/>
            <w:shd w:val="clear" w:color="auto" w:fill="auto"/>
            <w:noWrap/>
            <w:vAlign w:val="bottom"/>
            <w:hideMark/>
          </w:tcPr>
          <w:p w14:paraId="6C51C31F"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17B76B62"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WoodySav</w:t>
            </w:r>
          </w:p>
        </w:tc>
        <w:tc>
          <w:tcPr>
            <w:tcW w:w="1520" w:type="dxa"/>
            <w:shd w:val="clear" w:color="auto" w:fill="auto"/>
            <w:noWrap/>
            <w:vAlign w:val="bottom"/>
            <w:hideMark/>
          </w:tcPr>
          <w:p w14:paraId="729F5076"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SouthAmerica</w:t>
            </w:r>
          </w:p>
        </w:tc>
        <w:tc>
          <w:tcPr>
            <w:tcW w:w="1417" w:type="dxa"/>
            <w:shd w:val="clear" w:color="auto" w:fill="auto"/>
            <w:noWrap/>
            <w:vAlign w:val="bottom"/>
            <w:hideMark/>
          </w:tcPr>
          <w:p w14:paraId="64DEB21B"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18</w:t>
            </w:r>
          </w:p>
        </w:tc>
        <w:tc>
          <w:tcPr>
            <w:tcW w:w="1487" w:type="dxa"/>
            <w:shd w:val="clear" w:color="auto" w:fill="auto"/>
            <w:noWrap/>
            <w:vAlign w:val="bottom"/>
            <w:hideMark/>
          </w:tcPr>
          <w:p w14:paraId="4E639DBC"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0.50</w:t>
            </w:r>
          </w:p>
        </w:tc>
      </w:tr>
      <w:tr w:rsidR="0030211E" w:rsidRPr="0056043D" w14:paraId="2ACAF950" w14:textId="77777777" w:rsidTr="00315655">
        <w:trPr>
          <w:trHeight w:val="320"/>
        </w:trPr>
        <w:tc>
          <w:tcPr>
            <w:tcW w:w="2238" w:type="dxa"/>
            <w:shd w:val="clear" w:color="auto" w:fill="auto"/>
            <w:noWrap/>
            <w:vAlign w:val="bottom"/>
            <w:hideMark/>
          </w:tcPr>
          <w:p w14:paraId="499DA7A7"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JosephJones</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10.1016/j.ancene.2013.03.002","ISSN":"22133054","author":[{"dropping-particle":"","family":"DeLuca","given":"T.H.","non-dropping-particle":"","parse-names":false,"suffix":""},{"dropping-particle":"","family":"Zackrisson","given":"O.","non-dropping-particle":"","parse-names":false,"suffix":""},{"dropping-particle":"","family":"Bergman","given":"I.","non-dropping-particle":"","parse-names":false,"suffix":""},{"dropping-particle":"","family":"Hörnberg","given":"G.","non-dropping-particle":"","parse-names":false,"suffix":""}],"container-title":"Anthropocene","id":"ITEM-1","issued":{"date-parts":[["2013","9"]]},"page":"14-22","title":"Historical land use and resource depletion in spruce-Cladina forests of subarctic Sweden","type":"article-journal","volume":"1"},"uris":["http://www.mendeley.com/documents/?uuid=83742912-5a51-3607-9faf-d1e229cd64ce"]}],"mendeley":{"formattedCitation":"&lt;sup&gt;52&lt;/sup&gt;","plainTextFormattedCitation":"52","previouslyFormattedCitation":"&lt;sup&gt;52&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52</w:t>
            </w:r>
            <w:r w:rsidRPr="00773B70">
              <w:rPr>
                <w:rFonts w:ascii="Times" w:hAnsi="Times" w:cs="Calibri"/>
                <w:color w:val="000000"/>
                <w:sz w:val="20"/>
                <w:szCs w:val="20"/>
              </w:rPr>
              <w:fldChar w:fldCharType="end"/>
            </w:r>
          </w:p>
        </w:tc>
        <w:tc>
          <w:tcPr>
            <w:tcW w:w="1300" w:type="dxa"/>
            <w:shd w:val="clear" w:color="auto" w:fill="auto"/>
            <w:noWrap/>
            <w:vAlign w:val="bottom"/>
            <w:hideMark/>
          </w:tcPr>
          <w:p w14:paraId="40359FF6"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64468897"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WarmNeedle</w:t>
            </w:r>
          </w:p>
        </w:tc>
        <w:tc>
          <w:tcPr>
            <w:tcW w:w="1520" w:type="dxa"/>
            <w:shd w:val="clear" w:color="auto" w:fill="auto"/>
            <w:noWrap/>
            <w:vAlign w:val="bottom"/>
            <w:hideMark/>
          </w:tcPr>
          <w:p w14:paraId="00F2FC19"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04BE0C80"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15</w:t>
            </w:r>
          </w:p>
        </w:tc>
        <w:tc>
          <w:tcPr>
            <w:tcW w:w="1487" w:type="dxa"/>
            <w:shd w:val="clear" w:color="auto" w:fill="auto"/>
            <w:noWrap/>
            <w:vAlign w:val="bottom"/>
            <w:hideMark/>
          </w:tcPr>
          <w:p w14:paraId="09F22D92"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0.50</w:t>
            </w:r>
          </w:p>
        </w:tc>
      </w:tr>
      <w:tr w:rsidR="0030211E" w:rsidRPr="0056043D" w14:paraId="0D230A80" w14:textId="77777777" w:rsidTr="00315655">
        <w:trPr>
          <w:trHeight w:val="320"/>
        </w:trPr>
        <w:tc>
          <w:tcPr>
            <w:tcW w:w="2238" w:type="dxa"/>
            <w:shd w:val="clear" w:color="auto" w:fill="auto"/>
            <w:noWrap/>
            <w:vAlign w:val="bottom"/>
            <w:hideMark/>
          </w:tcPr>
          <w:p w14:paraId="47CB4045"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Kings Canyon*</w:t>
            </w:r>
          </w:p>
        </w:tc>
        <w:tc>
          <w:tcPr>
            <w:tcW w:w="1300" w:type="dxa"/>
            <w:shd w:val="clear" w:color="auto" w:fill="auto"/>
            <w:noWrap/>
            <w:vAlign w:val="bottom"/>
            <w:hideMark/>
          </w:tcPr>
          <w:p w14:paraId="5B6D6AAF"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Needleleaf</w:t>
            </w:r>
          </w:p>
        </w:tc>
        <w:tc>
          <w:tcPr>
            <w:tcW w:w="1389" w:type="dxa"/>
            <w:shd w:val="clear" w:color="auto" w:fill="auto"/>
            <w:noWrap/>
            <w:vAlign w:val="bottom"/>
            <w:hideMark/>
          </w:tcPr>
          <w:p w14:paraId="0FA2B0B1"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CoolNeedle</w:t>
            </w:r>
          </w:p>
        </w:tc>
        <w:tc>
          <w:tcPr>
            <w:tcW w:w="1520" w:type="dxa"/>
            <w:shd w:val="clear" w:color="auto" w:fill="auto"/>
            <w:noWrap/>
            <w:vAlign w:val="bottom"/>
            <w:hideMark/>
          </w:tcPr>
          <w:p w14:paraId="6F61261A"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7CFFAF4C"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37</w:t>
            </w:r>
          </w:p>
        </w:tc>
        <w:tc>
          <w:tcPr>
            <w:tcW w:w="1487" w:type="dxa"/>
            <w:shd w:val="clear" w:color="auto" w:fill="auto"/>
            <w:noWrap/>
            <w:vAlign w:val="bottom"/>
            <w:hideMark/>
          </w:tcPr>
          <w:p w14:paraId="77F5008D"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0.14</w:t>
            </w:r>
          </w:p>
        </w:tc>
      </w:tr>
      <w:tr w:rsidR="0030211E" w:rsidRPr="0056043D" w14:paraId="32FA9C08" w14:textId="77777777" w:rsidTr="00315655">
        <w:trPr>
          <w:trHeight w:val="320"/>
        </w:trPr>
        <w:tc>
          <w:tcPr>
            <w:tcW w:w="2238" w:type="dxa"/>
            <w:shd w:val="clear" w:color="auto" w:fill="auto"/>
            <w:noWrap/>
            <w:vAlign w:val="bottom"/>
            <w:hideMark/>
          </w:tcPr>
          <w:p w14:paraId="14568BEC"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Kisatchie*</w:t>
            </w:r>
            <w:r w:rsidRPr="00773B70">
              <w:rPr>
                <w:rFonts w:ascii="Times" w:hAnsi="Times"/>
                <w:color w:val="000000" w:themeColor="text1"/>
                <w:sz w:val="20"/>
                <w:szCs w:val="20"/>
              </w:rPr>
              <w:fldChar w:fldCharType="begin" w:fldLock="1"/>
            </w:r>
            <w:r>
              <w:rPr>
                <w:rFonts w:ascii="Times" w:hAnsi="Times"/>
                <w:color w:val="000000" w:themeColor="text1"/>
                <w:sz w:val="20"/>
                <w:szCs w:val="20"/>
              </w:rPr>
              <w:instrText>ADDIN CSL_CITATION {"citationItems":[{"id":"ITEM-1","itemData":{"DOI":"10.2136/sssaj2015.03.0101","abstract":"Soil and plant stable N isotope ratios (δ15N) are influenced by atmospheric N2 inputs and processes that regulate organic matter (OM) transformation and N cycling. The resulting δ15N patterns may be useful for discerning ecosystem differences in N cycling. We studied two ecosystems, longleaf pine (Pinus palustris Mill.)–wiregrass (Aristida stricta Michx.) (LLP) and Appalachian hardwood (AHW) forests in the US Southeast under different management regimes. In LLP, burning removes OM. In AHW, clearcutting creates large OM pulses of logging residue. Although burning removes OM and clearcutting creates a pulse addition of OM, both management regimes increase soil N availability and N2–fixing plants. The LLP treatments included burning every 2 yr with N2 fixers and reference fire exclusion sites without N2 fixers. The AHW included 25-yr-old clearcut plots with and without N2 fixers, and uncut reference without N2 fixers. We hypothesized that: (i) compared with the reference, OM removal (LLP) would enrich δ15N values while OM addition (AHW) would deplete δ15N in soil and vegetation pools; and (ii) N2 fixers would mitigate δ15N enrichment in LLP response and exacerbate δ15N depletion in AHW. We examined total δ15N in soil profiles, tree increment cores, and foliage. The LLP soil and vegetation δ15N values showed no treatment effect. In AHW, δ15N values in clearcut subsurface soils (20–60 cm) were lower than the reference, but N2 fixers had no effect. Wood δ15N differed with treatment; N2 fixers had no effect. Our data suggest that AHW soil profile δ15N patterns may indicate past disturbance; however, wood and foliar δ15N response is species specific. Additionally, N2–fixing plants respond to ecosystem disturbance, but the data suggest that they play little role in soil or plant δ15N values.","author":[{"dropping-particle":"","family":"Knoepp","given":"Jennifer D","non-dropping-particle":"","parse-names":false,"suffix":""},{"dropping-particle":"","family":"Taylor","given":"R Scott","non-dropping-particle":"","parse-names":false,"suffix":""},{"dropping-particle":"","family":"Boring","given":"Lindsay R","non-dropping-particle":"","parse-names":false,"suffix":""},{"dropping-particle":"","family":"Miniat","given":"Chelcy F","non-dropping-particle":"","parse-names":false,"suffix":""}],"container-title":"Soil Science Society of America Journal","id":"ITEM-1","issue":"5","issued":{"date-parts":[["2015"]]},"language":"English","page":"1470-1481","title":"Influence of forest disturbance on stable nitrogen isotope ratios in soil and vegetation profiles","type":"article-journal","volume":"79"},"uris":["http://www.mendeley.com/documents/?uuid=39e0891c-3dd5-4ea0-8927-360a2310f2a6"]}],"mendeley":{"formattedCitation":"&lt;sup&gt;53&lt;/sup&gt;","plainTextFormattedCitation":"53","previouslyFormattedCitation":"&lt;sup&gt;53&lt;/sup&gt;"},"properties":{"noteIndex":0},"schema":"https://github.com/citation-style-language/schema/raw/master/csl-citation.json"}</w:instrText>
            </w:r>
            <w:r w:rsidRPr="00773B70">
              <w:rPr>
                <w:rFonts w:ascii="Times" w:hAnsi="Times"/>
                <w:color w:val="000000" w:themeColor="text1"/>
                <w:sz w:val="20"/>
                <w:szCs w:val="20"/>
              </w:rPr>
              <w:fldChar w:fldCharType="separate"/>
            </w:r>
            <w:r w:rsidRPr="008333C1">
              <w:rPr>
                <w:rFonts w:ascii="Times" w:hAnsi="Times"/>
                <w:noProof/>
                <w:color w:val="000000" w:themeColor="text1"/>
                <w:sz w:val="20"/>
                <w:szCs w:val="20"/>
                <w:vertAlign w:val="superscript"/>
              </w:rPr>
              <w:t>53</w:t>
            </w:r>
            <w:r w:rsidRPr="00773B70">
              <w:rPr>
                <w:rFonts w:ascii="Times" w:hAnsi="Times"/>
                <w:color w:val="000000" w:themeColor="text1"/>
                <w:sz w:val="20"/>
                <w:szCs w:val="20"/>
              </w:rPr>
              <w:fldChar w:fldCharType="end"/>
            </w:r>
          </w:p>
        </w:tc>
        <w:tc>
          <w:tcPr>
            <w:tcW w:w="1300" w:type="dxa"/>
            <w:shd w:val="clear" w:color="auto" w:fill="auto"/>
            <w:noWrap/>
            <w:vAlign w:val="bottom"/>
            <w:hideMark/>
          </w:tcPr>
          <w:p w14:paraId="574291C8"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Needleleaf</w:t>
            </w:r>
          </w:p>
        </w:tc>
        <w:tc>
          <w:tcPr>
            <w:tcW w:w="1389" w:type="dxa"/>
            <w:shd w:val="clear" w:color="auto" w:fill="auto"/>
            <w:noWrap/>
            <w:vAlign w:val="bottom"/>
            <w:hideMark/>
          </w:tcPr>
          <w:p w14:paraId="2FDF9693"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WarmNeedle</w:t>
            </w:r>
          </w:p>
        </w:tc>
        <w:tc>
          <w:tcPr>
            <w:tcW w:w="1520" w:type="dxa"/>
            <w:shd w:val="clear" w:color="auto" w:fill="auto"/>
            <w:noWrap/>
            <w:vAlign w:val="bottom"/>
            <w:hideMark/>
          </w:tcPr>
          <w:p w14:paraId="2FA054FA"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34E8D0EA"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37</w:t>
            </w:r>
          </w:p>
        </w:tc>
        <w:tc>
          <w:tcPr>
            <w:tcW w:w="1487" w:type="dxa"/>
            <w:shd w:val="clear" w:color="auto" w:fill="auto"/>
            <w:noWrap/>
            <w:vAlign w:val="bottom"/>
            <w:hideMark/>
          </w:tcPr>
          <w:p w14:paraId="62A36F88"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0.53</w:t>
            </w:r>
          </w:p>
        </w:tc>
      </w:tr>
      <w:tr w:rsidR="0030211E" w:rsidRPr="0056043D" w14:paraId="0427936E" w14:textId="77777777" w:rsidTr="00315655">
        <w:trPr>
          <w:trHeight w:val="320"/>
        </w:trPr>
        <w:tc>
          <w:tcPr>
            <w:tcW w:w="2238" w:type="dxa"/>
            <w:shd w:val="clear" w:color="auto" w:fill="auto"/>
            <w:noWrap/>
            <w:vAlign w:val="bottom"/>
            <w:hideMark/>
          </w:tcPr>
          <w:p w14:paraId="5340C0C3"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Konza</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{"citationItems":[{"id":"ITEM-1","itemData":{"DOI":"10.1093/sjaf/25.3.122","ISSN":"0148-4419","abstract":"From 1962 through 1998, 20 prescribed burns were applied in a natural stand of longleaf pine (Pinus palustris Mill.) to determine the effects of various fire regimes on the forest plant community. The original longleaf seedlings regenerated from the 1955 seed crop and were growing in a grass-dominated cover when the study began. By 1999, prescribed burning in March and May resulted in a significantly greater stocking of longleaf pine (203 trees/ac) than on the unburned and July burned treatments (72 trees/ac) (α = 0.05). Fire arrested the growth of natural loblolly pine (P. taeda L.) and hardwoods, but loblolly pines and hardwoods of at least 4 in. dbh added 70 ft2/ac of basal area on the unburned plots. Thus, total woody basal area was significantly greater on the unburned (117 ft2/ac) and May burned (132 ft2/ac) treatments than on the July burned treatment (66 ft2/ac); basal area was intermediate on the March burned treatment (97 ft2/ac). Pine volume was 4,315, 2,870, 2,652, and 1,970 ft3 inside-bark/ac on the May burned, March burned, unburned, and July burned treatments, respectively, but these differences were not statistically significant (P = 0.06). There was only 11 lb/ac of herbaceous plants on the unburned plots. Herbaceous plants averaged 993 lb/ac on the three burned treatments, with pinehill bluestem (Schizachyrium scoparium var. divergens [Hack] Gould) being the most common herbaceous plant. We believe the chief influence of burning in this natural longleaf pine forest was not on pine yield but how fires influenced overall stand structure and species composition. South. J. Appl. For. 25(3):122–130.","author":[{"dropping-particle":"","family":"Haywood","given":"James D.","non-dropping-particle":"","parse-names":false,"suffix":""},{"dropping-particle":"","family":"Harris","given":"Finis L.","non-dropping-particle":"","parse-names":false,"suffix":""},{"dropping-particle":"","family":"Grelen","given":"Harold E.","non-dropping-particle":"","parse-names":false,"suffix":""},{"dropping-particle":"","family":"Pearson","given":"Henry A.","non-dropping-particle":"","parse-names":false,"suffix":""}],"container-title":"Southern Journal of Applied Forestry","id":"ITEM-1","issue":"3","issued":{"date-parts":[["2001","8","1"]]},"page":"122-130","title":"Vegetative response to 37 years of seasonal burning on a Louisiana longleaf pine site","type":"article-journal","volume":"25"},"uris":["http://www.mendeley.com/documents/?uuid=3c59b2ac-5a9f-3e2f-a529-a4eed30ba513"]}],"mendeley":{"formattedCitation":"&lt;sup&gt;54&lt;/sup&gt;","plainTextFormattedCitation":"54","previouslyFormattedCitation":"&lt;sup&gt;54&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54</w:t>
            </w:r>
            <w:r w:rsidRPr="00773B70">
              <w:rPr>
                <w:rFonts w:ascii="Times" w:hAnsi="Times" w:cs="Calibri"/>
                <w:color w:val="000000"/>
                <w:sz w:val="20"/>
                <w:szCs w:val="20"/>
              </w:rPr>
              <w:fldChar w:fldCharType="end"/>
            </w:r>
          </w:p>
        </w:tc>
        <w:tc>
          <w:tcPr>
            <w:tcW w:w="1300" w:type="dxa"/>
            <w:shd w:val="clear" w:color="auto" w:fill="auto"/>
            <w:noWrap/>
            <w:vAlign w:val="bottom"/>
            <w:hideMark/>
          </w:tcPr>
          <w:p w14:paraId="762FDB38"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24F9E02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Grassland</w:t>
            </w:r>
          </w:p>
        </w:tc>
        <w:tc>
          <w:tcPr>
            <w:tcW w:w="1520" w:type="dxa"/>
            <w:shd w:val="clear" w:color="auto" w:fill="auto"/>
            <w:noWrap/>
            <w:vAlign w:val="bottom"/>
            <w:hideMark/>
          </w:tcPr>
          <w:p w14:paraId="21189507"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471A001D"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13</w:t>
            </w:r>
          </w:p>
        </w:tc>
        <w:tc>
          <w:tcPr>
            <w:tcW w:w="1487" w:type="dxa"/>
            <w:shd w:val="clear" w:color="auto" w:fill="auto"/>
            <w:noWrap/>
            <w:vAlign w:val="bottom"/>
            <w:hideMark/>
          </w:tcPr>
          <w:p w14:paraId="4B8338D1"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0131A45C" w14:textId="77777777" w:rsidTr="00315655">
        <w:trPr>
          <w:trHeight w:val="320"/>
        </w:trPr>
        <w:tc>
          <w:tcPr>
            <w:tcW w:w="2238" w:type="dxa"/>
            <w:shd w:val="clear" w:color="auto" w:fill="auto"/>
            <w:noWrap/>
            <w:vAlign w:val="bottom"/>
            <w:hideMark/>
          </w:tcPr>
          <w:p w14:paraId="7D4F8CD8"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KrugerMopani*</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{"citationItems":[{"id":"ITEM-1","itemData":{"DOI":"10.1007/s11104-009-9931-2","ISSN":"1573-5036","abstract":"Management practices, such as fire and mowing, can affect the distribution and quality of roots and soil C and N in grasslands. We examined long-term (13 years) effects of annual fire and mowing on fine (&lt;2 mm) roots and soil C and N content in a native tallgrass prairie at Konza Prairie Biological Station in northeastern Kansas, USA. Using 90 cm deep soil cores, we determined that fire and mowing independently and interactively influenced the quantity and depth distribution of fine root biomass, root C and N concentration, and soil C and N content. Annual burning increased total fine root biomass by 48% and total C storage in roots by 47% compared to unburned unmowed plots, and resulted in a deeper distribution of roots. There was a significant interaction of fire and mowing, whereby mowing reduced root biomass and root C storage by ~30% in annually burned plots, but did not affect total root biomass in unburned plots. Mowing also resulted in shallower distribution of roots regardless of fire treatment. Root N concentration was reduced by 15–25% in plots that were burned, mowed, or both. Mowing effects on soil C and N were restricted to surface soils (0–10 cm), where mowing reduced soil C concentrations by ~20% and N concentrations by 17% regardless of burning treatment. In contrast, burning alone did not significantly influence soil C and N concentrations. In general, root biomass, root C and N mass, and soil C and N concentrations declined with depth, and most responses to burning and mowing exhibited significant interactions with depth. Different long-term fire and mowing regimes can significantly alter belowground root biomass and C and N dynamics in grasslands, and in particular at depths in the profile that are not typically sampled.","author":[{"dropping-particle":"","family":"Kitchen","given":"Duane J","non-dropping-particle":"","parse-names":false,"suffix":""},{"dropping-particle":"","family":"Blair","given":"John M","non-dropping-particle":"","parse-names":false,"suffix":""},{"dropping-particle":"","family":"Callaham","given":"Mac A","non-dropping-particle":"","parse-names":false,"suffix":""}],"container-title":"Plant and Soil","id":"ITEM-1","issue":"1","issued":{"date-parts":[["2009"]]},"page":"235-247","title":"Annual fire and mowing alter biomass, depth distribution, and C and N content of roots and soil in tallgrass prairie","type":"article-journal","volume":"323"},"uris":["http://www.mendeley.com/documents/?uuid=6e4b211f-0a21-3bda-8f0c-a3e0814cd790"]},{"id":"ITEM-2","itemData":{"ISSN":"0012-9658","author":[{"dropping-particle":"","family":"Turner","given":"Clarence L","non-dropping-particle":"","parse-names":false,"suffix":""},{"dropping-particle":"","family":"Blair","given":"John M","non-dropping-particle":"","parse-names":false,"suffix":""},{"dropping-particle":"","family":"Schartz","given":"Rita J","non-dropping-particle":"","parse-names":false,"suffix":""},{"dropping-particle":"","family":"Neel","given":"Jeffery C","non-dropping-particle":"","parse-names":false,"suffix":""}],"container-title":"Ecology","id":"ITEM-2","issue":"6","issued":{"date-parts":[["1997"]]},"page":"1832-1843","title":"Soil N and plant responses to fire, topography, and supplemental N in tallgrass prairie","type":"article-journal","volume":"78"},"uris":["http://www.mendeley.com/documents/?uuid=85d8fb13-4192-4161-9cc3-d9e710ecc954"]}],"mendeley":{"formattedCitation":"&lt;sup&gt;55,56&lt;/sup&gt;","plainTextFormattedCitation":"55,56","previouslyFormattedCitation":"&lt;sup&gt;55,56&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55,56</w:t>
            </w:r>
            <w:r w:rsidRPr="00773B70">
              <w:rPr>
                <w:rFonts w:ascii="Times" w:hAnsi="Times" w:cs="Calibri"/>
                <w:color w:val="000000"/>
                <w:sz w:val="20"/>
                <w:szCs w:val="20"/>
              </w:rPr>
              <w:fldChar w:fldCharType="end"/>
            </w:r>
          </w:p>
        </w:tc>
        <w:tc>
          <w:tcPr>
            <w:tcW w:w="1300" w:type="dxa"/>
            <w:shd w:val="clear" w:color="auto" w:fill="auto"/>
            <w:noWrap/>
            <w:vAlign w:val="bottom"/>
            <w:hideMark/>
          </w:tcPr>
          <w:p w14:paraId="6FDB28E9"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45BD68F5"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WoodySav</w:t>
            </w:r>
          </w:p>
        </w:tc>
        <w:tc>
          <w:tcPr>
            <w:tcW w:w="1520" w:type="dxa"/>
            <w:shd w:val="clear" w:color="auto" w:fill="auto"/>
            <w:noWrap/>
            <w:vAlign w:val="bottom"/>
            <w:hideMark/>
          </w:tcPr>
          <w:p w14:paraId="0E7051A7"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Africa</w:t>
            </w:r>
          </w:p>
        </w:tc>
        <w:tc>
          <w:tcPr>
            <w:tcW w:w="1417" w:type="dxa"/>
            <w:shd w:val="clear" w:color="auto" w:fill="auto"/>
            <w:noWrap/>
            <w:vAlign w:val="bottom"/>
            <w:hideMark/>
          </w:tcPr>
          <w:p w14:paraId="05F9348F"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60</w:t>
            </w:r>
          </w:p>
        </w:tc>
        <w:tc>
          <w:tcPr>
            <w:tcW w:w="1487" w:type="dxa"/>
            <w:shd w:val="clear" w:color="auto" w:fill="auto"/>
            <w:noWrap/>
            <w:vAlign w:val="bottom"/>
            <w:hideMark/>
          </w:tcPr>
          <w:p w14:paraId="446210F7"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46728430" w14:textId="77777777" w:rsidTr="00315655">
        <w:trPr>
          <w:trHeight w:val="320"/>
        </w:trPr>
        <w:tc>
          <w:tcPr>
            <w:tcW w:w="2238" w:type="dxa"/>
            <w:shd w:val="clear" w:color="auto" w:fill="auto"/>
            <w:noWrap/>
            <w:vAlign w:val="bottom"/>
            <w:hideMark/>
          </w:tcPr>
          <w:p w14:paraId="687AFB9E"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KrugerPretoriuskop*</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{"citationItems":[{"id":"ITEM-1","itemData":{"ISSN":"0075-6458","author":[{"dropping-particle":"","family":"Biggs","given":"H C","non-dropping-particle":"","parse-names":false,"suffix":""},{"dropping-particle":"","family":"Dunne","given":"T T","non-dropping-particle":"","parse-names":false,"suffix":""},{"dropping-particle":"","family":"Govender","given":"N","non-dropping-particle":"","parse-names":false,"suffix":""},{"dropping-particle":"","family":"Biggs","given":"R","non-dropping-particle":"","parse-names":false,"suffix":""},{"dropping-particle":"","family":"Biggs","given":"H C","non-dropping-particle":"","parse-names":false,"suffix":""},{"dropping-particle":"","family":"Dunne","given":"T T","non-dropping-particle":"","parse-names":false,"suffix":""},{"dropping-particle":"","family":"Govender","given":"N","non-dropping-particle":"","parse-names":false,"suffix":""},{"dropping-particle":"","family":"Potgieter","given":"A L F","non-dropping-particle":"","parse-names":false,"suffix":""}],"container-title":"Koedoe","id":"ITEM-1","issue":"1","issued":{"date-parts":[["2003"]]},"note":"From Duplicate 1 (Experimental burn plot trial in the Kruger National Park: history, experimental design and suggestions for data analysis - Biggs, R; Biggs, H C; Dunne, T T; Govender, N; Potgieter, A L F)\nAnd Duplicate 2 (Experimental burn plot trial in the Kruger National Park: history, experimental design and suggestions for data analysis - Biggs, R; Biggs, H C; Dunne, T T; Govender, N; Potgieter, A L F)\n\nTimes Cited: 29","page":"1-15","title":"Experimental burn plot trial in the Kruger National Park: history, experimental design and suggestions for data analysis","type":"article-journal","volume":"46"},"uris":["http://www.mendeley.com/documents/?uuid=685b645f-6e9c-46e9-bc6a-c7534d7c2968"]}],"mendeley":{"formattedCitation":"&lt;sup&gt;57&lt;/sup&gt;","plainTextFormattedCitation":"57","previouslyFormattedCitation":"&lt;sup&gt;57&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57</w:t>
            </w:r>
            <w:r w:rsidRPr="00773B70">
              <w:rPr>
                <w:rFonts w:ascii="Times" w:hAnsi="Times" w:cs="Calibri"/>
                <w:color w:val="000000"/>
                <w:sz w:val="20"/>
                <w:szCs w:val="20"/>
              </w:rPr>
              <w:fldChar w:fldCharType="end"/>
            </w:r>
          </w:p>
        </w:tc>
        <w:tc>
          <w:tcPr>
            <w:tcW w:w="1300" w:type="dxa"/>
            <w:shd w:val="clear" w:color="auto" w:fill="auto"/>
            <w:noWrap/>
            <w:vAlign w:val="bottom"/>
            <w:hideMark/>
          </w:tcPr>
          <w:p w14:paraId="5113BDF5"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7D6B31F9"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WoodySav</w:t>
            </w:r>
          </w:p>
        </w:tc>
        <w:tc>
          <w:tcPr>
            <w:tcW w:w="1520" w:type="dxa"/>
            <w:shd w:val="clear" w:color="auto" w:fill="auto"/>
            <w:noWrap/>
            <w:vAlign w:val="bottom"/>
            <w:hideMark/>
          </w:tcPr>
          <w:p w14:paraId="146912B9"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Africa</w:t>
            </w:r>
          </w:p>
        </w:tc>
        <w:tc>
          <w:tcPr>
            <w:tcW w:w="1417" w:type="dxa"/>
            <w:shd w:val="clear" w:color="auto" w:fill="auto"/>
            <w:noWrap/>
            <w:vAlign w:val="bottom"/>
            <w:hideMark/>
          </w:tcPr>
          <w:p w14:paraId="1E000106"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63</w:t>
            </w:r>
          </w:p>
        </w:tc>
        <w:tc>
          <w:tcPr>
            <w:tcW w:w="1487" w:type="dxa"/>
            <w:shd w:val="clear" w:color="auto" w:fill="auto"/>
            <w:noWrap/>
            <w:vAlign w:val="bottom"/>
            <w:hideMark/>
          </w:tcPr>
          <w:p w14:paraId="01341767"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7BF3C649" w14:textId="77777777" w:rsidTr="00315655">
        <w:trPr>
          <w:trHeight w:val="320"/>
        </w:trPr>
        <w:tc>
          <w:tcPr>
            <w:tcW w:w="2238" w:type="dxa"/>
            <w:shd w:val="clear" w:color="auto" w:fill="auto"/>
            <w:noWrap/>
            <w:vAlign w:val="bottom"/>
            <w:hideMark/>
          </w:tcPr>
          <w:p w14:paraId="32460101"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KrugerSatara*</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{"citationItems":[{"id":"ITEM-1","itemData":{"ISSN":"0075-6458","author":[{"dropping-particle":"","family":"Biggs","given":"H C","non-dropping-particle":"","parse-names":false,"suffix":""},{"dropping-particle":"","family":"Dunne","given":"T T","non-dropping-particle":"","parse-names":false,"suffix":""},{"dropping-particle":"","family":"Govender","given":"N","non-dropping-particle":"","parse-names":false,"suffix":""},{"dropping-particle":"","family":"Biggs","given":"R","non-dropping-particle":"","parse-names":false,"suffix":""},{"dropping-particle":"","family":"Biggs","given":"H C","non-dropping-particle":"","parse-names":false,"suffix":""},{"dropping-particle":"","family":"Dunne","given":"T T","non-dropping-particle":"","parse-names":false,"suffix":""},{"dropping-particle":"","family":"Govender","given":"N","non-dropping-particle":"","parse-names":false,"suffix":""},{"dropping-particle":"","family":"Potgieter","given":"A L F","non-dropping-particle":"","parse-names":false,"suffix":""}],"container-title":"Koedoe","id":"ITEM-1","issue":"1","issued":{"date-parts":[["2003"]]},"note":"From Duplicate 1 (Experimental burn plot trial in the Kruger National Park: history, experimental design and suggestions for data analysis - Biggs, R; Biggs, H C; Dunne, T T; Govender, N; Potgieter, A L F)\nAnd Duplicate 2 (Experimental burn plot trial in the Kruger National Park: history, experimental design and suggestions for data analysis - Biggs, R; Biggs, H C; Dunne, T T; Govender, N; Potgieter, A L F)\n\nTimes Cited: 29","page":"1-15","title":"Experimental burn plot trial in the Kruger National Park: history, experimental design and suggestions for data analysis","type":"article-journal","volume":"46"},"uris":["http://www.mendeley.com/documents/?uuid=685b645f-6e9c-46e9-bc6a-c7534d7c2968"]}],"mendeley":{"formattedCitation":"&lt;sup&gt;57&lt;/sup&gt;","plainTextFormattedCitation":"57","previouslyFormattedCitation":"&lt;sup&gt;57&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57</w:t>
            </w:r>
            <w:r w:rsidRPr="00773B70">
              <w:rPr>
                <w:rFonts w:ascii="Times" w:hAnsi="Times" w:cs="Calibri"/>
                <w:color w:val="000000"/>
                <w:sz w:val="20"/>
                <w:szCs w:val="20"/>
              </w:rPr>
              <w:fldChar w:fldCharType="end"/>
            </w:r>
          </w:p>
        </w:tc>
        <w:tc>
          <w:tcPr>
            <w:tcW w:w="1300" w:type="dxa"/>
            <w:shd w:val="clear" w:color="auto" w:fill="auto"/>
            <w:noWrap/>
            <w:vAlign w:val="bottom"/>
            <w:hideMark/>
          </w:tcPr>
          <w:p w14:paraId="42A140F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3F45B652"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WoodySav</w:t>
            </w:r>
          </w:p>
        </w:tc>
        <w:tc>
          <w:tcPr>
            <w:tcW w:w="1520" w:type="dxa"/>
            <w:shd w:val="clear" w:color="auto" w:fill="auto"/>
            <w:noWrap/>
            <w:vAlign w:val="bottom"/>
            <w:hideMark/>
          </w:tcPr>
          <w:p w14:paraId="70702DEB"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Africa</w:t>
            </w:r>
          </w:p>
        </w:tc>
        <w:tc>
          <w:tcPr>
            <w:tcW w:w="1417" w:type="dxa"/>
            <w:shd w:val="clear" w:color="auto" w:fill="auto"/>
            <w:noWrap/>
            <w:vAlign w:val="bottom"/>
            <w:hideMark/>
          </w:tcPr>
          <w:p w14:paraId="1A9E912D"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61</w:t>
            </w:r>
          </w:p>
        </w:tc>
        <w:tc>
          <w:tcPr>
            <w:tcW w:w="1487" w:type="dxa"/>
            <w:shd w:val="clear" w:color="auto" w:fill="auto"/>
            <w:noWrap/>
            <w:vAlign w:val="bottom"/>
            <w:hideMark/>
          </w:tcPr>
          <w:p w14:paraId="5034281D"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3294C0F6" w14:textId="77777777" w:rsidTr="00315655">
        <w:trPr>
          <w:trHeight w:val="320"/>
        </w:trPr>
        <w:tc>
          <w:tcPr>
            <w:tcW w:w="2238" w:type="dxa"/>
            <w:shd w:val="clear" w:color="auto" w:fill="auto"/>
            <w:noWrap/>
            <w:vAlign w:val="bottom"/>
            <w:hideMark/>
          </w:tcPr>
          <w:p w14:paraId="520AD1FC"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KrugerSkukuza*</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{"citationItems":[{"id":"ITEM-1","itemData":{"ISSN":"0075-6458","author":[{"dropping-particle":"","family":"Biggs","given":"H C","non-dropping-particle":"","parse-names":false,"suffix":""},{"dropping-particle":"","family":"Dunne","given":"T T","non-dropping-particle":"","parse-names":false,"suffix":""},{"dropping-particle":"","family":"Govender","given":"N","non-dropping-particle":"","parse-names":false,"suffix":""},{"dropping-particle":"","family":"Biggs","given":"R","non-dropping-particle":"","parse-names":false,"suffix":""},{"dropping-particle":"","family":"Biggs","given":"H C","non-dropping-particle":"","parse-names":false,"suffix":""},{"dropping-particle":"","family":"Dunne","given":"T T","non-dropping-particle":"","parse-names":false,"suffix":""},{"dropping-particle":"","family":"Govender","given":"N","non-dropping-particle":"","parse-names":false,"suffix":""},{"dropping-particle":"","family":"Potgieter","given":"A L F","non-dropping-particle":"","parse-names":false,"suffix":""}],"container-title":"Koedoe","id":"ITEM-1","issue":"1","issued":{"date-parts":[["2003"]]},"note":"From Duplicate 1 (Experimental burn plot trial in the Kruger National Park: history, experimental design and suggestions for data analysis - Biggs, R; Biggs, H C; Dunne, T T; Govender, N; Potgieter, A L F)\nAnd Duplicate 2 (Experimental burn plot trial in the Kruger National Park: history, experimental design and suggestions for data analysis - Biggs, R; Biggs, H C; Dunne, T T; Govender, N; Potgieter, A L F)\n\nTimes Cited: 29","page":"1-15","title":"Experimental burn plot trial in the Kruger National Park: history, experimental design and suggestions for data analysis","type":"article-journal","volume":"46"},"uris":["http://www.mendeley.com/documents/?uuid=685b645f-6e9c-46e9-bc6a-c7534d7c2968"]}],"mendeley":{"formattedCitation":"&lt;sup&gt;57&lt;/sup&gt;","plainTextFormattedCitation":"57","previouslyFormattedCitation":"&lt;sup&gt;57&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57</w:t>
            </w:r>
            <w:r w:rsidRPr="00773B70">
              <w:rPr>
                <w:rFonts w:ascii="Times" w:hAnsi="Times" w:cs="Calibri"/>
                <w:color w:val="000000"/>
                <w:sz w:val="20"/>
                <w:szCs w:val="20"/>
              </w:rPr>
              <w:fldChar w:fldCharType="end"/>
            </w:r>
          </w:p>
        </w:tc>
        <w:tc>
          <w:tcPr>
            <w:tcW w:w="1300" w:type="dxa"/>
            <w:shd w:val="clear" w:color="auto" w:fill="auto"/>
            <w:noWrap/>
            <w:vAlign w:val="bottom"/>
            <w:hideMark/>
          </w:tcPr>
          <w:p w14:paraId="042686F1"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55138F96"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WoodySav</w:t>
            </w:r>
          </w:p>
        </w:tc>
        <w:tc>
          <w:tcPr>
            <w:tcW w:w="1520" w:type="dxa"/>
            <w:shd w:val="clear" w:color="auto" w:fill="auto"/>
            <w:noWrap/>
            <w:vAlign w:val="bottom"/>
            <w:hideMark/>
          </w:tcPr>
          <w:p w14:paraId="6A7844A2"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Africa</w:t>
            </w:r>
          </w:p>
        </w:tc>
        <w:tc>
          <w:tcPr>
            <w:tcW w:w="1417" w:type="dxa"/>
            <w:shd w:val="clear" w:color="auto" w:fill="auto"/>
            <w:noWrap/>
            <w:vAlign w:val="bottom"/>
            <w:hideMark/>
          </w:tcPr>
          <w:p w14:paraId="22EDDE35"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62</w:t>
            </w:r>
          </w:p>
        </w:tc>
        <w:tc>
          <w:tcPr>
            <w:tcW w:w="1487" w:type="dxa"/>
            <w:shd w:val="clear" w:color="auto" w:fill="auto"/>
            <w:noWrap/>
            <w:vAlign w:val="bottom"/>
            <w:hideMark/>
          </w:tcPr>
          <w:p w14:paraId="1A726B8D"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4DF09759" w14:textId="77777777" w:rsidTr="00315655">
        <w:trPr>
          <w:trHeight w:val="320"/>
        </w:trPr>
        <w:tc>
          <w:tcPr>
            <w:tcW w:w="2238" w:type="dxa"/>
            <w:shd w:val="clear" w:color="auto" w:fill="auto"/>
            <w:noWrap/>
            <w:vAlign w:val="bottom"/>
            <w:hideMark/>
          </w:tcPr>
          <w:p w14:paraId="0FBB74D0"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Lakewood</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{"citationItems":[{"id":"ITEM-1","itemData":{"ISSN":"0075-6458","author":[{"dropping-particle":"","family":"Biggs","given":"H C","non-dropping-particle":"","parse-names":false,"suffix":""},{"dropping-particle":"","family":"Dunne","given":"T T","non-dropping-particle":"","parse-names":false,"suffix":""},{"dropping-particle":"","family":"Govender","given":"N","non-dropping-particle":"","parse-names":false,"suffix":""},{"dropping-particle":"","family":"Biggs","given":"R","non-dropping-particle":"","parse-names":false,"suffix":""},{"dropping-particle":"","family":"Biggs","given":"H C","non-dropping-particle":"","parse-names":false,"suffix":""},{"dropping-particle":"","family":"Dunne","given":"T T","non-dropping-particle":"","parse-names":false,"suffix":""},{"dropping-particle":"","family":"Govender","given":"N","non-dropping-particle":"","parse-names":false,"suffix":""},{"dropping-particle":"","family":"Potgieter","given":"A L F","non-dropping-particle":"","parse-names":false,"suffix":""}],"container-title":"Koedoe","id":"ITEM-1","issue":"1","issued":{"date-parts":[["2003"]]},"note":"From Duplicate 1 (Experimental burn plot trial in the Kruger National Park: history, experimental design and suggestions for data analysis - Biggs, R; Biggs, H C; Dunne, T T; Govender, N; Potgieter, A L F)\nAnd Duplicate 2 (Experimental burn plot trial in the Kruger National Park: history, experimental design and suggestions for data analysis - Biggs, R; Biggs, H C; Dunne, T T; Govender, N; Potgieter, A L F)\n\nTimes Cited: 29","page":"1-15","title":"Experimental burn plot trial in the Kruger National Park: history, experimental design and suggestions for data analysis","type":"article-journal","volume":"46"},"uris":["http://www.mendeley.com/documents/?uuid=685b645f-6e9c-46e9-bc6a-c7534d7c2968"]}],"mendeley":{"formattedCitation":"&lt;sup&gt;57&lt;/sup&gt;","plainTextFormattedCitation":"57","previouslyFormattedCitation":"&lt;sup&gt;57&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57</w:t>
            </w:r>
            <w:r w:rsidRPr="00773B70">
              <w:rPr>
                <w:rFonts w:ascii="Times" w:hAnsi="Times" w:cs="Calibri"/>
                <w:color w:val="000000"/>
                <w:sz w:val="20"/>
                <w:szCs w:val="20"/>
              </w:rPr>
              <w:fldChar w:fldCharType="end"/>
            </w:r>
          </w:p>
        </w:tc>
        <w:tc>
          <w:tcPr>
            <w:tcW w:w="1300" w:type="dxa"/>
            <w:shd w:val="clear" w:color="auto" w:fill="auto"/>
            <w:noWrap/>
            <w:vAlign w:val="bottom"/>
            <w:hideMark/>
          </w:tcPr>
          <w:p w14:paraId="257D0211"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Needleleaf</w:t>
            </w:r>
          </w:p>
        </w:tc>
        <w:tc>
          <w:tcPr>
            <w:tcW w:w="1389" w:type="dxa"/>
            <w:shd w:val="clear" w:color="auto" w:fill="auto"/>
            <w:noWrap/>
            <w:vAlign w:val="bottom"/>
            <w:hideMark/>
          </w:tcPr>
          <w:p w14:paraId="47C509FC"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WoodySav</w:t>
            </w:r>
          </w:p>
        </w:tc>
        <w:tc>
          <w:tcPr>
            <w:tcW w:w="1520" w:type="dxa"/>
            <w:shd w:val="clear" w:color="auto" w:fill="auto"/>
            <w:noWrap/>
            <w:vAlign w:val="bottom"/>
            <w:hideMark/>
          </w:tcPr>
          <w:p w14:paraId="6D1CF125"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0A5C082A"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17</w:t>
            </w:r>
          </w:p>
        </w:tc>
        <w:tc>
          <w:tcPr>
            <w:tcW w:w="1487" w:type="dxa"/>
            <w:shd w:val="clear" w:color="auto" w:fill="auto"/>
            <w:noWrap/>
            <w:vAlign w:val="bottom"/>
            <w:hideMark/>
          </w:tcPr>
          <w:p w14:paraId="07B1E025"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0.65</w:t>
            </w:r>
          </w:p>
        </w:tc>
      </w:tr>
      <w:tr w:rsidR="0030211E" w:rsidRPr="0056043D" w14:paraId="7B088272" w14:textId="77777777" w:rsidTr="00315655">
        <w:trPr>
          <w:trHeight w:val="320"/>
        </w:trPr>
        <w:tc>
          <w:tcPr>
            <w:tcW w:w="2238" w:type="dxa"/>
            <w:shd w:val="clear" w:color="auto" w:fill="auto"/>
            <w:noWrap/>
            <w:vAlign w:val="bottom"/>
            <w:hideMark/>
          </w:tcPr>
          <w:p w14:paraId="21EB1C1B"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Lamto</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{"citationItems":[{"id":"ITEM-1","itemData":{"author":[{"dropping-particle":"","family":"Burns","given":"P Y","non-dropping-particle":"","parse-names":false,"suffix":""}],"id":"ITEM-1","issued":{"date-parts":[["1952"]]},"publisher":"Yale University","title":"Effect of fire on forest soils in the Pine Barren region of New Jersey","type":"book"},"uris":["http://www.mendeley.com/documents/?uuid=ce8dcec9-f1e9-41ac-895b-417882176cc7"]}],"mendeley":{"formattedCitation":"&lt;sup&gt;58&lt;/sup&gt;","plainTextFormattedCitation":"58","previouslyFormattedCitation":"&lt;sup&gt;58&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58</w:t>
            </w:r>
            <w:r w:rsidRPr="00773B70">
              <w:rPr>
                <w:rFonts w:ascii="Times" w:hAnsi="Times" w:cs="Calibri"/>
                <w:color w:val="000000"/>
                <w:sz w:val="20"/>
                <w:szCs w:val="20"/>
              </w:rPr>
              <w:fldChar w:fldCharType="end"/>
            </w:r>
          </w:p>
        </w:tc>
        <w:tc>
          <w:tcPr>
            <w:tcW w:w="1300" w:type="dxa"/>
            <w:shd w:val="clear" w:color="auto" w:fill="auto"/>
            <w:noWrap/>
            <w:vAlign w:val="bottom"/>
            <w:hideMark/>
          </w:tcPr>
          <w:p w14:paraId="53A20B6D"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0A9D49B7"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WoodySav</w:t>
            </w:r>
          </w:p>
        </w:tc>
        <w:tc>
          <w:tcPr>
            <w:tcW w:w="1520" w:type="dxa"/>
            <w:shd w:val="clear" w:color="auto" w:fill="auto"/>
            <w:noWrap/>
            <w:vAlign w:val="bottom"/>
            <w:hideMark/>
          </w:tcPr>
          <w:p w14:paraId="4F21A149"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Africa</w:t>
            </w:r>
          </w:p>
        </w:tc>
        <w:tc>
          <w:tcPr>
            <w:tcW w:w="1417" w:type="dxa"/>
            <w:shd w:val="clear" w:color="auto" w:fill="auto"/>
            <w:noWrap/>
            <w:vAlign w:val="bottom"/>
            <w:hideMark/>
          </w:tcPr>
          <w:p w14:paraId="58354303"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25</w:t>
            </w:r>
          </w:p>
        </w:tc>
        <w:tc>
          <w:tcPr>
            <w:tcW w:w="1487" w:type="dxa"/>
            <w:shd w:val="clear" w:color="auto" w:fill="auto"/>
            <w:noWrap/>
            <w:vAlign w:val="bottom"/>
            <w:hideMark/>
          </w:tcPr>
          <w:p w14:paraId="0E58AD99"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0.30</w:t>
            </w:r>
          </w:p>
        </w:tc>
      </w:tr>
      <w:tr w:rsidR="0030211E" w:rsidRPr="0056043D" w14:paraId="6574FEE9" w14:textId="77777777" w:rsidTr="00315655">
        <w:trPr>
          <w:trHeight w:val="320"/>
        </w:trPr>
        <w:tc>
          <w:tcPr>
            <w:tcW w:w="2238" w:type="dxa"/>
            <w:shd w:val="clear" w:color="auto" w:fill="auto"/>
            <w:noWrap/>
            <w:vAlign w:val="bottom"/>
            <w:hideMark/>
          </w:tcPr>
          <w:p w14:paraId="108154A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LaPampa</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{"citationItems":[{"id":"ITEM-1","itemData":{"DOI":"http://dx.doi.org/10.1016/0038-0717(90)90188-6","ISSN":"0038-0717","abstract":"The medium-term dynamics of organic matter in a sandy savanna soil has been investigated at Lamto (Ivory Coast) through changes in the 13C/12C ratio induced by vegetation changes from the C4 to the C3 photosynthetic pathway. After 25 yr of protection from fire, a soil previously covered by C4 grassland vegetation had been progressively colonized by C3 woody plants. Although the total C content did not show significant changes. 52–70% of the original C4 carbon was turned over when vegetation cover was changed. Turnover of coarse organic debris (&gt; 250 μm) was much greater (97%) than the mineralization (50%) of clay-associated fractions (&lt; 20 μm).","author":[{"dropping-particle":"","family":"Martin","given":"A","non-dropping-particle":"","parse-names":false,"suffix":""},{"dropping-particle":"","family":"Mariotti","given":"A","non-dropping-particle":"","parse-names":false,"suffix":""},{"dropping-particle":"","family":"balesdent","given":"J","non-dropping-particle":"","parse-names":false,"suffix":""},{"dropping-particle":"","family":"Lavelle","given":"P","non-dropping-particle":"","parse-names":false,"suffix":""},{"dropping-particle":"","family":"Vuattoux","given":"R","non-dropping-particle":"","parse-names":false,"suffix":""}],"container-title":"Soil Biology and Biochemistry","id":"ITEM-1","issue":"4","issued":{"date-parts":[["1990"]]},"page":"517-523","title":"Estimate of organic matter turnover rate in a savanna soil by 13C natural abundance measurements","type":"article-journal","volume":"22"},"uris":["http://www.mendeley.com/documents/?uuid=c7a8fbb0-b7d6-3476-b195-af80c96e7957"]}],"mendeley":{"formattedCitation":"&lt;sup&gt;35&lt;/sup&gt;","plainTextFormattedCitation":"35","previouslyFormattedCitation":"&lt;sup&gt;35&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35</w:t>
            </w:r>
            <w:r w:rsidRPr="00773B70">
              <w:rPr>
                <w:rFonts w:ascii="Times" w:hAnsi="Times" w:cs="Calibri"/>
                <w:color w:val="000000"/>
                <w:sz w:val="20"/>
                <w:szCs w:val="20"/>
              </w:rPr>
              <w:fldChar w:fldCharType="end"/>
            </w:r>
          </w:p>
        </w:tc>
        <w:tc>
          <w:tcPr>
            <w:tcW w:w="1300" w:type="dxa"/>
            <w:shd w:val="clear" w:color="auto" w:fill="auto"/>
            <w:noWrap/>
            <w:vAlign w:val="bottom"/>
            <w:hideMark/>
          </w:tcPr>
          <w:p w14:paraId="4C98C98E"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1C792C59"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Grassland</w:t>
            </w:r>
          </w:p>
        </w:tc>
        <w:tc>
          <w:tcPr>
            <w:tcW w:w="1520" w:type="dxa"/>
            <w:shd w:val="clear" w:color="auto" w:fill="auto"/>
            <w:noWrap/>
            <w:vAlign w:val="bottom"/>
            <w:hideMark/>
          </w:tcPr>
          <w:p w14:paraId="6FA70B0D"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SouthAmerica</w:t>
            </w:r>
          </w:p>
        </w:tc>
        <w:tc>
          <w:tcPr>
            <w:tcW w:w="1417" w:type="dxa"/>
            <w:shd w:val="clear" w:color="auto" w:fill="auto"/>
            <w:noWrap/>
            <w:vAlign w:val="bottom"/>
            <w:hideMark/>
          </w:tcPr>
          <w:p w14:paraId="765FDED1"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25</w:t>
            </w:r>
          </w:p>
        </w:tc>
        <w:tc>
          <w:tcPr>
            <w:tcW w:w="1487" w:type="dxa"/>
            <w:shd w:val="clear" w:color="auto" w:fill="auto"/>
            <w:noWrap/>
            <w:vAlign w:val="bottom"/>
            <w:hideMark/>
          </w:tcPr>
          <w:p w14:paraId="56F3E3BF"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0.12</w:t>
            </w:r>
          </w:p>
        </w:tc>
      </w:tr>
      <w:tr w:rsidR="0030211E" w:rsidRPr="0056043D" w14:paraId="0FF096FC" w14:textId="77777777" w:rsidTr="00315655">
        <w:trPr>
          <w:trHeight w:val="320"/>
        </w:trPr>
        <w:tc>
          <w:tcPr>
            <w:tcW w:w="2238" w:type="dxa"/>
            <w:shd w:val="clear" w:color="auto" w:fill="auto"/>
            <w:noWrap/>
            <w:vAlign w:val="bottom"/>
            <w:hideMark/>
          </w:tcPr>
          <w:p w14:paraId="54641965"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LimestoneFlats*</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{"citationItems":[{"id":"ITEM-1","itemData":{"ISSN":"1146-609X","author":[{"dropping-particle":"","family":"Harris","given":"Wylie N","non-dropping-particle":"","parse-names":false,"suffix":""},{"dropping-particle":"","family":"Moretto","given":"Alicia S","non-dropping-particle":"","parse-names":false,"suffix":""},{"dropping-particle":"","family":"Distel","given":"Roberto A","non-dropping-particle":"","parse-names":false,"suffix":""},{"dropping-particle":"","family":"Boutton","given":"Thomas W","non-dropping-particle":"","parse-names":false,"suffix":""},{"dropping-particle":"","family":"Boo","given":"Roberto M","non-dropping-particle":"","parse-names":false,"suffix":""}],"container-title":"Acta Oecologica","id":"ITEM-1","issue":"2","issued":{"date-parts":[["2007"]]},"page":"207-214","title":"Fire and grazing in grasslands of the Argentine Caldenal: effects on plant and soil carbon and nitrogen","type":"article-journal","volume":"32"},"uris":["http://www.mendeley.com/documents/?uuid=452b4803-be54-378c-89a5-26d0a2708e74"]}],"mendeley":{"formattedCitation":"&lt;sup&gt;59&lt;/sup&gt;","plainTextFormattedCitation":"59","previouslyFormattedCitation":"&lt;sup&gt;59&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59</w:t>
            </w:r>
            <w:r w:rsidRPr="00773B70">
              <w:rPr>
                <w:rFonts w:ascii="Times" w:hAnsi="Times" w:cs="Calibri"/>
                <w:color w:val="000000"/>
                <w:sz w:val="20"/>
                <w:szCs w:val="20"/>
              </w:rPr>
              <w:fldChar w:fldCharType="end"/>
            </w:r>
          </w:p>
        </w:tc>
        <w:tc>
          <w:tcPr>
            <w:tcW w:w="1300" w:type="dxa"/>
            <w:shd w:val="clear" w:color="auto" w:fill="auto"/>
            <w:noWrap/>
            <w:vAlign w:val="bottom"/>
            <w:hideMark/>
          </w:tcPr>
          <w:p w14:paraId="1F2F0EFC"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Needleleaf</w:t>
            </w:r>
          </w:p>
        </w:tc>
        <w:tc>
          <w:tcPr>
            <w:tcW w:w="1389" w:type="dxa"/>
            <w:shd w:val="clear" w:color="auto" w:fill="auto"/>
            <w:noWrap/>
            <w:vAlign w:val="bottom"/>
            <w:hideMark/>
          </w:tcPr>
          <w:p w14:paraId="6B5EA479"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CoolNeedle</w:t>
            </w:r>
          </w:p>
        </w:tc>
        <w:tc>
          <w:tcPr>
            <w:tcW w:w="1520" w:type="dxa"/>
            <w:shd w:val="clear" w:color="auto" w:fill="auto"/>
            <w:noWrap/>
            <w:vAlign w:val="bottom"/>
            <w:hideMark/>
          </w:tcPr>
          <w:p w14:paraId="28D8A860"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1AC02C71"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48</w:t>
            </w:r>
          </w:p>
        </w:tc>
        <w:tc>
          <w:tcPr>
            <w:tcW w:w="1487" w:type="dxa"/>
            <w:shd w:val="clear" w:color="auto" w:fill="auto"/>
            <w:noWrap/>
            <w:vAlign w:val="bottom"/>
            <w:hideMark/>
          </w:tcPr>
          <w:p w14:paraId="59759C0D"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40BAC000" w14:textId="77777777" w:rsidTr="00315655">
        <w:trPr>
          <w:trHeight w:val="320"/>
        </w:trPr>
        <w:tc>
          <w:tcPr>
            <w:tcW w:w="2238" w:type="dxa"/>
            <w:shd w:val="clear" w:color="auto" w:fill="auto"/>
            <w:noWrap/>
            <w:vAlign w:val="bottom"/>
            <w:hideMark/>
          </w:tcPr>
          <w:p w14:paraId="1BDD097B"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Lombard</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{"citationItems":[{"id":"ITEM-1","itemData":{"ISSN":"11956860","abstract":"We examined the cumulative effects of 20 years of two-year interval prescription burning on available nitrogen (N) and total N and phosphorus (P) pools in the upper 15 cm of mineral soil of a southwestern ponderosa pine (Pinus ponderosa Dougl. ex Laws.) forest over a complete two-year burn cycle. Repeated burning reduced anaerobically mineralizable N up to 25%. However, burned and control plots had similar monthly ammonium and nitrate pool sizes in the mineral soil during both years of the two-year burn cycle. Mineral soil total N in the upper 15 cm was reduced by 110 kg N/ha (about a 7% reduction) after 20 years of prescription burning at this site. This estimate, coupled with a calculated 470 kg/ha loss of N from the forest floor, indicates repeated burning has substantially depleted soil N stocks at this site. In contrast to N, mineral soil total P in burned plots was similar to control plots. Our results suggest that repeated prescription burning at two-year intervals may have deleterious long-term effects on N cycling in southwestern ponderosa pine forests. Nous avons examin&amp;#xe9;, dans une for&amp;#xea;t de pins (Pinus ponderosa Dougl. ex Laws.) du sud-ouest de l'Am&amp;#xe9;rique du Nord, les effets cumulatifs des feux allum&amp;#xe9;s de fa&amp;#xe7;on intentionnelle tous les deux ans sur la disponibilit&amp;#xe9; de l'azote et du phosphore contenus dans la couche sup&amp;#xe9;rieure (15 cm) du sol min&amp;#xe9;ral. La for&amp;#xea;t a &amp;#xe9;t&amp;#xe9; soumise &amp;#xe0; des feux r&amp;#xe9;p&amp;#xe9;t&amp;#xe9;s sur une p&amp;#xe9;riode de vingt ans. Les feux r&amp;#xe9;p&amp;#xe9;t&amp;#xe9;s r&amp;#xe9;duisent de 25 % la quantit&amp;#xe9; d'azote min&amp;#xe9;ralisable de fa&amp;#xe7;on ana&amp;#xe9;robique. Toutefois, les parcelles br&amp;#xfb;l&amp;#xe9;es et t&amp;#xe9;moins ont des r&amp;#xe9;servoirs d'ammonium et de nitrates dans le sol min&amp;#xe9;ral de taille comparable au cours des deux ann&amp;#xe9;es que dure un cycle de feux. La quantit&amp;#xe9; totale d'azote de la couche sup&amp;#xe9;rieure du sol min&amp;#xe9;ral est r&amp;#xe9;duite de 7 % (110 kg N/ha) apr&amp;#xe8;s 20 ans de feux r&amp;#xe9;p&amp;#xe9;t&amp;#xe9;s. Cet estim&amp;#xe9;, auquel on ajoute une perte de 470 kg/ha d'azote en provenance de la surface du sol, indique que les feux r&amp;#xe9;p&amp;#xe9;t&amp;#xe9;s diminuent de fa&amp;#xe7;on substantielle les r&amp;#xe9;serves d'azote. &amp;#xc0; l'inverse, la quantit&amp;#xe9; totale de phosphore dans les parcelles br&amp;#xfb;l&amp;#xe9;es est similaire &amp;#xe0; celle des parcelles t&amp;#xe9;moins. Ces r&amp;#xe9;sultats sugg&amp;#xe8;rent que les feux allum&amp;#xe9;s de fa&amp;#xe7;on intentionnelle tous le…","author":[{"dropping-particle":"","family":"Wright","given":"Robert J","non-dropping-particle":"","parse-names":false,"suffix":""},{"dropping-particle":"","family":"Hart","given":"Stephen C","non-dropping-particle":"","parse-names":false,"suffix":""}],"container-title":"Écoscience","id":"ITEM-1","issue":"4","issued":{"date-parts":[["1997"]]},"page":"526-533","publisher":"Taylor &amp; Francis, Ltd.","title":"Nitrogen and phosphorus status in a ponderosa pine forest after 20 years of interval burning","type":"article-journal","volume":"4"},"uris":["http://www.mendeley.com/documents/?uuid=885a367f-4384-45d3-996b-430ad5270077"]}],"mendeley":{"formattedCitation":"&lt;sup&gt;42&lt;/sup&gt;","plainTextFormattedCitation":"42","previouslyFormattedCitation":"&lt;sup&gt;42&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42</w:t>
            </w:r>
            <w:r w:rsidRPr="00773B70">
              <w:rPr>
                <w:rFonts w:ascii="Times" w:hAnsi="Times" w:cs="Calibri"/>
                <w:color w:val="000000"/>
                <w:sz w:val="20"/>
                <w:szCs w:val="20"/>
              </w:rPr>
              <w:fldChar w:fldCharType="end"/>
            </w:r>
          </w:p>
        </w:tc>
        <w:tc>
          <w:tcPr>
            <w:tcW w:w="1300" w:type="dxa"/>
            <w:shd w:val="clear" w:color="auto" w:fill="auto"/>
            <w:noWrap/>
            <w:vAlign w:val="bottom"/>
            <w:hideMark/>
          </w:tcPr>
          <w:p w14:paraId="09C1758D"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389" w:type="dxa"/>
            <w:shd w:val="clear" w:color="auto" w:fill="auto"/>
            <w:noWrap/>
            <w:vAlign w:val="bottom"/>
            <w:hideMark/>
          </w:tcPr>
          <w:p w14:paraId="5DC748BC"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520" w:type="dxa"/>
            <w:shd w:val="clear" w:color="auto" w:fill="auto"/>
            <w:noWrap/>
            <w:vAlign w:val="bottom"/>
            <w:hideMark/>
          </w:tcPr>
          <w:p w14:paraId="413E3C13"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0B936E56"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12</w:t>
            </w:r>
          </w:p>
        </w:tc>
        <w:tc>
          <w:tcPr>
            <w:tcW w:w="1487" w:type="dxa"/>
            <w:shd w:val="clear" w:color="auto" w:fill="auto"/>
            <w:noWrap/>
            <w:vAlign w:val="bottom"/>
            <w:hideMark/>
          </w:tcPr>
          <w:p w14:paraId="31FC8D05"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0A061B57" w14:textId="77777777" w:rsidTr="00315655">
        <w:trPr>
          <w:trHeight w:val="320"/>
        </w:trPr>
        <w:tc>
          <w:tcPr>
            <w:tcW w:w="2238" w:type="dxa"/>
            <w:shd w:val="clear" w:color="auto" w:fill="auto"/>
            <w:noWrap/>
            <w:vAlign w:val="bottom"/>
            <w:hideMark/>
          </w:tcPr>
          <w:p w14:paraId="576488E7"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Marondera*</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{"citationItems":[{"id":"ITEM-1","itemData":{"ISSN":"0378-1127","author":[{"dropping-particle":"","family":"Neill","given":"Christopher","non-dropping-particle":"","parse-names":false,"suffix":""},{"dropping-particle":"","family":"Patterson","given":"William A","non-dropping-particle":"","parse-names":false,"suffix":""},{"dropping-particle":"","family":"Crary","given":"David W","non-dropping-particle":"","parse-names":false,"suffix":""}],"container-title":"Forest Ecology and Management","id":"ITEM-1","issue":"3","issued":{"date-parts":[["2007"]]},"page":"234-243","title":"Responses of soil carbon, nitrogen and cations to the frequency and seasonality of prescribed burning in a Cape Cod oak-pine forest","type":"article-journal","volume":"250"},"uris":["http://www.mendeley.com/documents/?uuid=581c72b5-069c-3d05-807e-79ca852135e7"]}],"mendeley":{"formattedCitation":"&lt;sup&gt;60&lt;/sup&gt;","plainTextFormattedCitation":"60","previouslyFormattedCitation":"&lt;sup&gt;60&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60</w:t>
            </w:r>
            <w:r w:rsidRPr="00773B70">
              <w:rPr>
                <w:rFonts w:ascii="Times" w:hAnsi="Times" w:cs="Calibri"/>
                <w:color w:val="000000"/>
                <w:sz w:val="20"/>
                <w:szCs w:val="20"/>
              </w:rPr>
              <w:fldChar w:fldCharType="end"/>
            </w:r>
          </w:p>
        </w:tc>
        <w:tc>
          <w:tcPr>
            <w:tcW w:w="1300" w:type="dxa"/>
            <w:shd w:val="clear" w:color="auto" w:fill="auto"/>
            <w:noWrap/>
            <w:vAlign w:val="bottom"/>
            <w:hideMark/>
          </w:tcPr>
          <w:p w14:paraId="46E4FC01"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59A4966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WoodySav</w:t>
            </w:r>
          </w:p>
        </w:tc>
        <w:tc>
          <w:tcPr>
            <w:tcW w:w="1520" w:type="dxa"/>
            <w:shd w:val="clear" w:color="auto" w:fill="auto"/>
            <w:noWrap/>
            <w:vAlign w:val="bottom"/>
            <w:hideMark/>
          </w:tcPr>
          <w:p w14:paraId="1A2A66FA"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Africa</w:t>
            </w:r>
          </w:p>
        </w:tc>
        <w:tc>
          <w:tcPr>
            <w:tcW w:w="1417" w:type="dxa"/>
            <w:shd w:val="clear" w:color="auto" w:fill="auto"/>
            <w:noWrap/>
            <w:vAlign w:val="bottom"/>
            <w:hideMark/>
          </w:tcPr>
          <w:p w14:paraId="67BD46D4"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54</w:t>
            </w:r>
          </w:p>
        </w:tc>
        <w:tc>
          <w:tcPr>
            <w:tcW w:w="1487" w:type="dxa"/>
            <w:shd w:val="clear" w:color="auto" w:fill="auto"/>
            <w:noWrap/>
            <w:vAlign w:val="bottom"/>
            <w:hideMark/>
          </w:tcPr>
          <w:p w14:paraId="63533431"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6BC4E616" w14:textId="77777777" w:rsidTr="00315655">
        <w:trPr>
          <w:trHeight w:val="320"/>
        </w:trPr>
        <w:tc>
          <w:tcPr>
            <w:tcW w:w="2238" w:type="dxa"/>
            <w:shd w:val="clear" w:color="auto" w:fill="auto"/>
            <w:noWrap/>
            <w:vAlign w:val="bottom"/>
            <w:hideMark/>
          </w:tcPr>
          <w:p w14:paraId="27537C6C"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MatoposClay</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{"citationItems":[{"id":"ITEM-1","itemData":{"DOI":"10.1177/0309133308101383","abstract":"Long-term fire experiments in savannnas are rare, given the difficulties and demands of operation. Controlled fire experiments date from colonial times in West Africa, although the largest and best-known is located in the Kruger National Park, South Africa. The achievements of these experiments are assessed from examples in Africa, South America and Australia. A less well-known experiment in Zimbabwe was sited at the Marondera Grassland Research Station and ran from 1953 to 1991. Some of the preliminary results on the impact of fire on vegetation are analysed and compared with further vegetation surveys in 2007. Studies on tree growth in this miombo savanna woodland indicate that the plots burned at three- and four-year intervals recovered to greater mean heights than the unburned control plots. There was no significant variation between treatments, suggesting that the few trees that did survive in the frequently burned plots were large specimens. Brachystegia and Julbernadia dominated the plots throughout and after the experiment. Basal area and stocking density were highest in the four-yearly burned plots but there was a high variability throughout the experiment, suggesting that many trees may have attained heights and bark thicknesses sufficient to protect from fire damage. Fire also affected the composition of the herbaceous plant community, but not the number of species. By the end of the experiment some grass and sedge species had flourished while others revealed greater susceptibility to fire, and fire-tolerant species predominated in the most frequently burned areas. The experimental design appeared to cope well with the variability between plots and indicated the soundness of the initial design and its implementation.","author":[{"dropping-particle":"","family":"Furley","given":"Peter A","non-dropping-particle":"","parse-names":false,"suffix":""},{"dropping-particle":"","family":"Rees","given":"Robert M","non-dropping-particle":"","parse-names":false,"suffix":""},{"dropping-particle":"","family":"Ryan","given":"Casey M","non-dropping-particle":"","parse-names":false,"suffix":""},{"dropping-particle":"","family":"Saiz","given":"Gustavo","non-dropping-particle":"","parse-names":false,"suffix":""}],"container-title":"Progress in Physical Geography","id":"ITEM-1","issue":"6","issued":{"date-parts":[["2008"]]},"page":"611-634","title":"Savanna burning and the assessment of long-term fire experiments with particular reference to Zimbabwe","type":"article-journal","volume":"32"},"uris":["http://www.mendeley.com/documents/?uuid=190d4fe9-236f-317a-b18d-876c94948abf"]}],"mendeley":{"formattedCitation":"&lt;sup&gt;61&lt;/sup&gt;","plainTextFormattedCitation":"61","previouslyFormattedCitation":"&lt;sup&gt;61&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61</w:t>
            </w:r>
            <w:r w:rsidRPr="00773B70">
              <w:rPr>
                <w:rFonts w:ascii="Times" w:hAnsi="Times" w:cs="Calibri"/>
                <w:color w:val="000000"/>
                <w:sz w:val="20"/>
                <w:szCs w:val="20"/>
              </w:rPr>
              <w:fldChar w:fldCharType="end"/>
            </w:r>
          </w:p>
        </w:tc>
        <w:tc>
          <w:tcPr>
            <w:tcW w:w="1300" w:type="dxa"/>
            <w:shd w:val="clear" w:color="auto" w:fill="auto"/>
            <w:noWrap/>
            <w:vAlign w:val="bottom"/>
            <w:hideMark/>
          </w:tcPr>
          <w:p w14:paraId="48D90E5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4A079737"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WoodySav</w:t>
            </w:r>
          </w:p>
        </w:tc>
        <w:tc>
          <w:tcPr>
            <w:tcW w:w="1520" w:type="dxa"/>
            <w:shd w:val="clear" w:color="auto" w:fill="auto"/>
            <w:noWrap/>
            <w:vAlign w:val="bottom"/>
            <w:hideMark/>
          </w:tcPr>
          <w:p w14:paraId="2040E5A2"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Africa</w:t>
            </w:r>
          </w:p>
        </w:tc>
        <w:tc>
          <w:tcPr>
            <w:tcW w:w="1417" w:type="dxa"/>
            <w:shd w:val="clear" w:color="auto" w:fill="auto"/>
            <w:noWrap/>
            <w:vAlign w:val="bottom"/>
            <w:hideMark/>
          </w:tcPr>
          <w:p w14:paraId="74B64AB8"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50</w:t>
            </w:r>
          </w:p>
        </w:tc>
        <w:tc>
          <w:tcPr>
            <w:tcW w:w="1487" w:type="dxa"/>
            <w:shd w:val="clear" w:color="auto" w:fill="auto"/>
            <w:noWrap/>
            <w:vAlign w:val="bottom"/>
            <w:hideMark/>
          </w:tcPr>
          <w:p w14:paraId="105D7101"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586A51BD" w14:textId="77777777" w:rsidTr="00315655">
        <w:trPr>
          <w:trHeight w:val="320"/>
        </w:trPr>
        <w:tc>
          <w:tcPr>
            <w:tcW w:w="2238" w:type="dxa"/>
            <w:shd w:val="clear" w:color="auto" w:fill="auto"/>
            <w:noWrap/>
            <w:vAlign w:val="bottom"/>
            <w:hideMark/>
          </w:tcPr>
          <w:p w14:paraId="7BBBD911"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lastRenderedPageBreak/>
              <w:t>MatoposSand</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{"citationItems":[{"id":"ITEM-1","itemData":{"DOI":"http://dx.doi.org/10.1016/S0016-7061(99)00084-1","ISSN":"0016-7061","author":[{"dropping-particle":"","family":"Bird","given":"M I","non-dropping-particle":"","parse-names":false,"suffix":""},{"dropping-particle":"","family":"Veenendaal","given":"E M","non-dropping-particle":"","parse-names":false,"suffix":""},{"dropping-particle":"","family":"Moyo","given":"C","non-dropping-particle":"","parse-names":false,"suffix":""},{"dropping-particle":"","family":"Lloyd","given":"J","non-dropping-particle":"","parse-names":false,"suffix":""},{"dropping-particle":"","family":"Frost","given":"P","non-dropping-particle":"","parse-names":false,"suffix":""}],"container-title":"Geoderma","id":"ITEM-1","issue":"1","issued":{"date-parts":[["2000"]]},"page":"71-90","title":"Effect of fire and soil texture on soil carbon in a sub-humid savanna (Matopos, Zimbabwe)","type":"article-journal","volume":"94"},"uris":["http://www.mendeley.com/documents/?uuid=ceb4f435-209b-32cd-b564-bb35d696d3f5"]}],"mendeley":{"formattedCitation":"&lt;sup&gt;25&lt;/sup&gt;","plainTextFormattedCitation":"25","previouslyFormattedCitation":"&lt;sup&gt;25&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25</w:t>
            </w:r>
            <w:r w:rsidRPr="00773B70">
              <w:rPr>
                <w:rFonts w:ascii="Times" w:hAnsi="Times" w:cs="Calibri"/>
                <w:color w:val="000000"/>
                <w:sz w:val="20"/>
                <w:szCs w:val="20"/>
              </w:rPr>
              <w:fldChar w:fldCharType="end"/>
            </w:r>
          </w:p>
        </w:tc>
        <w:tc>
          <w:tcPr>
            <w:tcW w:w="1300" w:type="dxa"/>
            <w:shd w:val="clear" w:color="auto" w:fill="auto"/>
            <w:noWrap/>
            <w:vAlign w:val="bottom"/>
            <w:hideMark/>
          </w:tcPr>
          <w:p w14:paraId="708363C6"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7B9793D8"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WoodySav</w:t>
            </w:r>
          </w:p>
        </w:tc>
        <w:tc>
          <w:tcPr>
            <w:tcW w:w="1520" w:type="dxa"/>
            <w:shd w:val="clear" w:color="auto" w:fill="auto"/>
            <w:noWrap/>
            <w:vAlign w:val="bottom"/>
            <w:hideMark/>
          </w:tcPr>
          <w:p w14:paraId="010FBB7C"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Africa</w:t>
            </w:r>
          </w:p>
        </w:tc>
        <w:tc>
          <w:tcPr>
            <w:tcW w:w="1417" w:type="dxa"/>
            <w:shd w:val="clear" w:color="auto" w:fill="auto"/>
            <w:noWrap/>
            <w:vAlign w:val="bottom"/>
            <w:hideMark/>
          </w:tcPr>
          <w:p w14:paraId="53983AD2"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50</w:t>
            </w:r>
          </w:p>
        </w:tc>
        <w:tc>
          <w:tcPr>
            <w:tcW w:w="1487" w:type="dxa"/>
            <w:shd w:val="clear" w:color="auto" w:fill="auto"/>
            <w:noWrap/>
            <w:vAlign w:val="bottom"/>
            <w:hideMark/>
          </w:tcPr>
          <w:p w14:paraId="12155BAA"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3854AD82" w14:textId="77777777" w:rsidTr="00315655">
        <w:trPr>
          <w:trHeight w:val="320"/>
        </w:trPr>
        <w:tc>
          <w:tcPr>
            <w:tcW w:w="2238" w:type="dxa"/>
            <w:shd w:val="clear" w:color="auto" w:fill="auto"/>
            <w:noWrap/>
            <w:vAlign w:val="bottom"/>
            <w:hideMark/>
          </w:tcPr>
          <w:p w14:paraId="01CE965B"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McKeeAlabama</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{"citationItems":[{"id":"ITEM-1","itemData":{"DOI":"http://dx.doi.org/10.1016/S0016-7061(99)00084-1","ISSN":"0016-7061","author":[{"dropping-particle":"","family":"Bird","given":"M I","non-dropping-particle":"","parse-names":false,"suffix":""},{"dropping-particle":"","family":"Veenendaal","given":"E M","non-dropping-particle":"","parse-names":false,"suffix":""},{"dropping-particle":"","family":"Moyo","given":"C","non-dropping-particle":"","parse-names":false,"suffix":""},{"dropping-particle":"","family":"Lloyd","given":"J","non-dropping-particle":"","parse-names":false,"suffix":""},{"dropping-particle":"","family":"Frost","given":"P","non-dropping-particle":"","parse-names":false,"suffix":""}],"container-title":"Geoderma","id":"ITEM-1","issue":"1","issued":{"date-parts":[["2000"]]},"page":"71-90","title":"Effect of fire and soil texture on soil carbon in a sub-humid savanna (Matopos, Zimbabwe)","type":"article-journal","volume":"94"},"uris":["http://www.mendeley.com/documents/?uuid=ceb4f435-209b-32cd-b564-bb35d696d3f5"]}],"mendeley":{"formattedCitation":"&lt;sup&gt;25&lt;/sup&gt;","plainTextFormattedCitation":"25","previouslyFormattedCitation":"&lt;sup&gt;25&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25</w:t>
            </w:r>
            <w:r w:rsidRPr="00773B70">
              <w:rPr>
                <w:rFonts w:ascii="Times" w:hAnsi="Times" w:cs="Calibri"/>
                <w:color w:val="000000"/>
                <w:sz w:val="20"/>
                <w:szCs w:val="20"/>
              </w:rPr>
              <w:fldChar w:fldCharType="end"/>
            </w:r>
          </w:p>
        </w:tc>
        <w:tc>
          <w:tcPr>
            <w:tcW w:w="1300" w:type="dxa"/>
            <w:shd w:val="clear" w:color="auto" w:fill="auto"/>
            <w:noWrap/>
            <w:vAlign w:val="bottom"/>
            <w:hideMark/>
          </w:tcPr>
          <w:p w14:paraId="6D6ADA9A"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Needleleaf</w:t>
            </w:r>
          </w:p>
        </w:tc>
        <w:tc>
          <w:tcPr>
            <w:tcW w:w="1389" w:type="dxa"/>
            <w:shd w:val="clear" w:color="auto" w:fill="auto"/>
            <w:noWrap/>
            <w:vAlign w:val="bottom"/>
            <w:hideMark/>
          </w:tcPr>
          <w:p w14:paraId="375132F8"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WarmNeedle</w:t>
            </w:r>
          </w:p>
        </w:tc>
        <w:tc>
          <w:tcPr>
            <w:tcW w:w="1520" w:type="dxa"/>
            <w:shd w:val="clear" w:color="auto" w:fill="auto"/>
            <w:noWrap/>
            <w:vAlign w:val="bottom"/>
            <w:hideMark/>
          </w:tcPr>
          <w:p w14:paraId="411D2996"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16D14300"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w:t>
            </w:r>
          </w:p>
        </w:tc>
        <w:tc>
          <w:tcPr>
            <w:tcW w:w="1487" w:type="dxa"/>
            <w:shd w:val="clear" w:color="auto" w:fill="auto"/>
            <w:noWrap/>
            <w:vAlign w:val="bottom"/>
            <w:hideMark/>
          </w:tcPr>
          <w:p w14:paraId="750412DD"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0.50</w:t>
            </w:r>
          </w:p>
        </w:tc>
      </w:tr>
      <w:tr w:rsidR="0030211E" w:rsidRPr="0056043D" w14:paraId="77A734C2" w14:textId="77777777" w:rsidTr="00315655">
        <w:trPr>
          <w:trHeight w:val="320"/>
        </w:trPr>
        <w:tc>
          <w:tcPr>
            <w:tcW w:w="2238" w:type="dxa"/>
            <w:shd w:val="clear" w:color="auto" w:fill="auto"/>
            <w:noWrap/>
            <w:vAlign w:val="bottom"/>
            <w:hideMark/>
          </w:tcPr>
          <w:p w14:paraId="23912C92"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McKeeFlorida</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{"citationItems":[{"id":"ITEM-1","itemData":{"author":[{"dropping-particle":"","family":"McKee","given":"William H","non-dropping-particle":"","parse-names":false,"suffix":""}],"id":"ITEM-1","issued":{"date-parts":[["1982"]]},"publisher":"Southeastern Forest Experiment Station","publisher-place":"Asheville, NC","title":"Changes in soil fertility following prescribed burning on coastal plain pine sites","type":"report"},"uris":["http://www.mendeley.com/documents/?uuid=f4d3d7c1-fe6f-4c98-b7b0-6c971de396d6"]}],"mendeley":{"formattedCitation":"&lt;sup&gt;62&lt;/sup&gt;","plainTextFormattedCitation":"62","previouslyFormattedCitation":"&lt;sup&gt;62&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62</w:t>
            </w:r>
            <w:r w:rsidRPr="00773B70">
              <w:rPr>
                <w:rFonts w:ascii="Times" w:hAnsi="Times" w:cs="Calibri"/>
                <w:color w:val="000000"/>
                <w:sz w:val="20"/>
                <w:szCs w:val="20"/>
              </w:rPr>
              <w:fldChar w:fldCharType="end"/>
            </w:r>
          </w:p>
        </w:tc>
        <w:tc>
          <w:tcPr>
            <w:tcW w:w="1300" w:type="dxa"/>
            <w:shd w:val="clear" w:color="auto" w:fill="auto"/>
            <w:noWrap/>
            <w:vAlign w:val="bottom"/>
            <w:hideMark/>
          </w:tcPr>
          <w:p w14:paraId="13679670"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Needleleaf</w:t>
            </w:r>
          </w:p>
        </w:tc>
        <w:tc>
          <w:tcPr>
            <w:tcW w:w="1389" w:type="dxa"/>
            <w:shd w:val="clear" w:color="auto" w:fill="auto"/>
            <w:noWrap/>
            <w:vAlign w:val="bottom"/>
            <w:hideMark/>
          </w:tcPr>
          <w:p w14:paraId="0802FF69"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WarmNeedle</w:t>
            </w:r>
          </w:p>
        </w:tc>
        <w:tc>
          <w:tcPr>
            <w:tcW w:w="1520" w:type="dxa"/>
            <w:shd w:val="clear" w:color="auto" w:fill="auto"/>
            <w:noWrap/>
            <w:vAlign w:val="bottom"/>
            <w:hideMark/>
          </w:tcPr>
          <w:p w14:paraId="760D25E0"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7172EE32"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20</w:t>
            </w:r>
          </w:p>
        </w:tc>
        <w:tc>
          <w:tcPr>
            <w:tcW w:w="1487" w:type="dxa"/>
            <w:shd w:val="clear" w:color="auto" w:fill="auto"/>
            <w:noWrap/>
            <w:vAlign w:val="bottom"/>
            <w:hideMark/>
          </w:tcPr>
          <w:p w14:paraId="6128DCB0"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36DA4E2A" w14:textId="77777777" w:rsidTr="00315655">
        <w:trPr>
          <w:trHeight w:val="320"/>
        </w:trPr>
        <w:tc>
          <w:tcPr>
            <w:tcW w:w="2238" w:type="dxa"/>
            <w:shd w:val="clear" w:color="auto" w:fill="auto"/>
            <w:noWrap/>
            <w:vAlign w:val="bottom"/>
            <w:hideMark/>
          </w:tcPr>
          <w:p w14:paraId="649FFB19"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Morton*</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{"citationItems":[{"id":"ITEM-1","itemData":{"author":[{"dropping-particle":"","family":"McKee","given":"William H","non-dropping-particle":"","parse-names":false,"suffix":""}],"id":"ITEM-1","issued":{"date-parts":[["1982"]]},"publisher":"Southeastern Forest Experiment Station","publisher-place":"Asheville, NC","title":"Changes in soil fertility following prescribed burning on coastal plain pine sites","type":"report"},"uris":["http://www.mendeley.com/documents/?uuid=f4d3d7c1-fe6f-4c98-b7b0-6c971de396d6"]}],"mendeley":{"formattedCitation":"&lt;sup&gt;62&lt;/sup&gt;","plainTextFormattedCitation":"62","previouslyFormattedCitation":"&lt;sup&gt;62&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62</w:t>
            </w:r>
            <w:r w:rsidRPr="00773B70">
              <w:rPr>
                <w:rFonts w:ascii="Times" w:hAnsi="Times" w:cs="Calibri"/>
                <w:color w:val="000000"/>
                <w:sz w:val="20"/>
                <w:szCs w:val="20"/>
              </w:rPr>
              <w:fldChar w:fldCharType="end"/>
            </w:r>
          </w:p>
        </w:tc>
        <w:tc>
          <w:tcPr>
            <w:tcW w:w="1300" w:type="dxa"/>
            <w:shd w:val="clear" w:color="auto" w:fill="auto"/>
            <w:noWrap/>
            <w:vAlign w:val="bottom"/>
            <w:hideMark/>
          </w:tcPr>
          <w:p w14:paraId="6870DB66"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389" w:type="dxa"/>
            <w:shd w:val="clear" w:color="auto" w:fill="auto"/>
            <w:noWrap/>
            <w:vAlign w:val="bottom"/>
            <w:hideMark/>
          </w:tcPr>
          <w:p w14:paraId="4C9DD8C8"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520" w:type="dxa"/>
            <w:shd w:val="clear" w:color="auto" w:fill="auto"/>
            <w:noWrap/>
            <w:vAlign w:val="bottom"/>
            <w:hideMark/>
          </w:tcPr>
          <w:p w14:paraId="5E924CBE"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2D96F7EE"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23</w:t>
            </w:r>
          </w:p>
        </w:tc>
        <w:tc>
          <w:tcPr>
            <w:tcW w:w="1487" w:type="dxa"/>
            <w:shd w:val="clear" w:color="auto" w:fill="auto"/>
            <w:noWrap/>
            <w:vAlign w:val="bottom"/>
            <w:hideMark/>
          </w:tcPr>
          <w:p w14:paraId="13B23650"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0.66</w:t>
            </w:r>
          </w:p>
        </w:tc>
      </w:tr>
      <w:tr w:rsidR="0030211E" w:rsidRPr="0056043D" w14:paraId="1FC6D41D" w14:textId="77777777" w:rsidTr="00315655">
        <w:trPr>
          <w:trHeight w:val="320"/>
        </w:trPr>
        <w:tc>
          <w:tcPr>
            <w:tcW w:w="2238" w:type="dxa"/>
            <w:shd w:val="clear" w:color="auto" w:fill="auto"/>
            <w:noWrap/>
            <w:vAlign w:val="bottom"/>
            <w:hideMark/>
          </w:tcPr>
          <w:p w14:paraId="6FF57673"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Oakvale</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{"citationItems":[{"id":"ITEM-1","itemData":{"DOI":"http://dx.doi.org/10.1016/j.geoderma.2012.03.010","ISSN":"0016-7061","abstract":"For the last 23 years, low-severity prescribed fire has been used to decrease shade and fire tolerant tree species, increase oak (Quercus spp.), and increase herbaceous plant diversity in the East Woods of The Morton Arboretum, Lisle, Illinois, USA. The impacts of these fires on the belowground ecosystem have yet to be measured. Soil (0 to 10 cm) and litter samples were collected 12, 19, and 24 months following the most recent fire on 40 plots in burned and un-burned control areas. Soil physical, chemical, and biological properties were measured and compared with vegetation composition and structure from these same plots. Compared to un-burned controls, burn plots had greater canopy openness, greater herbaceous richness, and a lower spring/summer herbaceous ratio. Burned plots had higher soil moisture content, pH, electrical conductivity, Ca2 +, Mg2 +, K+, Na+, NO3−, total N, particulate organic matter (POM), total organic C, and potential N mineralization. Soil microbial biomass and respiration, texture, color, aggregate stability, and hydrophobicity were not different in burned compared to un-burned plots. Indices of litter and soil invertebrate diversity were also not affected by prescribed fire. Three stepwise least squares models predicted woody richness, herbaceous richness, and spring/summer herbs with aspect, litter invertebrate richness, and soil factors (pH, potential N mineralization, C/N ratio, Mg2 +, Bray P, and soil invertebrate Simpson index). These results confirm others showing prescribed fire to increase soil nutrient availability. Forest structural changes with fire appear correlated with soil nutrient availability. Decreased soil C, nutrient retention, invertebrate diversity, or increased hydrophobicity and the presence of exotic plants is often observed with high-severity fire; but, these negative impacts do not appear to be present with these long-term, low-severity fires.","author":[{"dropping-particle":"","family":"Scharenbroch","given":"B C","non-dropping-particle":"","parse-names":false,"suffix":""},{"dropping-particle":"","family":"Nix","given":"B","non-dropping-particle":"","parse-names":false,"suffix":""},{"dropping-particle":"","family":"Jacobs","given":"K A","non-dropping-particle":"","parse-names":false,"suffix":""},{"dropping-particle":"","family":"Bowles","given":"M L","non-dropping-particle":"","parse-names":false,"suffix":""}],"container-title":"Geoderma","id":"ITEM-1","issued":{"date-parts":[["2012"]]},"page":"80-91","title":"Two decades of low-severity prescribed fire increases soil nutrient availability in a Midwestern, USA oak (Quercus) forest","type":"article-journal","volume":"183–184"},"uris":["http://www.mendeley.com/documents/?uuid=18bf0ce0-a299-315f-9438-0cb1bab937f6"]}],"mendeley":{"formattedCitation":"&lt;sup&gt;63&lt;/sup&gt;","plainTextFormattedCitation":"63","previouslyFormattedCitation":"&lt;sup&gt;63&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63</w:t>
            </w:r>
            <w:r w:rsidRPr="00773B70">
              <w:rPr>
                <w:rFonts w:ascii="Times" w:hAnsi="Times" w:cs="Calibri"/>
                <w:color w:val="000000"/>
                <w:sz w:val="20"/>
                <w:szCs w:val="20"/>
              </w:rPr>
              <w:fldChar w:fldCharType="end"/>
            </w:r>
          </w:p>
        </w:tc>
        <w:tc>
          <w:tcPr>
            <w:tcW w:w="1300" w:type="dxa"/>
            <w:shd w:val="clear" w:color="auto" w:fill="auto"/>
            <w:noWrap/>
            <w:vAlign w:val="bottom"/>
            <w:hideMark/>
          </w:tcPr>
          <w:p w14:paraId="36CE07C6"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190D0349"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Grassland</w:t>
            </w:r>
          </w:p>
        </w:tc>
        <w:tc>
          <w:tcPr>
            <w:tcW w:w="1520" w:type="dxa"/>
            <w:shd w:val="clear" w:color="auto" w:fill="auto"/>
            <w:noWrap/>
            <w:vAlign w:val="bottom"/>
            <w:hideMark/>
          </w:tcPr>
          <w:p w14:paraId="2343BE85"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Africa</w:t>
            </w:r>
          </w:p>
        </w:tc>
        <w:tc>
          <w:tcPr>
            <w:tcW w:w="1417" w:type="dxa"/>
            <w:shd w:val="clear" w:color="auto" w:fill="auto"/>
            <w:noWrap/>
            <w:vAlign w:val="bottom"/>
            <w:hideMark/>
          </w:tcPr>
          <w:p w14:paraId="78F0B43A"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9</w:t>
            </w:r>
          </w:p>
        </w:tc>
        <w:tc>
          <w:tcPr>
            <w:tcW w:w="1487" w:type="dxa"/>
            <w:shd w:val="clear" w:color="auto" w:fill="auto"/>
            <w:noWrap/>
            <w:vAlign w:val="bottom"/>
            <w:hideMark/>
          </w:tcPr>
          <w:p w14:paraId="453F12F3"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0.77</w:t>
            </w:r>
          </w:p>
        </w:tc>
      </w:tr>
      <w:tr w:rsidR="0030211E" w:rsidRPr="0056043D" w14:paraId="20C061B8" w14:textId="77777777" w:rsidTr="00315655">
        <w:trPr>
          <w:trHeight w:val="320"/>
        </w:trPr>
        <w:tc>
          <w:tcPr>
            <w:tcW w:w="2238" w:type="dxa"/>
            <w:shd w:val="clear" w:color="auto" w:fill="auto"/>
            <w:noWrap/>
            <w:vAlign w:val="bottom"/>
            <w:hideMark/>
          </w:tcPr>
          <w:p w14:paraId="29C41C3A"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Okmulgee</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{"citationItems":[{"id":"ITEM-1","itemData":{"ISSN":"1838-6768","author":[{"dropping-particle":"","family":"Tongway","given":"David J","non-dropping-particle":"","parse-names":false,"suffix":""},{"dropping-particle":"","family":"Hodgkinson","given":"K C","non-dropping-particle":"","parse-names":false,"suffix":""}],"container-title":"Soil Research","id":"ITEM-1","issue":"1","issued":{"date-parts":[["1992"]]},"page":"17-26","title":"The effects of fire on the soil in a degraded semi-arid woodland. III. Nutrient pool sizes, biological activity and herbage response","type":"article-journal","volume":"30"},"uris":["http://www.mendeley.com/documents/?uuid=e641ecc4-cf8b-4e5e-8738-f1fe82c4c879"]}],"mendeley":{"formattedCitation":"&lt;sup&gt;64&lt;/sup&gt;","plainTextFormattedCitation":"64","previouslyFormattedCitation":"&lt;sup&gt;64&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64</w:t>
            </w:r>
            <w:r w:rsidRPr="00773B70">
              <w:rPr>
                <w:rFonts w:ascii="Times" w:hAnsi="Times" w:cs="Calibri"/>
                <w:color w:val="000000"/>
                <w:sz w:val="20"/>
                <w:szCs w:val="20"/>
              </w:rPr>
              <w:fldChar w:fldCharType="end"/>
            </w:r>
          </w:p>
        </w:tc>
        <w:tc>
          <w:tcPr>
            <w:tcW w:w="1300" w:type="dxa"/>
            <w:shd w:val="clear" w:color="auto" w:fill="auto"/>
            <w:noWrap/>
            <w:vAlign w:val="bottom"/>
            <w:hideMark/>
          </w:tcPr>
          <w:p w14:paraId="637B9FAE"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389" w:type="dxa"/>
            <w:shd w:val="clear" w:color="auto" w:fill="auto"/>
            <w:noWrap/>
            <w:vAlign w:val="bottom"/>
            <w:hideMark/>
          </w:tcPr>
          <w:p w14:paraId="18A9C269"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520" w:type="dxa"/>
            <w:shd w:val="clear" w:color="auto" w:fill="auto"/>
            <w:noWrap/>
            <w:vAlign w:val="bottom"/>
            <w:hideMark/>
          </w:tcPr>
          <w:p w14:paraId="4393F4B6"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1E1FB74C"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19</w:t>
            </w:r>
          </w:p>
        </w:tc>
        <w:tc>
          <w:tcPr>
            <w:tcW w:w="1487" w:type="dxa"/>
            <w:shd w:val="clear" w:color="auto" w:fill="auto"/>
            <w:noWrap/>
            <w:vAlign w:val="bottom"/>
            <w:hideMark/>
          </w:tcPr>
          <w:p w14:paraId="41C79588"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0.50</w:t>
            </w:r>
          </w:p>
        </w:tc>
      </w:tr>
      <w:tr w:rsidR="0030211E" w:rsidRPr="0056043D" w14:paraId="04277EF7" w14:textId="77777777" w:rsidTr="00315655">
        <w:trPr>
          <w:trHeight w:val="320"/>
        </w:trPr>
        <w:tc>
          <w:tcPr>
            <w:tcW w:w="2238" w:type="dxa"/>
            <w:shd w:val="clear" w:color="auto" w:fill="auto"/>
            <w:noWrap/>
            <w:vAlign w:val="bottom"/>
            <w:hideMark/>
          </w:tcPr>
          <w:p w14:paraId="0F71851F"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RobertsPlots</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{"citationItems":[{"id":"ITEM-1","itemData":{"DOI":"http://dx.doi.org/10.1016/j.foreco.2011.10.032","ISSN":"0378-1127","abstract":"Prescribed burning is commonly used in forests to reduce fuel load, prevent encroachment of exotic species, maintain biological diversity and improve wildlife habitat. The low intensity burns that are conducted at intervals of 1–10 years may have long-term effects on the abiotic and biotic components of the soil. We assessed how prescribed burning altered litter, soil physical and chemical properties, and soil microbial communities in upland oak forests subjected to prescribed burning at frequencies of 0 (unburned), 2.5 and 5 fires per decade (FPD) over a 20 year period. Prescribed burning at 5 FPD reduced soil organic matter by 60% and soil organic carbon by 64% and increased bulk density by 20%. Compared to unburned controls, litter nitrogen was reduced by 20% and 21% and C/N ratio increased by 25% and 28% in sites burned at 2.5 and 5 FPD, respectively. Litter lignin/N ratio was reduced 28% at 2.5 FPD, compared to litter from unburned sites. We found no changes in soil pH, total N, NO3-N, NH3-N, plant-available Ps or K due to prescribed burning. Microbial biomass of Gram negative bacteria, as determined by phospholipid fatty acid (PLFA) analyses, decreased from 25% of biomarker abundance at the unburned sites to 20% at the 5 FPD sites. No other microbial functional group was significantly influenced by fire frequency. Our results indicate prescribed burning with low intensity fires in upland oak forests do not have major effects on the soils if these fires occur infrequently, i.e. less frequent than 2.5 FPD. However, frequent burning of these upland oak forests (5 FPD) resulted in important changes in the litter and soil that may adversely affect litter decomposition rates, soil carbon storage, soil water holding capacity, and soil erosion rates. Our findings indicate prescribed burning can be an important management tool, however, at high fire frequencies there may be tradeoffs between vegetation management goals and long-term adverse affects on the soil.","author":[{"dropping-particle":"","family":"Williams","given":"Ryan J","non-dropping-particle":"","parse-names":false,"suffix":""},{"dropping-particle":"","family":"Hallgren","given":"Stephen W","non-dropping-particle":"","parse-names":false,"suffix":""},{"dropping-particle":"","family":"Wilson","given":"Gail W T","non-dropping-particle":"","parse-names":false,"suffix":""}],"container-title":"Forest Ecology and Management","id":"ITEM-1","issued":{"date-parts":[["2012"]]},"page":"241-247","title":"Frequency of prescribed burning in an upland oak forest determines soil and litter properties and alters the soil microbial community","type":"article-journal","volume":"265"},"uris":["http://www.mendeley.com/documents/?uuid=ca056527-1ece-38f7-b900-16394bbf0517"]}],"mendeley":{"formattedCitation":"&lt;sup&gt;65&lt;/sup&gt;","plainTextFormattedCitation":"65","previouslyFormattedCitation":"&lt;sup&gt;65&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65</w:t>
            </w:r>
            <w:r w:rsidRPr="00773B70">
              <w:rPr>
                <w:rFonts w:ascii="Times" w:hAnsi="Times" w:cs="Calibri"/>
                <w:color w:val="000000"/>
                <w:sz w:val="20"/>
                <w:szCs w:val="20"/>
              </w:rPr>
              <w:fldChar w:fldCharType="end"/>
            </w:r>
          </w:p>
        </w:tc>
        <w:tc>
          <w:tcPr>
            <w:tcW w:w="1300" w:type="dxa"/>
            <w:shd w:val="clear" w:color="auto" w:fill="auto"/>
            <w:noWrap/>
            <w:vAlign w:val="bottom"/>
            <w:hideMark/>
          </w:tcPr>
          <w:p w14:paraId="110CAF5C"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Needleleaf</w:t>
            </w:r>
          </w:p>
        </w:tc>
        <w:tc>
          <w:tcPr>
            <w:tcW w:w="1389" w:type="dxa"/>
            <w:shd w:val="clear" w:color="auto" w:fill="auto"/>
            <w:noWrap/>
            <w:vAlign w:val="bottom"/>
            <w:hideMark/>
          </w:tcPr>
          <w:p w14:paraId="2EB01FA2"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WarmNeedle</w:t>
            </w:r>
          </w:p>
        </w:tc>
        <w:tc>
          <w:tcPr>
            <w:tcW w:w="1520" w:type="dxa"/>
            <w:shd w:val="clear" w:color="auto" w:fill="auto"/>
            <w:noWrap/>
            <w:vAlign w:val="bottom"/>
            <w:hideMark/>
          </w:tcPr>
          <w:p w14:paraId="35BA6112"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4A2AB380"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65</w:t>
            </w:r>
          </w:p>
        </w:tc>
        <w:tc>
          <w:tcPr>
            <w:tcW w:w="1487" w:type="dxa"/>
            <w:shd w:val="clear" w:color="auto" w:fill="auto"/>
            <w:noWrap/>
            <w:vAlign w:val="bottom"/>
            <w:hideMark/>
          </w:tcPr>
          <w:p w14:paraId="633505AC"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356ADD97" w14:textId="77777777" w:rsidTr="00315655">
        <w:trPr>
          <w:trHeight w:val="320"/>
        </w:trPr>
        <w:tc>
          <w:tcPr>
            <w:tcW w:w="2238" w:type="dxa"/>
            <w:shd w:val="clear" w:color="auto" w:fill="auto"/>
            <w:noWrap/>
            <w:vAlign w:val="bottom"/>
            <w:hideMark/>
          </w:tcPr>
          <w:p w14:paraId="7A3E7749"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Santee</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{"citationItems":[{"id":"ITEM-1","itemData":{"author":[{"dropping-particle":"","family":"McKee","given":"William H","non-dropping-particle":"","parse-names":false,"suffix":""}],"id":"ITEM-1","issued":{"date-parts":[["1982"]]},"publisher":"Southeastern Forest Experiment Station","publisher-place":"Asheville, NC","title":"Changes in soil fertility following prescribed burning on coastal plain pine sites","type":"report"},"uris":["http://www.mendeley.com/documents/?uuid=f4d3d7c1-fe6f-4c98-b7b0-6c971de396d6"]}],"mendeley":{"formattedCitation":"&lt;sup&gt;62&lt;/sup&gt;","plainTextFormattedCitation":"62","previouslyFormattedCitation":"&lt;sup&gt;62&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62</w:t>
            </w:r>
            <w:r w:rsidRPr="00773B70">
              <w:rPr>
                <w:rFonts w:ascii="Times" w:hAnsi="Times" w:cs="Calibri"/>
                <w:color w:val="000000"/>
                <w:sz w:val="20"/>
                <w:szCs w:val="20"/>
              </w:rPr>
              <w:fldChar w:fldCharType="end"/>
            </w:r>
          </w:p>
        </w:tc>
        <w:tc>
          <w:tcPr>
            <w:tcW w:w="1300" w:type="dxa"/>
            <w:shd w:val="clear" w:color="auto" w:fill="auto"/>
            <w:noWrap/>
            <w:vAlign w:val="bottom"/>
            <w:hideMark/>
          </w:tcPr>
          <w:p w14:paraId="4973162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Needleleaf</w:t>
            </w:r>
          </w:p>
        </w:tc>
        <w:tc>
          <w:tcPr>
            <w:tcW w:w="1389" w:type="dxa"/>
            <w:shd w:val="clear" w:color="auto" w:fill="auto"/>
            <w:noWrap/>
            <w:vAlign w:val="bottom"/>
            <w:hideMark/>
          </w:tcPr>
          <w:p w14:paraId="5F254F33"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WarmNeedle</w:t>
            </w:r>
          </w:p>
        </w:tc>
        <w:tc>
          <w:tcPr>
            <w:tcW w:w="1520" w:type="dxa"/>
            <w:shd w:val="clear" w:color="auto" w:fill="auto"/>
            <w:noWrap/>
            <w:vAlign w:val="bottom"/>
            <w:hideMark/>
          </w:tcPr>
          <w:p w14:paraId="355C357D"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2D7CCDB5"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30</w:t>
            </w:r>
          </w:p>
        </w:tc>
        <w:tc>
          <w:tcPr>
            <w:tcW w:w="1487" w:type="dxa"/>
            <w:shd w:val="clear" w:color="auto" w:fill="auto"/>
            <w:noWrap/>
            <w:vAlign w:val="bottom"/>
            <w:hideMark/>
          </w:tcPr>
          <w:p w14:paraId="27EC75AB"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3027E3BB" w14:textId="77777777" w:rsidTr="00315655">
        <w:trPr>
          <w:trHeight w:val="320"/>
        </w:trPr>
        <w:tc>
          <w:tcPr>
            <w:tcW w:w="2238" w:type="dxa"/>
            <w:shd w:val="clear" w:color="auto" w:fill="auto"/>
            <w:noWrap/>
            <w:vAlign w:val="bottom"/>
            <w:hideMark/>
          </w:tcPr>
          <w:p w14:paraId="5FC3B3BC"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SavannahRiver</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{"citationItems":[{"id":"ITEM-1","itemData":{"author":[{"dropping-particle":"","family":"McKee","given":"William H","non-dropping-particle":"","parse-names":false,"suffix":""}],"id":"ITEM-1","issued":{"date-parts":[["1982"]]},"publisher":"Southeastern Forest Experiment Station","publisher-place":"Asheville, NC","title":"Changes in soil fertility following prescribed burning on coastal plain pine sites","type":"report"},"uris":["http://www.mendeley.com/documents/?uuid=f4d3d7c1-fe6f-4c98-b7b0-6c971de396d6"]}],"mendeley":{"formattedCitation":"&lt;sup&gt;62&lt;/sup&gt;","plainTextFormattedCitation":"62","previouslyFormattedCitation":"&lt;sup&gt;62&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62</w:t>
            </w:r>
            <w:r w:rsidRPr="00773B70">
              <w:rPr>
                <w:rFonts w:ascii="Times" w:hAnsi="Times" w:cs="Calibri"/>
                <w:color w:val="000000"/>
                <w:sz w:val="20"/>
                <w:szCs w:val="20"/>
              </w:rPr>
              <w:fldChar w:fldCharType="end"/>
            </w:r>
          </w:p>
        </w:tc>
        <w:tc>
          <w:tcPr>
            <w:tcW w:w="1300" w:type="dxa"/>
            <w:shd w:val="clear" w:color="auto" w:fill="auto"/>
            <w:noWrap/>
            <w:vAlign w:val="bottom"/>
            <w:hideMark/>
          </w:tcPr>
          <w:p w14:paraId="71D310E1"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493B82EC"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WoodySav</w:t>
            </w:r>
          </w:p>
        </w:tc>
        <w:tc>
          <w:tcPr>
            <w:tcW w:w="1520" w:type="dxa"/>
            <w:shd w:val="clear" w:color="auto" w:fill="auto"/>
            <w:noWrap/>
            <w:vAlign w:val="bottom"/>
            <w:hideMark/>
          </w:tcPr>
          <w:p w14:paraId="0B1A62E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0E507F6D"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38</w:t>
            </w:r>
          </w:p>
        </w:tc>
        <w:tc>
          <w:tcPr>
            <w:tcW w:w="1487" w:type="dxa"/>
            <w:shd w:val="clear" w:color="auto" w:fill="auto"/>
            <w:noWrap/>
            <w:vAlign w:val="bottom"/>
            <w:hideMark/>
          </w:tcPr>
          <w:p w14:paraId="41352DB9"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0.14</w:t>
            </w:r>
          </w:p>
        </w:tc>
      </w:tr>
      <w:tr w:rsidR="0030211E" w:rsidRPr="0056043D" w14:paraId="054243EE" w14:textId="77777777" w:rsidTr="00315655">
        <w:trPr>
          <w:trHeight w:val="320"/>
        </w:trPr>
        <w:tc>
          <w:tcPr>
            <w:tcW w:w="2238" w:type="dxa"/>
            <w:shd w:val="clear" w:color="auto" w:fill="auto"/>
            <w:noWrap/>
            <w:vAlign w:val="bottom"/>
            <w:hideMark/>
          </w:tcPr>
          <w:p w14:paraId="0558486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Sequoia</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{"citationItems":[{"id":"ITEM-1","itemData":{"DOI":"http://dx.doi.org/10.1016/j.foreco.2015.04.006","ISSN":"0378-1127","author":[{"dropping-particle":"","family":"Bizzari","given":"Lauren E","non-dropping-particle":"","parse-names":false,"suffix":""},{"dropping-particle":"","family":"Collins","given":"Cathy D","non-dropping-particle":"","parse-names":false,"suffix":""},{"dropping-particle":"","family":"Brudvig","given":"Lars A","non-dropping-particle":"","parse-names":false,"suffix":""},{"dropping-particle":"","family":"Damschen","given":"Ellen I","non-dropping-particle":"","parse-names":false,"suffix":""}],"container-title":"Forest Ecology and Management","id":"ITEM-1","issued":{"date-parts":[["2015"]]},"page":"45-54","title":"Historical agriculture and contemporary fire frequency alter soil properties in longleaf pine woodlands","type":"article-journal","volume":"349"},"uris":["http://www.mendeley.com/documents/?uuid=b5369503-431a-4dca-8ca7-aabfad47f723"]}],"mendeley":{"formattedCitation":"&lt;sup&gt;66&lt;/sup&gt;","plainTextFormattedCitation":"66","previouslyFormattedCitation":"&lt;sup&gt;66&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66</w:t>
            </w:r>
            <w:r w:rsidRPr="00773B70">
              <w:rPr>
                <w:rFonts w:ascii="Times" w:hAnsi="Times" w:cs="Calibri"/>
                <w:color w:val="000000"/>
                <w:sz w:val="20"/>
                <w:szCs w:val="20"/>
              </w:rPr>
              <w:fldChar w:fldCharType="end"/>
            </w:r>
          </w:p>
        </w:tc>
        <w:tc>
          <w:tcPr>
            <w:tcW w:w="1300" w:type="dxa"/>
            <w:shd w:val="clear" w:color="auto" w:fill="auto"/>
            <w:noWrap/>
            <w:vAlign w:val="bottom"/>
            <w:hideMark/>
          </w:tcPr>
          <w:p w14:paraId="26DDD46F"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Needleleaf</w:t>
            </w:r>
          </w:p>
        </w:tc>
        <w:tc>
          <w:tcPr>
            <w:tcW w:w="1389" w:type="dxa"/>
            <w:shd w:val="clear" w:color="auto" w:fill="auto"/>
            <w:noWrap/>
            <w:vAlign w:val="bottom"/>
            <w:hideMark/>
          </w:tcPr>
          <w:p w14:paraId="272B715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CoolNeedle</w:t>
            </w:r>
          </w:p>
        </w:tc>
        <w:tc>
          <w:tcPr>
            <w:tcW w:w="1520" w:type="dxa"/>
            <w:shd w:val="clear" w:color="auto" w:fill="auto"/>
            <w:noWrap/>
            <w:vAlign w:val="bottom"/>
            <w:hideMark/>
          </w:tcPr>
          <w:p w14:paraId="48A77689"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5B7B497F"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32</w:t>
            </w:r>
          </w:p>
        </w:tc>
        <w:tc>
          <w:tcPr>
            <w:tcW w:w="1487" w:type="dxa"/>
            <w:shd w:val="clear" w:color="auto" w:fill="auto"/>
            <w:noWrap/>
            <w:vAlign w:val="bottom"/>
            <w:hideMark/>
          </w:tcPr>
          <w:p w14:paraId="23BF8446"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0.10</w:t>
            </w:r>
          </w:p>
        </w:tc>
      </w:tr>
      <w:tr w:rsidR="0030211E" w:rsidRPr="0056043D" w14:paraId="311A729A" w14:textId="77777777" w:rsidTr="00315655">
        <w:trPr>
          <w:trHeight w:val="320"/>
        </w:trPr>
        <w:tc>
          <w:tcPr>
            <w:tcW w:w="2238" w:type="dxa"/>
            <w:shd w:val="clear" w:color="auto" w:fill="auto"/>
            <w:noWrap/>
            <w:vAlign w:val="bottom"/>
            <w:hideMark/>
          </w:tcPr>
          <w:p w14:paraId="5A34B469"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Tiogo</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{"citationItems":[{"id":"ITEM-1","itemData":{"DOI":"10.1111/1365-2745.13351","author":[{"dropping-particle":"","family":"Pellegrini","given":"A. F. A.","non-dropping-particle":"","parse-names":false,"suffix":""},{"dropping-particle":"","family":"Hobbie","given":"S. E.","non-dropping-particle":"","parse-names":false,"suffix":""},{"dropping-particle":"","family":"Reich","given":"P. B.","non-dropping-particle":"","parse-names":false,"suffix":""},{"dropping-particle":"","family":"Jumpponen","given":"A.","non-dropping-particle":"","parse-names":false,"suffix":""},{"dropping-particle":"","family":"Brookshire","given":"E. N. J.","non-dropping-particle":"","parse-names":false,"suffix":""},{"dropping-particle":"","family":"Caprio","given":"A. C.","non-dropping-particle":"","parse-names":false,"suffix":""},{"dropping-particle":"","family":"Coetsee","given":"C.","non-dropping-particle":"","parse-names":false,"suffix":""},{"dropping-particle":"","family":"Jackson","given":"R. B.","non-dropping-particle":"","parse-names":false,"suffix":""}],"container-title":"Ecological Monographs","id":"ITEM-1","issue":"4","issued":{"date-parts":[["2020"]]},"page":"e01409","title":"Repeated fire shifts carbon and nitrogen cycling by changing plant inputs and soil decomposition across ecosystems","type":"article-journal","volume":"90"},"uris":["http://www.mendeley.com/documents/?uuid=67c80e92-93b4-47f1-940b-fc2b830d1314"]}],"mendeley":{"formattedCitation":"&lt;sup&gt;24&lt;/sup&gt;","plainTextFormattedCitation":"24","previouslyFormattedCitation":"&lt;sup&gt;24&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24</w:t>
            </w:r>
            <w:r w:rsidRPr="00773B70">
              <w:rPr>
                <w:rFonts w:ascii="Times" w:hAnsi="Times" w:cs="Calibri"/>
                <w:color w:val="000000"/>
                <w:sz w:val="20"/>
                <w:szCs w:val="20"/>
              </w:rPr>
              <w:fldChar w:fldCharType="end"/>
            </w:r>
          </w:p>
        </w:tc>
        <w:tc>
          <w:tcPr>
            <w:tcW w:w="1300" w:type="dxa"/>
            <w:shd w:val="clear" w:color="auto" w:fill="auto"/>
            <w:noWrap/>
            <w:vAlign w:val="bottom"/>
            <w:hideMark/>
          </w:tcPr>
          <w:p w14:paraId="32FA0DC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3DEEE81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WoodySav</w:t>
            </w:r>
          </w:p>
        </w:tc>
        <w:tc>
          <w:tcPr>
            <w:tcW w:w="1520" w:type="dxa"/>
            <w:shd w:val="clear" w:color="auto" w:fill="auto"/>
            <w:noWrap/>
            <w:vAlign w:val="bottom"/>
            <w:hideMark/>
          </w:tcPr>
          <w:p w14:paraId="114A12DF"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Africa</w:t>
            </w:r>
          </w:p>
        </w:tc>
        <w:tc>
          <w:tcPr>
            <w:tcW w:w="1417" w:type="dxa"/>
            <w:shd w:val="clear" w:color="auto" w:fill="auto"/>
            <w:noWrap/>
            <w:vAlign w:val="bottom"/>
            <w:hideMark/>
          </w:tcPr>
          <w:p w14:paraId="61C2B30D"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12</w:t>
            </w:r>
          </w:p>
        </w:tc>
        <w:tc>
          <w:tcPr>
            <w:tcW w:w="1487" w:type="dxa"/>
            <w:shd w:val="clear" w:color="auto" w:fill="auto"/>
            <w:noWrap/>
            <w:vAlign w:val="bottom"/>
            <w:hideMark/>
          </w:tcPr>
          <w:p w14:paraId="055BE2DA"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1FF62AD7" w14:textId="77777777" w:rsidTr="00315655">
        <w:trPr>
          <w:trHeight w:val="320"/>
        </w:trPr>
        <w:tc>
          <w:tcPr>
            <w:tcW w:w="2238" w:type="dxa"/>
            <w:shd w:val="clear" w:color="auto" w:fill="auto"/>
            <w:noWrap/>
            <w:vAlign w:val="bottom"/>
            <w:hideMark/>
          </w:tcPr>
          <w:p w14:paraId="5EAB5AA1"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Toohey</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{"citationItems":[{"id":"ITEM-1","itemData":{"DOI":"http://dx.doi.org/10.1016/j.agee.2006.05.002","ISSN":"0167-8809","abstract":"In West Africa policies for prescribed early fire and livestock grazing in the savanna woodlands are rarely based on long-term experimental studies. The inherently different management characteristics and their effects on the vegetation dynamics make landscape degradation a contentious issue. The effects of grazing intensity were investigated by a comparison of non-grazed areas, lightly grazed areas, moderately grazed areas, heavily grazed areas and very heavily grazed areas that received one of two fire treatments: early burning and fire protection in a long-term 12-year study. The parameters assessed reflected changes in herbaceous plant cover, biomass as well as soil physical and hydrological properties. The main findings were by and large specific for the grazing level. This supports the argument for devolution of management responsibility to the local level where there is indigenous site-specific knowledge but at the same time insufficient management capacity. A comparison of composite soil samples taken at a depth of 0–10 cm did not differentiate significantly between treatments. This is probably because the composite soil sampling procedure hid the properties of the top first few centimeters. Grazing pressure had a tendency to reduce total above ground biomass (p = 0.081). This was related to increased biomass removal and the trampling pressure (static load) exerted by the animals. The infiltration measurements indicated that the deleterious impact of cattle trampling increased as stocking rate increased. Livestock grazing significantly (p = 0.038) lowered the infiltrability. Prescribed early fire had a tendency (p = 0.073) to reduce the soil water infiltration rate. The subplots subjected to prescribed burning had a lower steady state infiltration rate compared to unburnt areas (means of 49.2 ± 27.5 mm h−1 versus 78 ± 70.5 mm h−1 for burnt and unburnt subplots, respectively). A partial least squares projection to latent structures showed that 34% of the steady state infiltrability was explained by the stocking rate and soil organic matter. Also all soil characteristics were significantly connected to steady state infiltrability suggesting that they are related to the soil hydrological response to trampling. From a management perspective, adoption of a short duration grazing system should avoid high stocking rates because they may adversely affect soil infiltrability, increase susceptibility to erosion in the savannas and decrease biomass product…","author":[{"dropping-particle":"","family":"Savadogo","given":"Patrice","non-dropping-particle":"","parse-names":false,"suffix":""},{"dropping-particle":"","family":"Sawadogo","given":"Louis","non-dropping-particle":"","parse-names":false,"suffix":""},{"dropping-particle":"","family":"Tiveau","given":"Daniel","non-dropping-particle":"","parse-names":false,"suffix":""}],"container-title":"Agriculture, ecosystems &amp; environment","id":"ITEM-1","issue":"1–4","issued":{"date-parts":[["2007"]]},"page":"80-92","title":"Effects of grazing intensity and prescribed fire on soil physical and hydrological properties and pasture yield in the savanna woodlands of Burkina Faso","type":"article-journal","volume":"118"},"uris":["http://www.mendeley.com/documents/?uuid=18289f83-62ce-4064-84dd-1e1d7827cbcd"]}],"mendeley":{"formattedCitation":"&lt;sup&gt;67&lt;/sup&gt;","plainTextFormattedCitation":"67","previouslyFormattedCitation":"&lt;sup&gt;67&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67</w:t>
            </w:r>
            <w:r w:rsidRPr="00773B70">
              <w:rPr>
                <w:rFonts w:ascii="Times" w:hAnsi="Times" w:cs="Calibri"/>
                <w:color w:val="000000"/>
                <w:sz w:val="20"/>
                <w:szCs w:val="20"/>
              </w:rPr>
              <w:fldChar w:fldCharType="end"/>
            </w:r>
          </w:p>
        </w:tc>
        <w:tc>
          <w:tcPr>
            <w:tcW w:w="1300" w:type="dxa"/>
            <w:shd w:val="clear" w:color="auto" w:fill="auto"/>
            <w:noWrap/>
            <w:vAlign w:val="bottom"/>
            <w:hideMark/>
          </w:tcPr>
          <w:p w14:paraId="6EC0C6C6"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389" w:type="dxa"/>
            <w:shd w:val="clear" w:color="auto" w:fill="auto"/>
            <w:noWrap/>
            <w:vAlign w:val="bottom"/>
            <w:hideMark/>
          </w:tcPr>
          <w:p w14:paraId="74969688"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520" w:type="dxa"/>
            <w:shd w:val="clear" w:color="auto" w:fill="auto"/>
            <w:noWrap/>
            <w:vAlign w:val="bottom"/>
            <w:hideMark/>
          </w:tcPr>
          <w:p w14:paraId="5019E24E"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Australia</w:t>
            </w:r>
          </w:p>
        </w:tc>
        <w:tc>
          <w:tcPr>
            <w:tcW w:w="1417" w:type="dxa"/>
            <w:shd w:val="clear" w:color="auto" w:fill="auto"/>
            <w:noWrap/>
            <w:vAlign w:val="bottom"/>
            <w:hideMark/>
          </w:tcPr>
          <w:p w14:paraId="0C0BB0C4"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20</w:t>
            </w:r>
          </w:p>
        </w:tc>
        <w:tc>
          <w:tcPr>
            <w:tcW w:w="1487" w:type="dxa"/>
            <w:shd w:val="clear" w:color="auto" w:fill="auto"/>
            <w:noWrap/>
            <w:vAlign w:val="bottom"/>
            <w:hideMark/>
          </w:tcPr>
          <w:p w14:paraId="37890E4B"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0.20</w:t>
            </w:r>
          </w:p>
        </w:tc>
      </w:tr>
      <w:tr w:rsidR="0030211E" w:rsidRPr="0056043D" w14:paraId="36356698" w14:textId="77777777" w:rsidTr="00315655">
        <w:trPr>
          <w:trHeight w:val="320"/>
        </w:trPr>
        <w:tc>
          <w:tcPr>
            <w:tcW w:w="2238" w:type="dxa"/>
            <w:shd w:val="clear" w:color="auto" w:fill="auto"/>
            <w:noWrap/>
            <w:vAlign w:val="bottom"/>
            <w:hideMark/>
          </w:tcPr>
          <w:p w14:paraId="41D63A8B"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Ukulinga</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{"citationItems":[{"id":"ITEM-1","itemData":{"DOI":"10.1007/s11104-016-2995-x","ISSN":"1573-5036","abstract":"Changes to soil nutrient concentrations following vegetation fire may affect biogeochemical cycling and foliar stoichiometry. Phosphorus (P)-limited plant communities are widespread and may be particularly sensitive to fire, but have received relatively little research attention in this context.","author":[{"dropping-particle":"","family":"Butler","given":"Orpheus M","non-dropping-particle":"","parse-names":false,"suffix":""},{"dropping-particle":"","family":"Lewis","given":"Tom","non-dropping-particle":"","parse-names":false,"suffix":""},{"dropping-particle":"","family":"Chen","given":"Chengrong","non-dropping-particle":"","parse-names":false,"suffix":""}],"container-title":"Plant and Soil","id":"ITEM-1","issued":{"date-parts":[["2017"]]},"page":"181-191","title":"Prescribed fire alters foliar stoichiometry and nutrient resorption in the understorey of a subtropical eucalypt forest","type":"article-journal","volume":"410"},"uris":["http://www.mendeley.com/documents/?uuid=a059618a-30c0-41ce-a3b2-80af2412b59b"]}],"mendeley":{"formattedCitation":"&lt;sup&gt;68&lt;/sup&gt;","plainTextFormattedCitation":"68","previouslyFormattedCitation":"&lt;sup&gt;68&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68</w:t>
            </w:r>
            <w:r w:rsidRPr="00773B70">
              <w:rPr>
                <w:rFonts w:ascii="Times" w:hAnsi="Times" w:cs="Calibri"/>
                <w:color w:val="000000"/>
                <w:sz w:val="20"/>
                <w:szCs w:val="20"/>
              </w:rPr>
              <w:fldChar w:fldCharType="end"/>
            </w:r>
          </w:p>
        </w:tc>
        <w:tc>
          <w:tcPr>
            <w:tcW w:w="1300" w:type="dxa"/>
            <w:shd w:val="clear" w:color="auto" w:fill="auto"/>
            <w:noWrap/>
            <w:vAlign w:val="bottom"/>
            <w:hideMark/>
          </w:tcPr>
          <w:p w14:paraId="5290C86D"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Savgrass</w:t>
            </w:r>
          </w:p>
        </w:tc>
        <w:tc>
          <w:tcPr>
            <w:tcW w:w="1389" w:type="dxa"/>
            <w:shd w:val="clear" w:color="auto" w:fill="auto"/>
            <w:noWrap/>
            <w:vAlign w:val="bottom"/>
            <w:hideMark/>
          </w:tcPr>
          <w:p w14:paraId="1765E6F3"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Grassland</w:t>
            </w:r>
          </w:p>
        </w:tc>
        <w:tc>
          <w:tcPr>
            <w:tcW w:w="1520" w:type="dxa"/>
            <w:shd w:val="clear" w:color="auto" w:fill="auto"/>
            <w:noWrap/>
            <w:vAlign w:val="bottom"/>
            <w:hideMark/>
          </w:tcPr>
          <w:p w14:paraId="3B59BA97"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Africa</w:t>
            </w:r>
          </w:p>
        </w:tc>
        <w:tc>
          <w:tcPr>
            <w:tcW w:w="1417" w:type="dxa"/>
            <w:shd w:val="clear" w:color="auto" w:fill="auto"/>
            <w:noWrap/>
            <w:vAlign w:val="bottom"/>
            <w:hideMark/>
          </w:tcPr>
          <w:p w14:paraId="7C58032D"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52</w:t>
            </w:r>
          </w:p>
        </w:tc>
        <w:tc>
          <w:tcPr>
            <w:tcW w:w="1487" w:type="dxa"/>
            <w:shd w:val="clear" w:color="auto" w:fill="auto"/>
            <w:noWrap/>
            <w:vAlign w:val="bottom"/>
            <w:hideMark/>
          </w:tcPr>
          <w:p w14:paraId="577ECAC2"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60D17422" w14:textId="77777777" w:rsidTr="00315655">
        <w:trPr>
          <w:trHeight w:val="320"/>
        </w:trPr>
        <w:tc>
          <w:tcPr>
            <w:tcW w:w="2238" w:type="dxa"/>
            <w:shd w:val="clear" w:color="auto" w:fill="auto"/>
            <w:noWrap/>
            <w:vAlign w:val="bottom"/>
            <w:hideMark/>
          </w:tcPr>
          <w:p w14:paraId="39ADA132"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UniversityMissouri</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{"citationItems":[{"id":"ITEM-1","itemData":{"DOI":"http://dx.doi.org/10.1016/S0038-0717(03)00054-3","ISSN":"0038-0717","abstract":"The effects of burning a native grassland on soil organic matter status was investigated on a long-term (50 years) field experiment where different times and frequencies of burning were compared. Significant decreases in organic C were observed only in the surface 0–2 cm layer and only under annual and biennial winter burning and biennial and triennial autumn burning. Burning in spring did not significantly affect organic C content presumably because substantial amounts of litter decomposed and/or were incorporated into the soil by faunal activity prior to burning. Total N content was decreased substantially to a depth of 6 cm by all burning treatments and as a result, the C:N ratio of soil organic matter was widened. In addition, the amount of potentially mineralizable N, as measured by either aerobic incubation or plant N uptake in a pot experiment, was much reduced. Burning also induced a decrease in light fraction and hot water-extractable C in the 0–2 cm layer but an increase in these parameters, and in microbial biomass C and root density, in the 4–10 cm layer. This was attributed to burning causing a decrease in above-ground litter inputs but increased turnover of root material below the surface. Despite the decrease in organic C and total N content with increasing soil depth, potentially mineralizable N showed the opposite trend. This unexpected finding was confirmed at a nearby site under native grassland and contrasted with decreasing potentially mineralizable N with depth which was measured under a fertilized kikuyu grass dairy pasture. The wide C:N ratio of litter from native grassland, in association with the decreasing size and activity of the microbial biomass with depth results in greater N immobilization (thus less net mineralization) occurring in soil samples taken from close to the soil surface.","author":[{"dropping-particle":"","family":"Fynn","given":"R W S","non-dropping-particle":"","parse-names":false,"suffix":""},{"dropping-particle":"","family":"Haynes","given":"R J","non-dropping-particle":"","parse-names":false,"suffix":""},{"dropping-particle":"","family":"O'Connor","given":"T G","non-dropping-particle":"","parse-names":false,"suffix":""}],"container-title":"Soil Biology and Biochemistry","id":"ITEM-1","issue":"5","issued":{"date-parts":[["2003"]]},"page":"677-687","title":"Burning causes long-term changes in soil organic matter content of a South African grassland","type":"article-journal","volume":"35"},"uris":["http://www.mendeley.com/documents/?uuid=5d20a9bd-53e6-47af-8a78-8ff28f191bac"]}],"mendeley":{"formattedCitation":"&lt;sup&gt;69&lt;/sup&gt;","plainTextFormattedCitation":"69","previouslyFormattedCitation":"&lt;sup&gt;69&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69</w:t>
            </w:r>
            <w:r w:rsidRPr="00773B70">
              <w:rPr>
                <w:rFonts w:ascii="Times" w:hAnsi="Times" w:cs="Calibri"/>
                <w:color w:val="000000"/>
                <w:sz w:val="20"/>
                <w:szCs w:val="20"/>
              </w:rPr>
              <w:fldChar w:fldCharType="end"/>
            </w:r>
          </w:p>
        </w:tc>
        <w:tc>
          <w:tcPr>
            <w:tcW w:w="1300" w:type="dxa"/>
            <w:shd w:val="clear" w:color="auto" w:fill="auto"/>
            <w:noWrap/>
            <w:vAlign w:val="bottom"/>
            <w:hideMark/>
          </w:tcPr>
          <w:p w14:paraId="550DDC0C"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389" w:type="dxa"/>
            <w:shd w:val="clear" w:color="auto" w:fill="auto"/>
            <w:noWrap/>
            <w:vAlign w:val="bottom"/>
            <w:hideMark/>
          </w:tcPr>
          <w:p w14:paraId="0FBF8CE2"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520" w:type="dxa"/>
            <w:shd w:val="clear" w:color="auto" w:fill="auto"/>
            <w:noWrap/>
            <w:vAlign w:val="bottom"/>
            <w:hideMark/>
          </w:tcPr>
          <w:p w14:paraId="428C6962"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NorthAmerica</w:t>
            </w:r>
          </w:p>
        </w:tc>
        <w:tc>
          <w:tcPr>
            <w:tcW w:w="1417" w:type="dxa"/>
            <w:shd w:val="clear" w:color="auto" w:fill="auto"/>
            <w:noWrap/>
            <w:vAlign w:val="bottom"/>
            <w:hideMark/>
          </w:tcPr>
          <w:p w14:paraId="1FB39FAF"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45</w:t>
            </w:r>
          </w:p>
        </w:tc>
        <w:tc>
          <w:tcPr>
            <w:tcW w:w="1487" w:type="dxa"/>
            <w:shd w:val="clear" w:color="auto" w:fill="auto"/>
            <w:noWrap/>
            <w:vAlign w:val="bottom"/>
            <w:hideMark/>
          </w:tcPr>
          <w:p w14:paraId="4901B033"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3CE44059" w14:textId="77777777" w:rsidTr="00315655">
        <w:trPr>
          <w:trHeight w:val="320"/>
        </w:trPr>
        <w:tc>
          <w:tcPr>
            <w:tcW w:w="2238" w:type="dxa"/>
            <w:shd w:val="clear" w:color="auto" w:fill="auto"/>
            <w:noWrap/>
            <w:vAlign w:val="bottom"/>
            <w:hideMark/>
          </w:tcPr>
          <w:p w14:paraId="5E6133DC"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Valencia</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{"citationItems":[{"id":"ITEM-1","itemData":{"ISSN":"0045-5067","author":[{"dropping-particle":"","family":"Eivazi","given":"F","non-dropping-particle":"","parse-names":false,"suffix":""},{"dropping-particle":"","family":"Bayan","given":"M R","non-dropping-particle":"","parse-names":false,"suffix":""}],"container-title":"Canadian Journal of Forest Research","id":"ITEM-1","issue":"10","issued":{"date-parts":[["1996"]]},"page":"1799-1804","title":"Effects of long-term prescribed burning on the activity of select soil enzymes in an oak-hickory forest","type":"article-journal","volume":"26"},"uris":["http://www.mendeley.com/documents/?uuid=069553a7-9044-35b9-a1ba-938a131a2810"]}],"mendeley":{"formattedCitation":"&lt;sup&gt;70&lt;/sup&gt;","plainTextFormattedCitation":"70","previouslyFormattedCitation":"&lt;sup&gt;70&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70</w:t>
            </w:r>
            <w:r w:rsidRPr="00773B70">
              <w:rPr>
                <w:rFonts w:ascii="Times" w:hAnsi="Times" w:cs="Calibri"/>
                <w:color w:val="000000"/>
                <w:sz w:val="20"/>
                <w:szCs w:val="20"/>
              </w:rPr>
              <w:fldChar w:fldCharType="end"/>
            </w:r>
          </w:p>
        </w:tc>
        <w:tc>
          <w:tcPr>
            <w:tcW w:w="1300" w:type="dxa"/>
            <w:shd w:val="clear" w:color="auto" w:fill="auto"/>
            <w:noWrap/>
            <w:vAlign w:val="bottom"/>
            <w:hideMark/>
          </w:tcPr>
          <w:p w14:paraId="520F7442"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Needleleaf</w:t>
            </w:r>
          </w:p>
        </w:tc>
        <w:tc>
          <w:tcPr>
            <w:tcW w:w="1389" w:type="dxa"/>
            <w:shd w:val="clear" w:color="auto" w:fill="auto"/>
            <w:noWrap/>
            <w:vAlign w:val="bottom"/>
            <w:hideMark/>
          </w:tcPr>
          <w:p w14:paraId="35EBF30D"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Shrub</w:t>
            </w:r>
          </w:p>
        </w:tc>
        <w:tc>
          <w:tcPr>
            <w:tcW w:w="1520" w:type="dxa"/>
            <w:shd w:val="clear" w:color="auto" w:fill="auto"/>
            <w:noWrap/>
            <w:vAlign w:val="bottom"/>
            <w:hideMark/>
          </w:tcPr>
          <w:p w14:paraId="37D802DA"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Europe</w:t>
            </w:r>
          </w:p>
        </w:tc>
        <w:tc>
          <w:tcPr>
            <w:tcW w:w="1417" w:type="dxa"/>
            <w:shd w:val="clear" w:color="auto" w:fill="auto"/>
            <w:noWrap/>
            <w:vAlign w:val="bottom"/>
            <w:hideMark/>
          </w:tcPr>
          <w:p w14:paraId="74F249D2"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28</w:t>
            </w:r>
          </w:p>
        </w:tc>
        <w:tc>
          <w:tcPr>
            <w:tcW w:w="1487" w:type="dxa"/>
            <w:shd w:val="clear" w:color="auto" w:fill="auto"/>
            <w:noWrap/>
            <w:vAlign w:val="bottom"/>
            <w:hideMark/>
          </w:tcPr>
          <w:p w14:paraId="0E06FB52"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0.11</w:t>
            </w:r>
          </w:p>
        </w:tc>
      </w:tr>
      <w:tr w:rsidR="0030211E" w:rsidRPr="0056043D" w14:paraId="5CB9D273" w14:textId="77777777" w:rsidTr="00315655">
        <w:trPr>
          <w:trHeight w:val="320"/>
        </w:trPr>
        <w:tc>
          <w:tcPr>
            <w:tcW w:w="2238" w:type="dxa"/>
            <w:shd w:val="clear" w:color="auto" w:fill="auto"/>
            <w:noWrap/>
            <w:vAlign w:val="bottom"/>
            <w:hideMark/>
          </w:tcPr>
          <w:p w14:paraId="1B855BB8"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Varzea</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{"citationItems":[{"id":"ITEM-1","itemData":{"DOI":"http://dx.doi.org/10.1016/j.scitotenv.2016.03.243","ISSN":"0048-9697","author":[{"dropping-particle":"","family":"Mayor","given":"A G","non-dropping-particle":"","parse-names":false,"suffix":""},{"dropping-particle":"","family":"Valdecantos","given":"A","non-dropping-particle":"","parse-names":false,"suffix":""},{"dropping-particle":"","family":"Vallejo","given":"V R","non-dropping-particle":"","parse-names":false,"suffix":""},{"dropping-particle":"","family":"Keizer","given":"J J","non-dropping-particle":"","parse-names":false,"suffix":""},{"dropping-particle":"","family":"Bloem","given":"J","non-dropping-particle":"","parse-names":false,"suffix":""},{"dropping-particle":"","family":"Baeza","given":"J","non-dropping-particle":"","parse-names":false,"suffix":""},{"dropping-particle":"","family":"González-Pelayo","given":"O","non-dropping-particle":"","parse-names":false,"suffix":""},{"dropping-particle":"","family":"Machado","given":"A I","non-dropping-particle":"","parse-names":false,"suffix":""},{"dropping-particle":"","family":"Ruiter","given":"P C","non-dropping-particle":"de","parse-names":false,"suffix":""}],"container-title":"Science of The Total Environment","id":"ITEM-1","issue":"1232-1241","issued":{"date-parts":[["2016"]]},"title":"Fire-induced pine woodland to shrubland transitions in Southern Europe may promote shifts in soil fertility","type":"article-journal","volume":"573"},"uris":["http://www.mendeley.com/documents/?uuid=0dfcab0a-dbae-46da-a917-a0417e08441c"]}],"mendeley":{"formattedCitation":"&lt;sup&gt;71&lt;/sup&gt;","plainTextFormattedCitation":"71","previouslyFormattedCitation":"&lt;sup&gt;71&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71</w:t>
            </w:r>
            <w:r w:rsidRPr="00773B70">
              <w:rPr>
                <w:rFonts w:ascii="Times" w:hAnsi="Times" w:cs="Calibri"/>
                <w:color w:val="000000"/>
                <w:sz w:val="20"/>
                <w:szCs w:val="20"/>
              </w:rPr>
              <w:fldChar w:fldCharType="end"/>
            </w:r>
          </w:p>
        </w:tc>
        <w:tc>
          <w:tcPr>
            <w:tcW w:w="1300" w:type="dxa"/>
            <w:shd w:val="clear" w:color="auto" w:fill="auto"/>
            <w:noWrap/>
            <w:vAlign w:val="bottom"/>
            <w:hideMark/>
          </w:tcPr>
          <w:p w14:paraId="661C5CF6"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Needleleaf</w:t>
            </w:r>
          </w:p>
        </w:tc>
        <w:tc>
          <w:tcPr>
            <w:tcW w:w="1389" w:type="dxa"/>
            <w:shd w:val="clear" w:color="auto" w:fill="auto"/>
            <w:noWrap/>
            <w:vAlign w:val="bottom"/>
            <w:hideMark/>
          </w:tcPr>
          <w:p w14:paraId="69272F4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Shrub</w:t>
            </w:r>
          </w:p>
        </w:tc>
        <w:tc>
          <w:tcPr>
            <w:tcW w:w="1520" w:type="dxa"/>
            <w:shd w:val="clear" w:color="auto" w:fill="auto"/>
            <w:noWrap/>
            <w:vAlign w:val="bottom"/>
            <w:hideMark/>
          </w:tcPr>
          <w:p w14:paraId="1F4D451B"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Europe</w:t>
            </w:r>
          </w:p>
        </w:tc>
        <w:tc>
          <w:tcPr>
            <w:tcW w:w="1417" w:type="dxa"/>
            <w:shd w:val="clear" w:color="auto" w:fill="auto"/>
            <w:noWrap/>
            <w:vAlign w:val="bottom"/>
            <w:hideMark/>
          </w:tcPr>
          <w:p w14:paraId="7260EAE2"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34</w:t>
            </w:r>
          </w:p>
        </w:tc>
        <w:tc>
          <w:tcPr>
            <w:tcW w:w="1487" w:type="dxa"/>
            <w:shd w:val="clear" w:color="auto" w:fill="auto"/>
            <w:noWrap/>
            <w:vAlign w:val="bottom"/>
            <w:hideMark/>
          </w:tcPr>
          <w:p w14:paraId="0B1FC449"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0.12</w:t>
            </w:r>
          </w:p>
        </w:tc>
      </w:tr>
      <w:tr w:rsidR="0030211E" w:rsidRPr="0056043D" w14:paraId="72CE9A03" w14:textId="77777777" w:rsidTr="00315655">
        <w:trPr>
          <w:trHeight w:val="320"/>
        </w:trPr>
        <w:tc>
          <w:tcPr>
            <w:tcW w:w="2238" w:type="dxa"/>
            <w:shd w:val="clear" w:color="auto" w:fill="auto"/>
            <w:noWrap/>
            <w:vAlign w:val="bottom"/>
            <w:hideMark/>
          </w:tcPr>
          <w:p w14:paraId="5FCB6CE1"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WesternAU</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{"citationItems":[{"id":"ITEM-1","itemData":{"DOI":"http://dx.doi.org/10.1016/j.scitotenv.2016.03.243","ISSN":"0048-9697","author":[{"dropping-particle":"","family":"Mayor","given":"A G","non-dropping-particle":"","parse-names":false,"suffix":""},{"dropping-particle":"","family":"Valdecantos","given":"A","non-dropping-particle":"","parse-names":false,"suffix":""},{"dropping-particle":"","family":"Vallejo","given":"V R","non-dropping-particle":"","parse-names":false,"suffix":""},{"dropping-particle":"","family":"Keizer","given":"J J","non-dropping-particle":"","parse-names":false,"suffix":""},{"dropping-particle":"","family":"Bloem","given":"J","non-dropping-particle":"","parse-names":false,"suffix":""},{"dropping-particle":"","family":"Baeza","given":"J","non-dropping-particle":"","parse-names":false,"suffix":""},{"dropping-particle":"","family":"González-Pelayo","given":"O","non-dropping-particle":"","parse-names":false,"suffix":""},{"dropping-particle":"","family":"Machado","given":"A I","non-dropping-particle":"","parse-names":false,"suffix":""},{"dropping-particle":"","family":"Ruiter","given":"P C","non-dropping-particle":"de","parse-names":false,"suffix":""}],"container-title":"Science of The Total Environment","id":"ITEM-1","issue":"1232-1241","issued":{"date-parts":[["2016"]]},"title":"Fire-induced pine woodland to shrubland transitions in Southern Europe may promote shifts in soil fertility","type":"article-journal","volume":"573"},"uris":["http://www.mendeley.com/documents/?uuid=0dfcab0a-dbae-46da-a917-a0417e08441c"]}],"mendeley":{"formattedCitation":"&lt;sup&gt;71&lt;/sup&gt;","plainTextFormattedCitation":"71","previouslyFormattedCitation":"&lt;sup&gt;71&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71</w:t>
            </w:r>
            <w:r w:rsidRPr="00773B70">
              <w:rPr>
                <w:rFonts w:ascii="Times" w:hAnsi="Times" w:cs="Calibri"/>
                <w:color w:val="000000"/>
                <w:sz w:val="20"/>
                <w:szCs w:val="20"/>
              </w:rPr>
              <w:fldChar w:fldCharType="end"/>
            </w:r>
          </w:p>
        </w:tc>
        <w:tc>
          <w:tcPr>
            <w:tcW w:w="1300" w:type="dxa"/>
            <w:shd w:val="clear" w:color="auto" w:fill="auto"/>
            <w:noWrap/>
            <w:vAlign w:val="bottom"/>
            <w:hideMark/>
          </w:tcPr>
          <w:p w14:paraId="1A1CCB2F"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389" w:type="dxa"/>
            <w:shd w:val="clear" w:color="auto" w:fill="auto"/>
            <w:noWrap/>
            <w:vAlign w:val="bottom"/>
            <w:hideMark/>
          </w:tcPr>
          <w:p w14:paraId="5DAB7C93"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520" w:type="dxa"/>
            <w:shd w:val="clear" w:color="auto" w:fill="auto"/>
            <w:noWrap/>
            <w:vAlign w:val="bottom"/>
            <w:hideMark/>
          </w:tcPr>
          <w:p w14:paraId="16D6FD9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Australia</w:t>
            </w:r>
          </w:p>
        </w:tc>
        <w:tc>
          <w:tcPr>
            <w:tcW w:w="1417" w:type="dxa"/>
            <w:shd w:val="clear" w:color="auto" w:fill="auto"/>
            <w:noWrap/>
            <w:vAlign w:val="bottom"/>
            <w:hideMark/>
          </w:tcPr>
          <w:p w14:paraId="50CAD900"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36</w:t>
            </w:r>
          </w:p>
        </w:tc>
        <w:tc>
          <w:tcPr>
            <w:tcW w:w="1487" w:type="dxa"/>
            <w:shd w:val="clear" w:color="auto" w:fill="auto"/>
            <w:noWrap/>
            <w:vAlign w:val="bottom"/>
            <w:hideMark/>
          </w:tcPr>
          <w:p w14:paraId="10F3C4B9"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0.10</w:t>
            </w:r>
          </w:p>
        </w:tc>
      </w:tr>
      <w:tr w:rsidR="0030211E" w:rsidRPr="0056043D" w14:paraId="2294552B" w14:textId="77777777" w:rsidTr="00315655">
        <w:trPr>
          <w:trHeight w:val="320"/>
        </w:trPr>
        <w:tc>
          <w:tcPr>
            <w:tcW w:w="2238" w:type="dxa"/>
            <w:shd w:val="clear" w:color="auto" w:fill="auto"/>
            <w:noWrap/>
            <w:vAlign w:val="bottom"/>
            <w:hideMark/>
          </w:tcPr>
          <w:p w14:paraId="7AF756C1"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WetPeachester</w:t>
            </w:r>
            <w:r w:rsidRPr="00773B70">
              <w:rPr>
                <w:rFonts w:ascii="Times" w:hAnsi="Times"/>
                <w:sz w:val="20"/>
                <w:szCs w:val="20"/>
              </w:rPr>
              <w:fldChar w:fldCharType="begin" w:fldLock="1"/>
            </w:r>
            <w:r>
              <w:rPr>
                <w:rFonts w:ascii="Times" w:hAnsi="Times"/>
                <w:sz w:val="20"/>
                <w:szCs w:val="20"/>
              </w:rPr>
              <w:instrText>ADDIN CSL_CITATION {"citationItems":[{"id":"ITEM-1","itemData":{"DOI":"http://dx.doi.org/10.1016/j.foreco.2011.03.025","ISSN":"0378-1127","abstract":"Fire regimes in temperate forests and woodlands have changed significantly in Australia since European settlement. We hypothesised that an absence of fire leads to the increased development of woody understorey/midstorey and that this may be correlated with decreased water and/or nutrient availability in overstorey temperate eucalypts currently declining in health. Sites with a history of being long unburnt or recently (and frequently in the case of Eucalyptus gomphocephala woodland) burnt (relative to median fire intervals for the vegetation type) were established in E. gomphocephala woodland in Western Australia and in Eucalyptus delegatensis forest in Tasmania. In long unburnt sites in both E. gomphocephala woodland and E. delegatensis forest, there was greater percent cover of understorey/midstorey and eucalypts had higher water use efficiency, indicative of greater soil water limitation, as estimated by foliar carbon isotope ratios. In E. gomphocephala woodland foliar Cu and Zn were significantly lower in eucalypts of long unburnt, relative to frequently burnt, sites. In E. gomphocephala woodland, understorey/midstorey (shrub) cover was positively correlated, and foliar copper and zinc levels were negatively correlated to health of overstorey trees. In E. delegatensis forest foliar phosphorus (P) was significantly lower in eucalypts of long unburnt, relative to recently burnt, sites. In E. delegatensis forest moss cover was positively correlated and foliar P was negatively correlated to health of overstorey trees. The understorey/midstorey that develops in the long absence of fire may alter ecological processes that lead to less favourable water- and nutrient-relations in E. gomphocephala woodland and E. delegatensis forest that are associated with decline in crown health. However this study does not definitively show a link between understorey/midstorey vegetation and overstorey tree water- and nutrient-relations. This link will be investigated in future research.","author":[{"dropping-particle":"","family":"Close","given":"Dugald C","non-dropping-particle":"","parse-names":false,"suffix":""},{"dropping-particle":"","family":"Davidson","given":"Neil J","non-dropping-particle":"","parse-names":false,"suffix":""},{"dropping-particle":"","family":"Swanborough","given":"Perry W","non-dropping-particle":"","parse-names":false,"suffix":""}],"container-title":"Forest Ecology and Management","id":"ITEM-1","issue":"2","issued":{"date-parts":[["2011"]]},"page":"208-214","title":"Fire history and understorey vegetation: water and nutrient relations of Eucalyptus gomphocephala and E. delegatensis overstorey trees","type":"article-journal","volume":"262"},"uris":["http://www.mendeley.com/documents/?uuid=c68e79ff-25a5-4c4a-aa86-b32fe4a849a5"]},{"id":"ITEM-2","itemData":{"DOI":"10.1007/s11104-011-0862-3","ISSN":"1573-5036","abstract":"The objective of this study was to investigate how the management practices of prescribed fire and understorey vegetation removal affect water and nutrient relations of old, yet prematurely declining Eucalyptus gomphocephala. Long unburnt sites were established in Yalgorup National Park, Western Australia, adjacent to frequently burnt state forest sites. Trees were allocated to vegetation clearing, prescribed fire or no prescribed fire treatments. Prescribed fire was achieved in only one long unburnt national park site so that the results were pseudoreplicated but analysed accordingly. Soil chemistry, plant nutrient availability and tree foliar carbon and nitrogen isotope ratio and nutrient concentration were investigated. No effects of vegetation clearing were found. Prescribed fire sites were associated with sky exposure and bare ground whereas no prescribed fire sites were associated with shrub and litter cover and litter depth. Foliar carbon isotope ratios were significantly more negative in prescribed fire, relative to no prescribed fire, treatments on long unburnt sites. Soil exchangeable Zn and Mn and plant available (estimated by charged resin beads) Mg were higher on prescribed fire, relative to no prescribed fire, long unburnt sites. Seedling bioassays indicated elevated P and Cu availability on prescribed fire, relative to no prescribed fire, treatments. In overstorey E. gomphocephala, foliar N levels were elevated (but not to excessive levels), and there was a trend toward elevated foliar Mn, in prescribed fire relative to no prescribed fire treatments on long unburnt sites. In the context of our large-scale pseudoreplicated case study, prescribed fire provided a pulse of water and N, (with some indications towards provision of elevated Mn, Cu and Mg) availability to E. gomphocephala in decline on sites with a history of a long absence of fire that may in part underpin observations of elevated tree health on sites that have a history of relatively frequent fire.","author":[{"dropping-particle":"","family":"Close","given":"Dugald C","non-dropping-particle":"","parse-names":false,"suffix":""},{"dropping-particle":"","family":"Davidson","given":"Neil J","non-dropping-particle":"","parse-names":false,"suffix":""},{"dropping-particle":"","family":"Swanborough","given":"Perry W","non-dropping-particle":"","parse-names":false,"suffix":""},{"dropping-particle":"","family":"Corkrey","given":"Ross","non-dropping-particle":"","parse-names":false,"suffix":""}],"container-title":"Plant and Soil","id":"ITEM-2","issue":"1","issued":{"date-parts":[["2011"]]},"page":"203-214","title":"Does low-intensity surface fire increase water- and nutrient-availability to overstorey Eucalyptus gomphocephala?","type":"article-journal","volume":"349"},"uris":["http://www.mendeley.com/documents/?uuid=415bd468-cca3-4665-89c9-f0f6d8ba3a8b"]}],"mendeley":{"formattedCitation":"&lt;sup&gt;72,73&lt;/sup&gt;","plainTextFormattedCitation":"72,73","previouslyFormattedCitation":"&lt;sup&gt;72,73&lt;/sup&gt;"},"properties":{"noteIndex":0},"schema":"https://github.com/citation-style-language/schema/raw/master/csl-citation.json"}</w:instrText>
            </w:r>
            <w:r w:rsidRPr="00773B70">
              <w:rPr>
                <w:rFonts w:ascii="Times" w:hAnsi="Times"/>
                <w:sz w:val="20"/>
                <w:szCs w:val="20"/>
              </w:rPr>
              <w:fldChar w:fldCharType="separate"/>
            </w:r>
            <w:r w:rsidRPr="008333C1">
              <w:rPr>
                <w:rFonts w:ascii="Times" w:hAnsi="Times"/>
                <w:noProof/>
                <w:sz w:val="20"/>
                <w:szCs w:val="20"/>
                <w:vertAlign w:val="superscript"/>
              </w:rPr>
              <w:t>72,73</w:t>
            </w:r>
            <w:r w:rsidRPr="00773B70">
              <w:rPr>
                <w:rFonts w:ascii="Times" w:hAnsi="Times"/>
                <w:sz w:val="20"/>
                <w:szCs w:val="20"/>
              </w:rPr>
              <w:fldChar w:fldCharType="end"/>
            </w:r>
          </w:p>
        </w:tc>
        <w:tc>
          <w:tcPr>
            <w:tcW w:w="1300" w:type="dxa"/>
            <w:shd w:val="clear" w:color="auto" w:fill="auto"/>
            <w:noWrap/>
            <w:vAlign w:val="bottom"/>
            <w:hideMark/>
          </w:tcPr>
          <w:p w14:paraId="7DC8191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389" w:type="dxa"/>
            <w:shd w:val="clear" w:color="auto" w:fill="auto"/>
            <w:noWrap/>
            <w:vAlign w:val="bottom"/>
            <w:hideMark/>
          </w:tcPr>
          <w:p w14:paraId="007714EC"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520" w:type="dxa"/>
            <w:shd w:val="clear" w:color="auto" w:fill="auto"/>
            <w:noWrap/>
            <w:vAlign w:val="bottom"/>
            <w:hideMark/>
          </w:tcPr>
          <w:p w14:paraId="736A5090"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Australia</w:t>
            </w:r>
          </w:p>
        </w:tc>
        <w:tc>
          <w:tcPr>
            <w:tcW w:w="1417" w:type="dxa"/>
            <w:shd w:val="clear" w:color="auto" w:fill="auto"/>
            <w:noWrap/>
            <w:vAlign w:val="bottom"/>
            <w:hideMark/>
          </w:tcPr>
          <w:p w14:paraId="50A1924F"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47</w:t>
            </w:r>
          </w:p>
        </w:tc>
        <w:tc>
          <w:tcPr>
            <w:tcW w:w="1487" w:type="dxa"/>
            <w:shd w:val="clear" w:color="auto" w:fill="auto"/>
            <w:noWrap/>
            <w:vAlign w:val="bottom"/>
            <w:hideMark/>
          </w:tcPr>
          <w:p w14:paraId="6176B897"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1.00</w:t>
            </w:r>
          </w:p>
        </w:tc>
      </w:tr>
      <w:tr w:rsidR="0030211E" w:rsidRPr="0056043D" w14:paraId="7DA52E77" w14:textId="77777777" w:rsidTr="00315655">
        <w:trPr>
          <w:trHeight w:val="320"/>
        </w:trPr>
        <w:tc>
          <w:tcPr>
            <w:tcW w:w="2238" w:type="dxa"/>
            <w:shd w:val="clear" w:color="auto" w:fill="auto"/>
            <w:noWrap/>
            <w:vAlign w:val="bottom"/>
            <w:hideMark/>
          </w:tcPr>
          <w:p w14:paraId="2F942412"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Yackelup</w:t>
            </w:r>
            <w:r w:rsidRPr="00773B70">
              <w:rPr>
                <w:rFonts w:ascii="Times" w:hAnsi="Times" w:cs="Calibri"/>
                <w:color w:val="000000"/>
                <w:sz w:val="20"/>
                <w:szCs w:val="20"/>
              </w:rPr>
              <w:fldChar w:fldCharType="begin" w:fldLock="1"/>
            </w:r>
            <w:r>
              <w:rPr>
                <w:rFonts w:ascii="Times" w:hAnsi="Times" w:cs="Calibri"/>
                <w:color w:val="000000"/>
                <w:sz w:val="20"/>
                <w:szCs w:val="20"/>
              </w:rPr>
              <w:instrText>ADDIN CSL_CITATION {"citationItems":[{"id":"ITEM-1","itemData":{"DOI":"10.1002/ecy.2732","ISSN":"0012-9658","abstract":"Decadal-scale increases in fire frequency have the potential to deplete ecosystems of essential nutrients and consequently impede nutrient-limited biological processes via stoichiometric imbalance. Decomposition, a fundamental ecosystem function and strong driver of future fire occurrence, is highly sensitive to nutrient availability and is, therefore, particularly important in this context. Here we show that 40 yr of quadrennial (4yB) and biennial (2yB) prescribed burning result in severely P- and N-depleted litter stoichiometry, respectively, relative to fire exclusion. These effects exacerbated the nutrient limitation of microbial activities, constraining litter decomposition by 42.1% (4yB) and 23.6% (2yB) relative to unburned areas. However, invertebrate-driven decomposition largely compensated for the diminished capacity of micro-organisms under 4yB, suggesting that invertebrates could have an important stabilizing influence in fire-affected ecosystems. This effect was strongly positively coupled with the strength of microbial P-limitation and was not obviously or directly driven by fire regime-induced changes in invertebrate community assemblage. Together, our results reveal that high-frequency fire regimes promote nutrient-poor, carbon-rich ecosystem stoichiometry and, in doing so, disrupt ecosystem processes and modify the relative functionality of micro-organisms and invertebrates.","author":[{"dropping-particle":"","family":"Butler","given":"Orpheus M.","non-dropping-particle":"","parse-names":false,"suffix":""},{"dropping-particle":"","family":"Lewis","given":"Tom","non-dropping-particle":"","parse-names":false,"suffix":""},{"dropping-particle":"","family":"Rezaei Rashti","given":"Mehran","non-dropping-particle":"","parse-names":false,"suffix":""},{"dropping-particle":"","family":"Maunsell","given":"Sarah C.","non-dropping-particle":"","parse-names":false,"suffix":""},{"dropping-particle":"","family":"Elser","given":"James J.","non-dropping-particle":"","parse-names":false,"suffix":""},{"dropping-particle":"","family":"Chen","given":"Chengrong","non-dropping-particle":"","parse-names":false,"suffix":""}],"container-title":"Ecology","id":"ITEM-1","issue":"7","issued":{"date-parts":[["2019","7","9"]]},"publisher":"Ecological Society of America","title":"The stoichiometric legacy of fire regime regulates the roles of micro‐organisms and invertebrates in decomposition","type":"article-journal","volume":"100"},"uris":["http://www.mendeley.com/documents/?uuid=6ae91282-d2c9-347f-80e6-075e25878613"]}],"mendeley":{"formattedCitation":"&lt;sup&gt;74&lt;/sup&gt;","plainTextFormattedCitation":"74","previouslyFormattedCitation":"&lt;sup&gt;74&lt;/sup&gt;"},"properties":{"noteIndex":0},"schema":"https://github.com/citation-style-language/schema/raw/master/csl-citation.json"}</w:instrText>
            </w:r>
            <w:r w:rsidRPr="00773B70">
              <w:rPr>
                <w:rFonts w:ascii="Times" w:hAnsi="Times" w:cs="Calibri"/>
                <w:color w:val="000000"/>
                <w:sz w:val="20"/>
                <w:szCs w:val="20"/>
              </w:rPr>
              <w:fldChar w:fldCharType="separate"/>
            </w:r>
            <w:r w:rsidRPr="008333C1">
              <w:rPr>
                <w:rFonts w:ascii="Times" w:hAnsi="Times" w:cs="Calibri"/>
                <w:noProof/>
                <w:color w:val="000000"/>
                <w:sz w:val="20"/>
                <w:szCs w:val="20"/>
                <w:vertAlign w:val="superscript"/>
              </w:rPr>
              <w:t>74</w:t>
            </w:r>
            <w:r w:rsidRPr="00773B70">
              <w:rPr>
                <w:rFonts w:ascii="Times" w:hAnsi="Times" w:cs="Calibri"/>
                <w:color w:val="000000"/>
                <w:sz w:val="20"/>
                <w:szCs w:val="20"/>
              </w:rPr>
              <w:fldChar w:fldCharType="end"/>
            </w:r>
          </w:p>
        </w:tc>
        <w:tc>
          <w:tcPr>
            <w:tcW w:w="1300" w:type="dxa"/>
            <w:shd w:val="clear" w:color="auto" w:fill="auto"/>
            <w:noWrap/>
            <w:vAlign w:val="bottom"/>
            <w:hideMark/>
          </w:tcPr>
          <w:p w14:paraId="61388B06"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389" w:type="dxa"/>
            <w:shd w:val="clear" w:color="auto" w:fill="auto"/>
            <w:noWrap/>
            <w:vAlign w:val="bottom"/>
            <w:hideMark/>
          </w:tcPr>
          <w:p w14:paraId="513A3FC4"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Broadleaf</w:t>
            </w:r>
          </w:p>
        </w:tc>
        <w:tc>
          <w:tcPr>
            <w:tcW w:w="1520" w:type="dxa"/>
            <w:shd w:val="clear" w:color="auto" w:fill="auto"/>
            <w:noWrap/>
            <w:vAlign w:val="bottom"/>
            <w:hideMark/>
          </w:tcPr>
          <w:p w14:paraId="42AD3332" w14:textId="77777777" w:rsidR="0030211E" w:rsidRPr="00773B70" w:rsidRDefault="0030211E" w:rsidP="00315655">
            <w:pPr>
              <w:rPr>
                <w:rFonts w:ascii="Times" w:hAnsi="Times" w:cs="Calibri"/>
                <w:color w:val="000000"/>
                <w:sz w:val="20"/>
                <w:szCs w:val="20"/>
              </w:rPr>
            </w:pPr>
            <w:r w:rsidRPr="00773B70">
              <w:rPr>
                <w:rFonts w:ascii="Times" w:hAnsi="Times" w:cs="Calibri"/>
                <w:color w:val="000000"/>
                <w:sz w:val="20"/>
                <w:szCs w:val="20"/>
              </w:rPr>
              <w:t>Australia</w:t>
            </w:r>
          </w:p>
        </w:tc>
        <w:tc>
          <w:tcPr>
            <w:tcW w:w="1417" w:type="dxa"/>
            <w:shd w:val="clear" w:color="auto" w:fill="auto"/>
            <w:noWrap/>
            <w:vAlign w:val="bottom"/>
            <w:hideMark/>
          </w:tcPr>
          <w:p w14:paraId="0991DBB6"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21</w:t>
            </w:r>
          </w:p>
        </w:tc>
        <w:tc>
          <w:tcPr>
            <w:tcW w:w="1487" w:type="dxa"/>
            <w:shd w:val="clear" w:color="auto" w:fill="auto"/>
            <w:noWrap/>
            <w:vAlign w:val="bottom"/>
            <w:hideMark/>
          </w:tcPr>
          <w:p w14:paraId="3BA680BA" w14:textId="77777777" w:rsidR="0030211E" w:rsidRPr="00773B70" w:rsidRDefault="0030211E" w:rsidP="00315655">
            <w:pPr>
              <w:jc w:val="right"/>
              <w:rPr>
                <w:rFonts w:ascii="Times" w:hAnsi="Times" w:cs="Calibri"/>
                <w:color w:val="000000"/>
                <w:sz w:val="20"/>
                <w:szCs w:val="20"/>
              </w:rPr>
            </w:pPr>
            <w:r w:rsidRPr="00773B70">
              <w:rPr>
                <w:rFonts w:ascii="Times" w:hAnsi="Times" w:cs="Calibri"/>
                <w:color w:val="000000"/>
                <w:sz w:val="20"/>
                <w:szCs w:val="20"/>
              </w:rPr>
              <w:t>0.19</w:t>
            </w:r>
          </w:p>
        </w:tc>
      </w:tr>
    </w:tbl>
    <w:p w14:paraId="44F495B3" w14:textId="77777777" w:rsidR="0030211E" w:rsidRPr="008A44DB" w:rsidRDefault="0030211E" w:rsidP="0030211E">
      <w:pPr>
        <w:rPr>
          <w:rFonts w:ascii="Times" w:hAnsi="Times"/>
        </w:rPr>
      </w:pPr>
    </w:p>
    <w:p w14:paraId="761FC147" w14:textId="77777777" w:rsidR="0030211E" w:rsidRPr="008A44DB" w:rsidRDefault="0030211E" w:rsidP="0030211E">
      <w:pPr>
        <w:rPr>
          <w:rFonts w:ascii="Times" w:hAnsi="Times"/>
        </w:rPr>
      </w:pPr>
    </w:p>
    <w:p w14:paraId="3B46A50C" w14:textId="77777777" w:rsidR="0030211E" w:rsidRDefault="0030211E" w:rsidP="0030211E">
      <w:pPr>
        <w:rPr>
          <w:rFonts w:ascii="Times" w:hAnsi="Times"/>
        </w:rPr>
      </w:pPr>
      <w:r>
        <w:rPr>
          <w:rFonts w:ascii="Times" w:hAnsi="Times"/>
        </w:rPr>
        <w:br w:type="page"/>
      </w:r>
    </w:p>
    <w:p w14:paraId="203698B3" w14:textId="77777777" w:rsidR="0030211E" w:rsidRPr="008A44DB" w:rsidRDefault="0030211E" w:rsidP="0030211E">
      <w:pPr>
        <w:rPr>
          <w:rFonts w:ascii="Times" w:hAnsi="Times"/>
        </w:rPr>
      </w:pPr>
      <w:r w:rsidRPr="008A44DB">
        <w:rPr>
          <w:rFonts w:ascii="Times" w:hAnsi="Times"/>
        </w:rPr>
        <w:lastRenderedPageBreak/>
        <w:t>Table S</w:t>
      </w:r>
      <w:r>
        <w:rPr>
          <w:rFonts w:ascii="Times" w:hAnsi="Times"/>
        </w:rPr>
        <w:t>2</w:t>
      </w:r>
      <w:r w:rsidRPr="008A44DB">
        <w:rPr>
          <w:rFonts w:ascii="Times" w:hAnsi="Times"/>
        </w:rPr>
        <w:t>: Meta-regression model based on top model from model selection. Top section illustrates output from the model with the lowest AIC and the associated significance of the coefficients. Middle section illustrates the models within 2 AICs of one another and the change in coefficients</w:t>
      </w:r>
      <w:r>
        <w:rPr>
          <w:rFonts w:ascii="Times" w:hAnsi="Times"/>
        </w:rPr>
        <w:t xml:space="preserve"> with a (-) and (+) denoting the removal or addition of a variable from the top model</w:t>
      </w:r>
      <w:r w:rsidRPr="008A44DB">
        <w:rPr>
          <w:rFonts w:ascii="Times" w:hAnsi="Times"/>
        </w:rPr>
        <w:t xml:space="preserve">. Bottom section illustrates variable importance from multi-model inference. </w:t>
      </w:r>
      <w:r>
        <w:rPr>
          <w:rFonts w:ascii="Times" w:hAnsi="Times"/>
        </w:rPr>
        <w:t>Bolded variables in the weighted importance were included in the top model. Pseason=precipitation seasonality, MAT=mean annual temperature, MAP=mean annual precipitation, SiltPct= % silt content, ClayPct=% clay content, Trange= temperature range, PWQ=precipitation in the wet quarter.</w:t>
      </w:r>
      <w:r w:rsidRPr="00C22E0C">
        <w:rPr>
          <w:rFonts w:ascii="Times" w:hAnsi="Times"/>
        </w:rPr>
        <w:t xml:space="preserve"> </w:t>
      </w:r>
      <w:r>
        <w:rPr>
          <w:rFonts w:ascii="Times" w:hAnsi="Times"/>
        </w:rPr>
        <w:t>Duration=length of time that fire frequencies have been altered. Biome=savanna-grassland, broadleaf forest, needleleaf forest.</w:t>
      </w:r>
    </w:p>
    <w:p w14:paraId="698CCE9C" w14:textId="77777777" w:rsidR="0030211E" w:rsidRPr="008A44DB" w:rsidRDefault="0030211E" w:rsidP="0030211E">
      <w:pPr>
        <w:rPr>
          <w:rFonts w:ascii="Times" w:hAnsi="Times"/>
        </w:rPr>
      </w:pPr>
    </w:p>
    <w:p w14:paraId="59DF30BB" w14:textId="77777777" w:rsidR="0030211E" w:rsidRPr="00D97D94" w:rsidRDefault="0030211E" w:rsidP="0030211E">
      <w:pPr>
        <w:pBdr>
          <w:top w:val="single" w:sz="4" w:space="1" w:color="auto"/>
        </w:pBdr>
        <w:rPr>
          <w:rFonts w:ascii="Times" w:hAnsi="Times"/>
          <w:b/>
          <w:bCs/>
          <w:sz w:val="22"/>
          <w:szCs w:val="22"/>
        </w:rPr>
      </w:pPr>
      <w:r w:rsidRPr="00D97D94">
        <w:rPr>
          <w:rFonts w:ascii="Times" w:hAnsi="Times"/>
          <w:b/>
          <w:bCs/>
          <w:sz w:val="22"/>
          <w:szCs w:val="22"/>
        </w:rPr>
        <w:t>Top-model meta-regression output</w:t>
      </w:r>
    </w:p>
    <w:tbl>
      <w:tblPr>
        <w:tblW w:w="6016" w:type="dxa"/>
        <w:tblLook w:val="04A0" w:firstRow="1" w:lastRow="0" w:firstColumn="1" w:lastColumn="0" w:noHBand="0" w:noVBand="1"/>
      </w:tblPr>
      <w:tblGrid>
        <w:gridCol w:w="1714"/>
        <w:gridCol w:w="4302"/>
      </w:tblGrid>
      <w:tr w:rsidR="0030211E" w:rsidRPr="00D97D94" w14:paraId="26969D5A" w14:textId="77777777" w:rsidTr="00315655">
        <w:trPr>
          <w:trHeight w:val="372"/>
        </w:trPr>
        <w:tc>
          <w:tcPr>
            <w:tcW w:w="1714" w:type="dxa"/>
            <w:tcBorders>
              <w:top w:val="nil"/>
              <w:left w:val="nil"/>
              <w:bottom w:val="nil"/>
              <w:right w:val="nil"/>
            </w:tcBorders>
            <w:shd w:val="clear" w:color="auto" w:fill="auto"/>
            <w:noWrap/>
            <w:vAlign w:val="bottom"/>
            <w:hideMark/>
          </w:tcPr>
          <w:p w14:paraId="625D4BA6" w14:textId="77777777" w:rsidR="0030211E" w:rsidRPr="00D97D94" w:rsidRDefault="0030211E" w:rsidP="00315655">
            <w:pPr>
              <w:rPr>
                <w:rFonts w:ascii="Times" w:hAnsi="Times" w:cs="Calibri"/>
                <w:color w:val="000000"/>
                <w:sz w:val="22"/>
                <w:szCs w:val="22"/>
              </w:rPr>
            </w:pPr>
            <w:r w:rsidRPr="00D97D94">
              <w:rPr>
                <w:rFonts w:ascii="Times" w:hAnsi="Times" w:cs="Calibri"/>
                <w:color w:val="000000"/>
                <w:sz w:val="22"/>
                <w:szCs w:val="22"/>
              </w:rPr>
              <w:t>n=53</w:t>
            </w:r>
          </w:p>
        </w:tc>
        <w:tc>
          <w:tcPr>
            <w:tcW w:w="4302" w:type="dxa"/>
            <w:tcBorders>
              <w:top w:val="nil"/>
              <w:left w:val="nil"/>
              <w:bottom w:val="nil"/>
              <w:right w:val="nil"/>
            </w:tcBorders>
            <w:shd w:val="clear" w:color="auto" w:fill="auto"/>
            <w:noWrap/>
            <w:vAlign w:val="bottom"/>
            <w:hideMark/>
          </w:tcPr>
          <w:p w14:paraId="302C17B7" w14:textId="77777777" w:rsidR="0030211E" w:rsidRPr="00D97D94" w:rsidRDefault="0030211E" w:rsidP="00315655">
            <w:pPr>
              <w:rPr>
                <w:rFonts w:ascii="Times" w:hAnsi="Times" w:cs="Calibri"/>
                <w:color w:val="000000"/>
                <w:sz w:val="22"/>
                <w:szCs w:val="22"/>
              </w:rPr>
            </w:pPr>
            <w:r w:rsidRPr="00D97D94">
              <w:rPr>
                <w:rFonts w:ascii="Times" w:hAnsi="Times" w:cs="Calibri"/>
                <w:i/>
                <w:iCs/>
                <w:color w:val="000000"/>
                <w:sz w:val="22"/>
                <w:szCs w:val="22"/>
              </w:rPr>
              <w:t>r</w:t>
            </w:r>
            <w:r w:rsidRPr="00D97D94">
              <w:rPr>
                <w:rFonts w:ascii="Times" w:hAnsi="Times" w:cs="Calibri"/>
                <w:i/>
                <w:iCs/>
                <w:color w:val="000000"/>
                <w:sz w:val="22"/>
                <w:szCs w:val="22"/>
                <w:vertAlign w:val="superscript"/>
              </w:rPr>
              <w:t>2</w:t>
            </w:r>
            <w:r w:rsidRPr="00D97D94">
              <w:rPr>
                <w:rFonts w:ascii="Times" w:hAnsi="Times" w:cs="Calibri"/>
                <w:color w:val="000000"/>
                <w:sz w:val="22"/>
                <w:szCs w:val="22"/>
              </w:rPr>
              <w:t>=0.82</w:t>
            </w:r>
          </w:p>
        </w:tc>
      </w:tr>
      <w:tr w:rsidR="0030211E" w:rsidRPr="00D97D94" w14:paraId="64EFD774" w14:textId="77777777" w:rsidTr="00315655">
        <w:trPr>
          <w:trHeight w:val="372"/>
        </w:trPr>
        <w:tc>
          <w:tcPr>
            <w:tcW w:w="1714" w:type="dxa"/>
            <w:tcBorders>
              <w:top w:val="nil"/>
              <w:left w:val="nil"/>
              <w:bottom w:val="nil"/>
              <w:right w:val="nil"/>
            </w:tcBorders>
            <w:shd w:val="clear" w:color="auto" w:fill="auto"/>
            <w:noWrap/>
            <w:vAlign w:val="bottom"/>
            <w:hideMark/>
          </w:tcPr>
          <w:p w14:paraId="7B1F3F50" w14:textId="77777777" w:rsidR="0030211E" w:rsidRPr="00D97D94" w:rsidRDefault="0030211E" w:rsidP="00315655">
            <w:pPr>
              <w:rPr>
                <w:rFonts w:ascii="Times" w:hAnsi="Times" w:cs="Calibri"/>
                <w:color w:val="000000"/>
                <w:sz w:val="22"/>
                <w:szCs w:val="22"/>
              </w:rPr>
            </w:pPr>
            <w:r>
              <w:rPr>
                <w:rFonts w:ascii="Times" w:hAnsi="Times" w:cs="Calibri"/>
                <w:color w:val="000000"/>
                <w:sz w:val="22"/>
                <w:szCs w:val="22"/>
              </w:rPr>
              <w:t>Duration</w:t>
            </w:r>
          </w:p>
        </w:tc>
        <w:tc>
          <w:tcPr>
            <w:tcW w:w="4302" w:type="dxa"/>
            <w:tcBorders>
              <w:top w:val="nil"/>
              <w:left w:val="nil"/>
              <w:bottom w:val="nil"/>
              <w:right w:val="nil"/>
            </w:tcBorders>
            <w:shd w:val="clear" w:color="auto" w:fill="auto"/>
            <w:noWrap/>
            <w:vAlign w:val="bottom"/>
            <w:hideMark/>
          </w:tcPr>
          <w:p w14:paraId="78CCD40C" w14:textId="77777777" w:rsidR="0030211E" w:rsidRPr="00D97D94" w:rsidRDefault="0030211E" w:rsidP="00315655">
            <w:pPr>
              <w:rPr>
                <w:rFonts w:ascii="Times" w:hAnsi="Times" w:cs="Calibri"/>
                <w:color w:val="000000"/>
                <w:sz w:val="22"/>
                <w:szCs w:val="22"/>
              </w:rPr>
            </w:pPr>
            <w:r w:rsidRPr="00D97D94">
              <w:rPr>
                <w:rFonts w:ascii="Times" w:hAnsi="Times" w:cs="Calibri"/>
                <w:color w:val="000000"/>
                <w:sz w:val="22"/>
                <w:szCs w:val="22"/>
              </w:rPr>
              <w:t>QM(df = 1) = 11.1502, p-val = 0.0008</w:t>
            </w:r>
          </w:p>
        </w:tc>
      </w:tr>
      <w:tr w:rsidR="0030211E" w:rsidRPr="00D97D94" w14:paraId="6E300AF5" w14:textId="77777777" w:rsidTr="00315655">
        <w:trPr>
          <w:trHeight w:val="372"/>
        </w:trPr>
        <w:tc>
          <w:tcPr>
            <w:tcW w:w="1714" w:type="dxa"/>
            <w:tcBorders>
              <w:top w:val="nil"/>
              <w:left w:val="nil"/>
              <w:bottom w:val="nil"/>
              <w:right w:val="nil"/>
            </w:tcBorders>
            <w:shd w:val="clear" w:color="auto" w:fill="auto"/>
            <w:noWrap/>
            <w:vAlign w:val="bottom"/>
            <w:hideMark/>
          </w:tcPr>
          <w:p w14:paraId="60296A29" w14:textId="77777777" w:rsidR="0030211E" w:rsidRPr="00D97D94" w:rsidRDefault="0030211E" w:rsidP="00315655">
            <w:pPr>
              <w:rPr>
                <w:rFonts w:ascii="Times" w:hAnsi="Times" w:cs="Calibri"/>
                <w:color w:val="000000"/>
                <w:sz w:val="22"/>
                <w:szCs w:val="22"/>
              </w:rPr>
            </w:pPr>
            <w:r w:rsidRPr="00D97D94">
              <w:rPr>
                <w:rFonts w:ascii="Times" w:hAnsi="Times" w:cs="Calibri"/>
                <w:color w:val="000000"/>
                <w:sz w:val="22"/>
                <w:szCs w:val="22"/>
              </w:rPr>
              <w:t>MAP</w:t>
            </w:r>
          </w:p>
        </w:tc>
        <w:tc>
          <w:tcPr>
            <w:tcW w:w="4302" w:type="dxa"/>
            <w:tcBorders>
              <w:top w:val="nil"/>
              <w:left w:val="nil"/>
              <w:bottom w:val="nil"/>
              <w:right w:val="nil"/>
            </w:tcBorders>
            <w:shd w:val="clear" w:color="auto" w:fill="auto"/>
            <w:noWrap/>
            <w:vAlign w:val="bottom"/>
            <w:hideMark/>
          </w:tcPr>
          <w:p w14:paraId="2FDA8BC0" w14:textId="77777777" w:rsidR="0030211E" w:rsidRPr="00D97D94" w:rsidRDefault="0030211E" w:rsidP="00315655">
            <w:pPr>
              <w:rPr>
                <w:rFonts w:ascii="Times" w:hAnsi="Times" w:cs="Calibri"/>
                <w:color w:val="000000"/>
                <w:sz w:val="22"/>
                <w:szCs w:val="22"/>
              </w:rPr>
            </w:pPr>
            <w:r w:rsidRPr="00D97D94">
              <w:rPr>
                <w:rFonts w:ascii="Times" w:hAnsi="Times" w:cs="Calibri"/>
                <w:color w:val="000000"/>
                <w:sz w:val="22"/>
                <w:szCs w:val="22"/>
              </w:rPr>
              <w:t>QM(df = 1) = 11.3209, p-val = 0.0008</w:t>
            </w:r>
          </w:p>
        </w:tc>
      </w:tr>
      <w:tr w:rsidR="0030211E" w:rsidRPr="00D97D94" w14:paraId="7F5EB76C" w14:textId="77777777" w:rsidTr="00315655">
        <w:trPr>
          <w:trHeight w:val="372"/>
        </w:trPr>
        <w:tc>
          <w:tcPr>
            <w:tcW w:w="1714" w:type="dxa"/>
            <w:tcBorders>
              <w:top w:val="nil"/>
              <w:left w:val="nil"/>
              <w:bottom w:val="nil"/>
              <w:right w:val="nil"/>
            </w:tcBorders>
            <w:shd w:val="clear" w:color="auto" w:fill="auto"/>
            <w:noWrap/>
            <w:vAlign w:val="bottom"/>
            <w:hideMark/>
          </w:tcPr>
          <w:p w14:paraId="44213A69" w14:textId="77777777" w:rsidR="0030211E" w:rsidRPr="00D97D94" w:rsidRDefault="0030211E" w:rsidP="00315655">
            <w:pPr>
              <w:rPr>
                <w:rFonts w:ascii="Times" w:hAnsi="Times" w:cs="Calibri"/>
                <w:color w:val="000000"/>
                <w:sz w:val="22"/>
                <w:szCs w:val="22"/>
              </w:rPr>
            </w:pPr>
            <w:r>
              <w:rPr>
                <w:rFonts w:ascii="Times" w:hAnsi="Times" w:cs="Calibri"/>
                <w:color w:val="000000"/>
                <w:sz w:val="22"/>
                <w:szCs w:val="22"/>
              </w:rPr>
              <w:t>Biome</w:t>
            </w:r>
          </w:p>
        </w:tc>
        <w:tc>
          <w:tcPr>
            <w:tcW w:w="4302" w:type="dxa"/>
            <w:tcBorders>
              <w:top w:val="nil"/>
              <w:left w:val="nil"/>
              <w:bottom w:val="nil"/>
              <w:right w:val="nil"/>
            </w:tcBorders>
            <w:shd w:val="clear" w:color="auto" w:fill="auto"/>
            <w:noWrap/>
            <w:vAlign w:val="bottom"/>
            <w:hideMark/>
          </w:tcPr>
          <w:p w14:paraId="49CAAD14" w14:textId="77777777" w:rsidR="0030211E" w:rsidRPr="00D97D94" w:rsidRDefault="0030211E" w:rsidP="00315655">
            <w:pPr>
              <w:rPr>
                <w:rFonts w:ascii="Times" w:hAnsi="Times" w:cs="Calibri"/>
                <w:color w:val="000000"/>
                <w:sz w:val="22"/>
                <w:szCs w:val="22"/>
              </w:rPr>
            </w:pPr>
            <w:r w:rsidRPr="00D97D94">
              <w:rPr>
                <w:rFonts w:ascii="Times" w:hAnsi="Times" w:cs="Calibri"/>
                <w:color w:val="000000"/>
                <w:sz w:val="22"/>
                <w:szCs w:val="22"/>
              </w:rPr>
              <w:t>QM(df = 2) = 16.2434, p-val = 0.0003</w:t>
            </w:r>
          </w:p>
        </w:tc>
      </w:tr>
      <w:tr w:rsidR="0030211E" w:rsidRPr="00D97D94" w14:paraId="4899EC78" w14:textId="77777777" w:rsidTr="00315655">
        <w:trPr>
          <w:trHeight w:val="372"/>
        </w:trPr>
        <w:tc>
          <w:tcPr>
            <w:tcW w:w="1714" w:type="dxa"/>
            <w:tcBorders>
              <w:top w:val="nil"/>
              <w:left w:val="nil"/>
              <w:bottom w:val="nil"/>
              <w:right w:val="nil"/>
            </w:tcBorders>
            <w:shd w:val="clear" w:color="auto" w:fill="auto"/>
            <w:noWrap/>
            <w:vAlign w:val="bottom"/>
            <w:hideMark/>
          </w:tcPr>
          <w:p w14:paraId="6FAF9E4C" w14:textId="77777777" w:rsidR="0030211E" w:rsidRPr="00D97D94" w:rsidRDefault="0030211E" w:rsidP="00315655">
            <w:pPr>
              <w:rPr>
                <w:rFonts w:ascii="Times" w:hAnsi="Times" w:cs="Calibri"/>
                <w:color w:val="000000"/>
                <w:sz w:val="22"/>
                <w:szCs w:val="22"/>
              </w:rPr>
            </w:pPr>
            <w:r w:rsidRPr="00D97D94">
              <w:rPr>
                <w:rFonts w:ascii="Times" w:hAnsi="Times" w:cs="Calibri"/>
                <w:color w:val="000000"/>
                <w:sz w:val="22"/>
                <w:szCs w:val="22"/>
              </w:rPr>
              <w:t>Pseason</w:t>
            </w:r>
          </w:p>
        </w:tc>
        <w:tc>
          <w:tcPr>
            <w:tcW w:w="4302" w:type="dxa"/>
            <w:tcBorders>
              <w:top w:val="nil"/>
              <w:left w:val="nil"/>
              <w:bottom w:val="nil"/>
              <w:right w:val="nil"/>
            </w:tcBorders>
            <w:shd w:val="clear" w:color="auto" w:fill="auto"/>
            <w:noWrap/>
            <w:vAlign w:val="bottom"/>
            <w:hideMark/>
          </w:tcPr>
          <w:p w14:paraId="3F58B163" w14:textId="77777777" w:rsidR="0030211E" w:rsidRPr="00D97D94" w:rsidRDefault="0030211E" w:rsidP="00315655">
            <w:pPr>
              <w:rPr>
                <w:rFonts w:ascii="Times" w:hAnsi="Times" w:cs="Calibri"/>
                <w:color w:val="000000"/>
                <w:sz w:val="22"/>
                <w:szCs w:val="22"/>
              </w:rPr>
            </w:pPr>
            <w:r w:rsidRPr="00D97D94">
              <w:rPr>
                <w:rFonts w:ascii="Times" w:hAnsi="Times" w:cs="Calibri"/>
                <w:color w:val="000000"/>
                <w:sz w:val="22"/>
                <w:szCs w:val="22"/>
              </w:rPr>
              <w:t>QM(df = 1) = 11.0157, p-val = 0.0009</w:t>
            </w:r>
          </w:p>
        </w:tc>
      </w:tr>
      <w:tr w:rsidR="0030211E" w:rsidRPr="00D97D94" w14:paraId="457DCF6C" w14:textId="77777777" w:rsidTr="00315655">
        <w:trPr>
          <w:trHeight w:val="372"/>
        </w:trPr>
        <w:tc>
          <w:tcPr>
            <w:tcW w:w="1714" w:type="dxa"/>
            <w:tcBorders>
              <w:top w:val="nil"/>
              <w:left w:val="nil"/>
              <w:bottom w:val="nil"/>
              <w:right w:val="nil"/>
            </w:tcBorders>
            <w:shd w:val="clear" w:color="auto" w:fill="auto"/>
            <w:noWrap/>
            <w:vAlign w:val="bottom"/>
            <w:hideMark/>
          </w:tcPr>
          <w:p w14:paraId="541198B3" w14:textId="77777777" w:rsidR="0030211E" w:rsidRPr="00D97D94" w:rsidRDefault="0030211E" w:rsidP="00315655">
            <w:pPr>
              <w:rPr>
                <w:rFonts w:ascii="Times" w:hAnsi="Times" w:cs="Calibri"/>
                <w:color w:val="000000"/>
                <w:sz w:val="22"/>
                <w:szCs w:val="22"/>
              </w:rPr>
            </w:pPr>
            <w:r w:rsidRPr="00D97D94">
              <w:rPr>
                <w:rFonts w:ascii="Times" w:hAnsi="Times" w:cs="Calibri"/>
                <w:color w:val="000000"/>
                <w:sz w:val="22"/>
                <w:szCs w:val="22"/>
              </w:rPr>
              <w:t>Aridity</w:t>
            </w:r>
          </w:p>
        </w:tc>
        <w:tc>
          <w:tcPr>
            <w:tcW w:w="4302" w:type="dxa"/>
            <w:tcBorders>
              <w:top w:val="nil"/>
              <w:left w:val="nil"/>
              <w:bottom w:val="nil"/>
              <w:right w:val="nil"/>
            </w:tcBorders>
            <w:shd w:val="clear" w:color="auto" w:fill="auto"/>
            <w:noWrap/>
            <w:vAlign w:val="bottom"/>
            <w:hideMark/>
          </w:tcPr>
          <w:p w14:paraId="421BF474" w14:textId="77777777" w:rsidR="0030211E" w:rsidRPr="00D97D94" w:rsidRDefault="0030211E" w:rsidP="00315655">
            <w:pPr>
              <w:rPr>
                <w:rFonts w:ascii="Times" w:hAnsi="Times" w:cs="Calibri"/>
                <w:color w:val="000000"/>
                <w:sz w:val="22"/>
                <w:szCs w:val="22"/>
              </w:rPr>
            </w:pPr>
            <w:r w:rsidRPr="00D97D94">
              <w:rPr>
                <w:rFonts w:ascii="Times" w:hAnsi="Times" w:cs="Calibri"/>
                <w:color w:val="000000"/>
                <w:sz w:val="22"/>
                <w:szCs w:val="22"/>
              </w:rPr>
              <w:t>QM(df = 1) = 13.8857, p-val = 0.0002</w:t>
            </w:r>
          </w:p>
        </w:tc>
      </w:tr>
      <w:tr w:rsidR="0030211E" w:rsidRPr="00D97D94" w14:paraId="0F9E76B2" w14:textId="77777777" w:rsidTr="00315655">
        <w:trPr>
          <w:trHeight w:val="372"/>
        </w:trPr>
        <w:tc>
          <w:tcPr>
            <w:tcW w:w="1714" w:type="dxa"/>
            <w:tcBorders>
              <w:top w:val="nil"/>
              <w:left w:val="nil"/>
              <w:bottom w:val="nil"/>
              <w:right w:val="nil"/>
            </w:tcBorders>
            <w:shd w:val="clear" w:color="auto" w:fill="auto"/>
            <w:noWrap/>
            <w:vAlign w:val="bottom"/>
            <w:hideMark/>
          </w:tcPr>
          <w:p w14:paraId="068B2E71" w14:textId="77777777" w:rsidR="0030211E" w:rsidRPr="00D97D94" w:rsidRDefault="0030211E" w:rsidP="00315655">
            <w:pPr>
              <w:rPr>
                <w:rFonts w:ascii="Times" w:hAnsi="Times" w:cs="Calibri"/>
                <w:color w:val="000000"/>
                <w:sz w:val="22"/>
                <w:szCs w:val="22"/>
              </w:rPr>
            </w:pPr>
            <w:r w:rsidRPr="00D97D94">
              <w:rPr>
                <w:rFonts w:ascii="Times" w:hAnsi="Times" w:cs="Calibri"/>
                <w:color w:val="000000"/>
                <w:sz w:val="22"/>
                <w:szCs w:val="22"/>
              </w:rPr>
              <w:t>SiltPct</w:t>
            </w:r>
          </w:p>
        </w:tc>
        <w:tc>
          <w:tcPr>
            <w:tcW w:w="4302" w:type="dxa"/>
            <w:tcBorders>
              <w:top w:val="nil"/>
              <w:left w:val="nil"/>
              <w:bottom w:val="nil"/>
              <w:right w:val="nil"/>
            </w:tcBorders>
            <w:shd w:val="clear" w:color="auto" w:fill="auto"/>
            <w:noWrap/>
            <w:vAlign w:val="bottom"/>
            <w:hideMark/>
          </w:tcPr>
          <w:p w14:paraId="24814E1D" w14:textId="77777777" w:rsidR="0030211E" w:rsidRPr="00D97D94" w:rsidRDefault="0030211E" w:rsidP="00315655">
            <w:pPr>
              <w:rPr>
                <w:rFonts w:ascii="Times" w:hAnsi="Times" w:cs="Calibri"/>
                <w:color w:val="000000"/>
                <w:sz w:val="22"/>
                <w:szCs w:val="22"/>
              </w:rPr>
            </w:pPr>
            <w:r w:rsidRPr="00D97D94">
              <w:rPr>
                <w:rFonts w:ascii="Times" w:hAnsi="Times" w:cs="Calibri"/>
                <w:color w:val="000000"/>
                <w:sz w:val="22"/>
                <w:szCs w:val="22"/>
              </w:rPr>
              <w:t>QM(df = 1) = 3.3243, p-val = 0.0683</w:t>
            </w:r>
          </w:p>
        </w:tc>
      </w:tr>
      <w:tr w:rsidR="0030211E" w:rsidRPr="00D97D94" w14:paraId="5B96F59F" w14:textId="77777777" w:rsidTr="00315655">
        <w:trPr>
          <w:trHeight w:val="372"/>
        </w:trPr>
        <w:tc>
          <w:tcPr>
            <w:tcW w:w="1714" w:type="dxa"/>
            <w:tcBorders>
              <w:top w:val="nil"/>
              <w:left w:val="nil"/>
              <w:bottom w:val="nil"/>
              <w:right w:val="nil"/>
            </w:tcBorders>
            <w:shd w:val="clear" w:color="auto" w:fill="auto"/>
            <w:noWrap/>
            <w:vAlign w:val="bottom"/>
            <w:hideMark/>
          </w:tcPr>
          <w:p w14:paraId="4D3C3B11" w14:textId="77777777" w:rsidR="0030211E" w:rsidRPr="00D97D94" w:rsidRDefault="0030211E" w:rsidP="00315655">
            <w:pPr>
              <w:rPr>
                <w:rFonts w:ascii="Times" w:hAnsi="Times" w:cs="Calibri"/>
                <w:color w:val="000000"/>
                <w:sz w:val="22"/>
                <w:szCs w:val="22"/>
              </w:rPr>
            </w:pPr>
            <w:r w:rsidRPr="00D97D94">
              <w:rPr>
                <w:rFonts w:ascii="Times" w:hAnsi="Times" w:cs="Calibri"/>
                <w:color w:val="000000"/>
                <w:sz w:val="22"/>
                <w:szCs w:val="22"/>
              </w:rPr>
              <w:t>MAT</w:t>
            </w:r>
          </w:p>
        </w:tc>
        <w:tc>
          <w:tcPr>
            <w:tcW w:w="4302" w:type="dxa"/>
            <w:tcBorders>
              <w:top w:val="nil"/>
              <w:left w:val="nil"/>
              <w:bottom w:val="nil"/>
              <w:right w:val="nil"/>
            </w:tcBorders>
            <w:shd w:val="clear" w:color="auto" w:fill="auto"/>
            <w:noWrap/>
            <w:vAlign w:val="bottom"/>
            <w:hideMark/>
          </w:tcPr>
          <w:p w14:paraId="1AB2E20E" w14:textId="77777777" w:rsidR="0030211E" w:rsidRPr="00D97D94" w:rsidRDefault="0030211E" w:rsidP="00315655">
            <w:pPr>
              <w:rPr>
                <w:rFonts w:ascii="Times" w:hAnsi="Times" w:cs="Calibri"/>
                <w:color w:val="000000"/>
                <w:sz w:val="22"/>
                <w:szCs w:val="22"/>
              </w:rPr>
            </w:pPr>
            <w:r w:rsidRPr="00D97D94">
              <w:rPr>
                <w:rFonts w:ascii="Times" w:hAnsi="Times" w:cs="Calibri"/>
                <w:color w:val="000000"/>
                <w:sz w:val="22"/>
                <w:szCs w:val="22"/>
              </w:rPr>
              <w:t>QM(df = 1) = 12.0730, p-val = 0.0005</w:t>
            </w:r>
          </w:p>
        </w:tc>
      </w:tr>
    </w:tbl>
    <w:p w14:paraId="4959B9FD" w14:textId="77777777" w:rsidR="0030211E" w:rsidRPr="00D97D94" w:rsidRDefault="0030211E" w:rsidP="0030211E">
      <w:pPr>
        <w:pBdr>
          <w:top w:val="single" w:sz="4" w:space="1" w:color="auto"/>
        </w:pBdr>
        <w:rPr>
          <w:rFonts w:ascii="Times" w:hAnsi="Times"/>
          <w:b/>
          <w:bCs/>
          <w:sz w:val="22"/>
          <w:szCs w:val="22"/>
        </w:rPr>
      </w:pPr>
      <w:r w:rsidRPr="00D97D94">
        <w:rPr>
          <w:rFonts w:ascii="Times" w:hAnsi="Times"/>
          <w:b/>
          <w:bCs/>
          <w:sz w:val="22"/>
          <w:szCs w:val="22"/>
        </w:rPr>
        <w:t>Model selection of top models within 2 AICs</w:t>
      </w:r>
    </w:p>
    <w:tbl>
      <w:tblPr>
        <w:tblW w:w="9405" w:type="dxa"/>
        <w:tblLook w:val="04A0" w:firstRow="1" w:lastRow="0" w:firstColumn="1" w:lastColumn="0" w:noHBand="0" w:noVBand="1"/>
      </w:tblPr>
      <w:tblGrid>
        <w:gridCol w:w="666"/>
        <w:gridCol w:w="297"/>
        <w:gridCol w:w="6366"/>
        <w:gridCol w:w="150"/>
        <w:gridCol w:w="1980"/>
        <w:gridCol w:w="45"/>
      </w:tblGrid>
      <w:tr w:rsidR="0030211E" w:rsidRPr="00D97D94" w14:paraId="178BB084" w14:textId="77777777" w:rsidTr="00315655">
        <w:trPr>
          <w:trHeight w:val="237"/>
        </w:trPr>
        <w:tc>
          <w:tcPr>
            <w:tcW w:w="864" w:type="dxa"/>
            <w:gridSpan w:val="2"/>
            <w:tcBorders>
              <w:top w:val="nil"/>
              <w:left w:val="nil"/>
              <w:bottom w:val="nil"/>
              <w:right w:val="nil"/>
            </w:tcBorders>
            <w:shd w:val="clear" w:color="auto" w:fill="auto"/>
            <w:noWrap/>
            <w:vAlign w:val="bottom"/>
            <w:hideMark/>
          </w:tcPr>
          <w:p w14:paraId="124107F6" w14:textId="77777777" w:rsidR="0030211E" w:rsidRPr="00C22E0C" w:rsidRDefault="0030211E" w:rsidP="00315655">
            <w:pPr>
              <w:rPr>
                <w:rFonts w:ascii="Times" w:hAnsi="Times" w:cs="Calibri"/>
                <w:color w:val="000000"/>
                <w:sz w:val="20"/>
                <w:szCs w:val="20"/>
              </w:rPr>
            </w:pPr>
            <w:r w:rsidRPr="00C22E0C">
              <w:rPr>
                <w:rFonts w:ascii="Times" w:hAnsi="Times" w:cs="Calibri"/>
                <w:color w:val="000000"/>
                <w:sz w:val="20"/>
                <w:szCs w:val="20"/>
              </w:rPr>
              <w:t>AIC</w:t>
            </w:r>
          </w:p>
        </w:tc>
        <w:tc>
          <w:tcPr>
            <w:tcW w:w="6366" w:type="dxa"/>
            <w:tcBorders>
              <w:top w:val="nil"/>
              <w:left w:val="nil"/>
              <w:bottom w:val="nil"/>
              <w:right w:val="nil"/>
            </w:tcBorders>
            <w:shd w:val="clear" w:color="auto" w:fill="auto"/>
            <w:noWrap/>
            <w:vAlign w:val="bottom"/>
            <w:hideMark/>
          </w:tcPr>
          <w:p w14:paraId="63DB352B" w14:textId="77777777" w:rsidR="0030211E" w:rsidRPr="00C22E0C" w:rsidRDefault="0030211E" w:rsidP="00315655">
            <w:pPr>
              <w:jc w:val="center"/>
              <w:rPr>
                <w:rFonts w:ascii="Times" w:hAnsi="Times" w:cs="Calibri"/>
                <w:color w:val="000000"/>
                <w:sz w:val="20"/>
                <w:szCs w:val="20"/>
              </w:rPr>
            </w:pPr>
            <w:r w:rsidRPr="00C22E0C">
              <w:rPr>
                <w:rFonts w:ascii="Times" w:hAnsi="Times" w:cs="Calibri"/>
                <w:color w:val="000000"/>
                <w:sz w:val="20"/>
                <w:szCs w:val="20"/>
              </w:rPr>
              <w:t>Formula</w:t>
            </w:r>
          </w:p>
        </w:tc>
        <w:tc>
          <w:tcPr>
            <w:tcW w:w="2175" w:type="dxa"/>
            <w:gridSpan w:val="3"/>
            <w:tcBorders>
              <w:top w:val="nil"/>
              <w:left w:val="nil"/>
              <w:bottom w:val="nil"/>
              <w:right w:val="nil"/>
            </w:tcBorders>
            <w:shd w:val="clear" w:color="auto" w:fill="auto"/>
            <w:noWrap/>
            <w:vAlign w:val="bottom"/>
            <w:hideMark/>
          </w:tcPr>
          <w:p w14:paraId="6B93936D" w14:textId="77777777" w:rsidR="0030211E" w:rsidRPr="00C22E0C" w:rsidRDefault="0030211E" w:rsidP="00315655">
            <w:pPr>
              <w:jc w:val="center"/>
              <w:rPr>
                <w:rFonts w:ascii="Times" w:hAnsi="Times" w:cs="Calibri"/>
                <w:color w:val="000000"/>
                <w:sz w:val="20"/>
                <w:szCs w:val="20"/>
              </w:rPr>
            </w:pPr>
            <w:r w:rsidRPr="00C22E0C">
              <w:rPr>
                <w:rFonts w:ascii="Times" w:hAnsi="Times" w:cs="Calibri"/>
                <w:color w:val="000000"/>
                <w:sz w:val="20"/>
                <w:szCs w:val="20"/>
              </w:rPr>
              <w:t>New coef.</w:t>
            </w:r>
          </w:p>
        </w:tc>
      </w:tr>
      <w:tr w:rsidR="0030211E" w:rsidRPr="00D97D94" w14:paraId="0EC244C0" w14:textId="77777777" w:rsidTr="00315655">
        <w:trPr>
          <w:gridAfter w:val="1"/>
          <w:wAfter w:w="45" w:type="dxa"/>
          <w:trHeight w:val="320"/>
        </w:trPr>
        <w:tc>
          <w:tcPr>
            <w:tcW w:w="567" w:type="dxa"/>
            <w:tcBorders>
              <w:top w:val="nil"/>
              <w:left w:val="nil"/>
              <w:bottom w:val="nil"/>
              <w:right w:val="nil"/>
            </w:tcBorders>
            <w:shd w:val="clear" w:color="auto" w:fill="auto"/>
            <w:noWrap/>
            <w:vAlign w:val="center"/>
            <w:hideMark/>
          </w:tcPr>
          <w:p w14:paraId="64FF6B6D" w14:textId="77777777" w:rsidR="0030211E" w:rsidRPr="00C22E0C" w:rsidRDefault="0030211E" w:rsidP="00315655">
            <w:pPr>
              <w:jc w:val="center"/>
              <w:rPr>
                <w:rFonts w:ascii="Times" w:hAnsi="Times" w:cs="Calibri"/>
                <w:color w:val="000000"/>
                <w:sz w:val="20"/>
                <w:szCs w:val="20"/>
              </w:rPr>
            </w:pPr>
            <w:r w:rsidRPr="00C22E0C">
              <w:rPr>
                <w:rFonts w:ascii="Times" w:hAnsi="Times" w:cs="Calibri"/>
                <w:color w:val="000000"/>
                <w:sz w:val="20"/>
                <w:szCs w:val="20"/>
              </w:rPr>
              <w:t>14.77</w:t>
            </w:r>
          </w:p>
        </w:tc>
        <w:tc>
          <w:tcPr>
            <w:tcW w:w="6813" w:type="dxa"/>
            <w:gridSpan w:val="3"/>
            <w:tcBorders>
              <w:top w:val="nil"/>
              <w:left w:val="nil"/>
              <w:bottom w:val="nil"/>
              <w:right w:val="nil"/>
            </w:tcBorders>
            <w:shd w:val="clear" w:color="auto" w:fill="auto"/>
            <w:noWrap/>
            <w:vAlign w:val="center"/>
            <w:hideMark/>
          </w:tcPr>
          <w:p w14:paraId="35C92CA2" w14:textId="77777777" w:rsidR="0030211E" w:rsidRPr="00C22E0C" w:rsidRDefault="0030211E" w:rsidP="00315655">
            <w:pPr>
              <w:jc w:val="center"/>
              <w:rPr>
                <w:rFonts w:ascii="Times" w:hAnsi="Times" w:cs="Calibri"/>
                <w:color w:val="000000"/>
                <w:sz w:val="20"/>
                <w:szCs w:val="20"/>
              </w:rPr>
            </w:pPr>
            <w:r w:rsidRPr="00C22E0C">
              <w:rPr>
                <w:rFonts w:ascii="Times" w:hAnsi="Times" w:cs="Calibri"/>
                <w:color w:val="000000"/>
                <w:sz w:val="20"/>
                <w:szCs w:val="20"/>
              </w:rPr>
              <w:t>C ~ 1 + Biome + Duration + SiltPct + MAT + MAP + Pseason + log(Aridity)</w:t>
            </w:r>
          </w:p>
        </w:tc>
        <w:tc>
          <w:tcPr>
            <w:tcW w:w="1980" w:type="dxa"/>
            <w:tcBorders>
              <w:top w:val="nil"/>
              <w:left w:val="nil"/>
              <w:bottom w:val="nil"/>
              <w:right w:val="nil"/>
            </w:tcBorders>
            <w:shd w:val="clear" w:color="auto" w:fill="auto"/>
            <w:noWrap/>
            <w:vAlign w:val="center"/>
            <w:hideMark/>
          </w:tcPr>
          <w:p w14:paraId="01C21C3F" w14:textId="77777777" w:rsidR="0030211E" w:rsidRPr="00C22E0C" w:rsidRDefault="0030211E" w:rsidP="00315655">
            <w:pPr>
              <w:jc w:val="center"/>
              <w:rPr>
                <w:rFonts w:ascii="Times" w:hAnsi="Times" w:cs="Calibri"/>
                <w:color w:val="000000"/>
                <w:sz w:val="20"/>
                <w:szCs w:val="20"/>
              </w:rPr>
            </w:pPr>
          </w:p>
        </w:tc>
      </w:tr>
      <w:tr w:rsidR="0030211E" w:rsidRPr="00D97D94" w14:paraId="087BEBDE" w14:textId="77777777" w:rsidTr="00315655">
        <w:trPr>
          <w:gridAfter w:val="1"/>
          <w:wAfter w:w="45" w:type="dxa"/>
          <w:trHeight w:val="320"/>
        </w:trPr>
        <w:tc>
          <w:tcPr>
            <w:tcW w:w="567" w:type="dxa"/>
            <w:tcBorders>
              <w:top w:val="nil"/>
              <w:left w:val="nil"/>
              <w:bottom w:val="nil"/>
              <w:right w:val="nil"/>
            </w:tcBorders>
            <w:shd w:val="clear" w:color="auto" w:fill="F2F2F2" w:themeFill="background1" w:themeFillShade="F2"/>
            <w:noWrap/>
            <w:vAlign w:val="center"/>
            <w:hideMark/>
          </w:tcPr>
          <w:p w14:paraId="4DD44581" w14:textId="77777777" w:rsidR="0030211E" w:rsidRPr="00C22E0C" w:rsidRDefault="0030211E" w:rsidP="00315655">
            <w:pPr>
              <w:jc w:val="center"/>
              <w:rPr>
                <w:rFonts w:ascii="Times" w:hAnsi="Times" w:cs="Calibri"/>
                <w:color w:val="000000"/>
                <w:sz w:val="20"/>
                <w:szCs w:val="20"/>
              </w:rPr>
            </w:pPr>
            <w:r w:rsidRPr="00C22E0C">
              <w:rPr>
                <w:rFonts w:ascii="Times" w:hAnsi="Times" w:cs="Calibri"/>
                <w:color w:val="000000"/>
                <w:sz w:val="20"/>
                <w:szCs w:val="20"/>
              </w:rPr>
              <w:t>14.88</w:t>
            </w:r>
          </w:p>
        </w:tc>
        <w:tc>
          <w:tcPr>
            <w:tcW w:w="6813" w:type="dxa"/>
            <w:gridSpan w:val="3"/>
            <w:tcBorders>
              <w:top w:val="nil"/>
              <w:left w:val="nil"/>
              <w:bottom w:val="nil"/>
              <w:right w:val="nil"/>
            </w:tcBorders>
            <w:shd w:val="clear" w:color="auto" w:fill="F2F2F2" w:themeFill="background1" w:themeFillShade="F2"/>
            <w:noWrap/>
            <w:vAlign w:val="center"/>
            <w:hideMark/>
          </w:tcPr>
          <w:p w14:paraId="637B48D7" w14:textId="77777777" w:rsidR="0030211E" w:rsidRPr="00C22E0C" w:rsidRDefault="0030211E" w:rsidP="00315655">
            <w:pPr>
              <w:jc w:val="center"/>
              <w:rPr>
                <w:rFonts w:ascii="Times" w:hAnsi="Times" w:cs="Calibri"/>
                <w:color w:val="000000"/>
                <w:sz w:val="20"/>
                <w:szCs w:val="20"/>
              </w:rPr>
            </w:pPr>
            <w:r w:rsidRPr="00C22E0C">
              <w:rPr>
                <w:rFonts w:ascii="Times" w:hAnsi="Times" w:cs="Calibri"/>
                <w:color w:val="000000"/>
                <w:sz w:val="20"/>
                <w:szCs w:val="20"/>
              </w:rPr>
              <w:t>C ~ 1 + Biome + Duration + ClayPct + SiltPct + Trange + MAP + Pseason + log(Aridity)</w:t>
            </w:r>
          </w:p>
        </w:tc>
        <w:tc>
          <w:tcPr>
            <w:tcW w:w="1980" w:type="dxa"/>
            <w:tcBorders>
              <w:top w:val="nil"/>
              <w:left w:val="nil"/>
              <w:bottom w:val="nil"/>
              <w:right w:val="nil"/>
            </w:tcBorders>
            <w:shd w:val="clear" w:color="auto" w:fill="F2F2F2" w:themeFill="background1" w:themeFillShade="F2"/>
            <w:noWrap/>
            <w:vAlign w:val="center"/>
            <w:hideMark/>
          </w:tcPr>
          <w:p w14:paraId="0BA65E4A" w14:textId="77777777" w:rsidR="0030211E" w:rsidRPr="00C22E0C" w:rsidRDefault="0030211E" w:rsidP="00315655">
            <w:pPr>
              <w:jc w:val="center"/>
              <w:rPr>
                <w:rFonts w:ascii="Times" w:hAnsi="Times" w:cs="Calibri"/>
                <w:color w:val="000000"/>
                <w:sz w:val="20"/>
                <w:szCs w:val="20"/>
              </w:rPr>
            </w:pPr>
            <w:r>
              <w:rPr>
                <w:rFonts w:ascii="Times" w:hAnsi="Times" w:cs="Calibri"/>
                <w:color w:val="000000"/>
                <w:sz w:val="20"/>
                <w:szCs w:val="20"/>
              </w:rPr>
              <w:t>+Clay</w:t>
            </w:r>
            <w:r w:rsidRPr="00C22E0C">
              <w:rPr>
                <w:rFonts w:ascii="Times" w:hAnsi="Times" w:cs="Calibri"/>
                <w:color w:val="000000"/>
                <w:sz w:val="20"/>
                <w:szCs w:val="20"/>
              </w:rPr>
              <w:t>Pct</w:t>
            </w:r>
            <w:r>
              <w:rPr>
                <w:rFonts w:ascii="Times" w:hAnsi="Times" w:cs="Calibri"/>
                <w:color w:val="000000"/>
                <w:sz w:val="20"/>
                <w:szCs w:val="20"/>
              </w:rPr>
              <w:t>+Trange</w:t>
            </w:r>
          </w:p>
        </w:tc>
      </w:tr>
      <w:tr w:rsidR="0030211E" w:rsidRPr="00D97D94" w14:paraId="370613AB" w14:textId="77777777" w:rsidTr="00315655">
        <w:trPr>
          <w:gridAfter w:val="1"/>
          <w:wAfter w:w="45" w:type="dxa"/>
          <w:trHeight w:val="320"/>
        </w:trPr>
        <w:tc>
          <w:tcPr>
            <w:tcW w:w="567" w:type="dxa"/>
            <w:tcBorders>
              <w:top w:val="nil"/>
              <w:left w:val="nil"/>
              <w:bottom w:val="nil"/>
              <w:right w:val="nil"/>
            </w:tcBorders>
            <w:shd w:val="clear" w:color="auto" w:fill="auto"/>
            <w:noWrap/>
            <w:vAlign w:val="center"/>
            <w:hideMark/>
          </w:tcPr>
          <w:p w14:paraId="151452DB" w14:textId="77777777" w:rsidR="0030211E" w:rsidRPr="00C22E0C" w:rsidRDefault="0030211E" w:rsidP="00315655">
            <w:pPr>
              <w:jc w:val="center"/>
              <w:rPr>
                <w:rFonts w:ascii="Times" w:hAnsi="Times" w:cs="Calibri"/>
                <w:color w:val="000000"/>
                <w:sz w:val="20"/>
                <w:szCs w:val="20"/>
              </w:rPr>
            </w:pPr>
            <w:r w:rsidRPr="00C22E0C">
              <w:rPr>
                <w:rFonts w:ascii="Times" w:hAnsi="Times" w:cs="Calibri"/>
                <w:color w:val="000000"/>
                <w:sz w:val="20"/>
                <w:szCs w:val="20"/>
              </w:rPr>
              <w:t>15.90</w:t>
            </w:r>
          </w:p>
        </w:tc>
        <w:tc>
          <w:tcPr>
            <w:tcW w:w="6813" w:type="dxa"/>
            <w:gridSpan w:val="3"/>
            <w:tcBorders>
              <w:top w:val="nil"/>
              <w:left w:val="nil"/>
              <w:bottom w:val="nil"/>
              <w:right w:val="nil"/>
            </w:tcBorders>
            <w:shd w:val="clear" w:color="auto" w:fill="auto"/>
            <w:noWrap/>
            <w:vAlign w:val="center"/>
            <w:hideMark/>
          </w:tcPr>
          <w:p w14:paraId="47BB5FAB" w14:textId="77777777" w:rsidR="0030211E" w:rsidRPr="00C22E0C" w:rsidRDefault="0030211E" w:rsidP="00315655">
            <w:pPr>
              <w:jc w:val="center"/>
              <w:rPr>
                <w:rFonts w:ascii="Times" w:hAnsi="Times" w:cs="Calibri"/>
                <w:color w:val="000000"/>
                <w:sz w:val="20"/>
                <w:szCs w:val="20"/>
              </w:rPr>
            </w:pPr>
            <w:r w:rsidRPr="00C22E0C">
              <w:rPr>
                <w:rFonts w:ascii="Times" w:hAnsi="Times" w:cs="Calibri"/>
                <w:color w:val="000000"/>
                <w:sz w:val="20"/>
                <w:szCs w:val="20"/>
              </w:rPr>
              <w:t>C ~ 1 + Biome + Duration + SiltPct + Trange + MAP + Pseason + log(Aridity)</w:t>
            </w:r>
          </w:p>
        </w:tc>
        <w:tc>
          <w:tcPr>
            <w:tcW w:w="1980" w:type="dxa"/>
            <w:tcBorders>
              <w:top w:val="nil"/>
              <w:left w:val="nil"/>
              <w:bottom w:val="nil"/>
              <w:right w:val="nil"/>
            </w:tcBorders>
            <w:shd w:val="clear" w:color="auto" w:fill="auto"/>
            <w:noWrap/>
            <w:vAlign w:val="center"/>
            <w:hideMark/>
          </w:tcPr>
          <w:p w14:paraId="7A52013A" w14:textId="77777777" w:rsidR="0030211E" w:rsidRPr="00C22E0C" w:rsidRDefault="0030211E" w:rsidP="00315655">
            <w:pPr>
              <w:jc w:val="center"/>
              <w:rPr>
                <w:rFonts w:ascii="Times" w:hAnsi="Times" w:cs="Calibri"/>
                <w:color w:val="000000"/>
                <w:sz w:val="20"/>
                <w:szCs w:val="20"/>
              </w:rPr>
            </w:pPr>
            <w:r w:rsidRPr="00C22E0C">
              <w:rPr>
                <w:rFonts w:ascii="Times" w:hAnsi="Times" w:cs="Calibri"/>
                <w:color w:val="000000"/>
                <w:sz w:val="20"/>
                <w:szCs w:val="20"/>
              </w:rPr>
              <w:t>+Trange, -MAT</w:t>
            </w:r>
          </w:p>
        </w:tc>
      </w:tr>
      <w:tr w:rsidR="0030211E" w:rsidRPr="00D97D94" w14:paraId="5852C25B" w14:textId="77777777" w:rsidTr="00315655">
        <w:trPr>
          <w:gridAfter w:val="1"/>
          <w:wAfter w:w="45" w:type="dxa"/>
          <w:trHeight w:val="320"/>
        </w:trPr>
        <w:tc>
          <w:tcPr>
            <w:tcW w:w="567" w:type="dxa"/>
            <w:tcBorders>
              <w:top w:val="nil"/>
              <w:left w:val="nil"/>
              <w:bottom w:val="nil"/>
              <w:right w:val="nil"/>
            </w:tcBorders>
            <w:shd w:val="clear" w:color="auto" w:fill="F2F2F2" w:themeFill="background1" w:themeFillShade="F2"/>
            <w:noWrap/>
            <w:vAlign w:val="center"/>
            <w:hideMark/>
          </w:tcPr>
          <w:p w14:paraId="7F2D5BDD" w14:textId="77777777" w:rsidR="0030211E" w:rsidRPr="00C22E0C" w:rsidRDefault="0030211E" w:rsidP="00315655">
            <w:pPr>
              <w:jc w:val="center"/>
              <w:rPr>
                <w:rFonts w:ascii="Times" w:hAnsi="Times" w:cs="Calibri"/>
                <w:color w:val="000000"/>
                <w:sz w:val="20"/>
                <w:szCs w:val="20"/>
              </w:rPr>
            </w:pPr>
            <w:r w:rsidRPr="00C22E0C">
              <w:rPr>
                <w:rFonts w:ascii="Times" w:hAnsi="Times" w:cs="Calibri"/>
                <w:color w:val="000000"/>
                <w:sz w:val="20"/>
                <w:szCs w:val="20"/>
              </w:rPr>
              <w:t>15.99</w:t>
            </w:r>
          </w:p>
        </w:tc>
        <w:tc>
          <w:tcPr>
            <w:tcW w:w="6813" w:type="dxa"/>
            <w:gridSpan w:val="3"/>
            <w:tcBorders>
              <w:top w:val="nil"/>
              <w:left w:val="nil"/>
              <w:bottom w:val="nil"/>
              <w:right w:val="nil"/>
            </w:tcBorders>
            <w:shd w:val="clear" w:color="auto" w:fill="F2F2F2" w:themeFill="background1" w:themeFillShade="F2"/>
            <w:noWrap/>
            <w:vAlign w:val="center"/>
            <w:hideMark/>
          </w:tcPr>
          <w:p w14:paraId="0A2A17D6" w14:textId="77777777" w:rsidR="0030211E" w:rsidRPr="00C22E0C" w:rsidRDefault="0030211E" w:rsidP="00315655">
            <w:pPr>
              <w:jc w:val="center"/>
              <w:rPr>
                <w:rFonts w:ascii="Times" w:hAnsi="Times" w:cs="Calibri"/>
                <w:color w:val="000000"/>
                <w:sz w:val="20"/>
                <w:szCs w:val="20"/>
              </w:rPr>
            </w:pPr>
            <w:r w:rsidRPr="00C22E0C">
              <w:rPr>
                <w:rFonts w:ascii="Times" w:hAnsi="Times" w:cs="Calibri"/>
                <w:color w:val="000000"/>
                <w:sz w:val="20"/>
                <w:szCs w:val="20"/>
              </w:rPr>
              <w:t>C ~ 1 + Biome + Duration + SiltPct + MAT + PWQ + log(Aridity)</w:t>
            </w:r>
          </w:p>
        </w:tc>
        <w:tc>
          <w:tcPr>
            <w:tcW w:w="1980" w:type="dxa"/>
            <w:tcBorders>
              <w:top w:val="nil"/>
              <w:left w:val="nil"/>
              <w:bottom w:val="nil"/>
              <w:right w:val="nil"/>
            </w:tcBorders>
            <w:shd w:val="clear" w:color="auto" w:fill="F2F2F2" w:themeFill="background1" w:themeFillShade="F2"/>
            <w:noWrap/>
            <w:vAlign w:val="center"/>
            <w:hideMark/>
          </w:tcPr>
          <w:p w14:paraId="0BE12B9C" w14:textId="77777777" w:rsidR="0030211E" w:rsidRPr="00C22E0C" w:rsidRDefault="0030211E" w:rsidP="00315655">
            <w:pPr>
              <w:jc w:val="center"/>
              <w:rPr>
                <w:rFonts w:ascii="Times" w:hAnsi="Times" w:cs="Calibri"/>
                <w:color w:val="000000"/>
                <w:sz w:val="20"/>
                <w:szCs w:val="20"/>
              </w:rPr>
            </w:pPr>
            <w:r w:rsidRPr="00C22E0C">
              <w:rPr>
                <w:rFonts w:ascii="Times" w:hAnsi="Times" w:cs="Calibri"/>
                <w:color w:val="000000"/>
                <w:sz w:val="20"/>
                <w:szCs w:val="20"/>
              </w:rPr>
              <w:t>-MA</w:t>
            </w:r>
            <w:r>
              <w:rPr>
                <w:rFonts w:ascii="Times" w:hAnsi="Times" w:cs="Calibri"/>
                <w:color w:val="000000"/>
                <w:sz w:val="20"/>
                <w:szCs w:val="20"/>
              </w:rPr>
              <w:t>P</w:t>
            </w:r>
          </w:p>
        </w:tc>
      </w:tr>
    </w:tbl>
    <w:p w14:paraId="79F71038" w14:textId="77777777" w:rsidR="0030211E" w:rsidRPr="00D97D94" w:rsidRDefault="0030211E" w:rsidP="0030211E">
      <w:pPr>
        <w:rPr>
          <w:rFonts w:ascii="Times" w:hAnsi="Times"/>
          <w:sz w:val="22"/>
          <w:szCs w:val="22"/>
        </w:rPr>
      </w:pPr>
    </w:p>
    <w:p w14:paraId="16363B84" w14:textId="77777777" w:rsidR="0030211E" w:rsidRPr="00D97D94" w:rsidRDefault="0030211E" w:rsidP="0030211E">
      <w:pPr>
        <w:pBdr>
          <w:top w:val="single" w:sz="4" w:space="1" w:color="auto"/>
        </w:pBdr>
        <w:rPr>
          <w:rFonts w:ascii="Times" w:hAnsi="Times"/>
          <w:b/>
          <w:bCs/>
          <w:sz w:val="22"/>
          <w:szCs w:val="22"/>
        </w:rPr>
      </w:pPr>
      <w:r w:rsidRPr="00D97D94">
        <w:rPr>
          <w:rFonts w:ascii="Times" w:hAnsi="Times"/>
          <w:b/>
          <w:bCs/>
          <w:sz w:val="22"/>
          <w:szCs w:val="22"/>
        </w:rPr>
        <w:t>Weighted variable importance from model selection</w:t>
      </w:r>
    </w:p>
    <w:tbl>
      <w:tblPr>
        <w:tblW w:w="9360" w:type="dxa"/>
        <w:tblBorders>
          <w:bottom w:val="single" w:sz="4" w:space="0" w:color="auto"/>
        </w:tblBorders>
        <w:tblLook w:val="04A0" w:firstRow="1" w:lastRow="0" w:firstColumn="1" w:lastColumn="0" w:noHBand="0" w:noVBand="1"/>
      </w:tblPr>
      <w:tblGrid>
        <w:gridCol w:w="1551"/>
        <w:gridCol w:w="1309"/>
        <w:gridCol w:w="1309"/>
        <w:gridCol w:w="1297"/>
        <w:gridCol w:w="1298"/>
        <w:gridCol w:w="1298"/>
        <w:gridCol w:w="1298"/>
      </w:tblGrid>
      <w:tr w:rsidR="0030211E" w:rsidRPr="00D97D94" w14:paraId="2329D5B6" w14:textId="77777777" w:rsidTr="00315655">
        <w:trPr>
          <w:trHeight w:val="320"/>
        </w:trPr>
        <w:tc>
          <w:tcPr>
            <w:tcW w:w="1551" w:type="dxa"/>
            <w:shd w:val="clear" w:color="auto" w:fill="auto"/>
            <w:noWrap/>
            <w:vAlign w:val="bottom"/>
            <w:hideMark/>
          </w:tcPr>
          <w:p w14:paraId="39960481" w14:textId="77777777" w:rsidR="0030211E" w:rsidRPr="00D97D94" w:rsidRDefault="0030211E" w:rsidP="00315655">
            <w:pPr>
              <w:rPr>
                <w:rFonts w:ascii="Times" w:hAnsi="Times" w:cs="Calibri"/>
                <w:color w:val="000000"/>
                <w:sz w:val="22"/>
                <w:szCs w:val="22"/>
              </w:rPr>
            </w:pPr>
            <w:r w:rsidRPr="00D97D94">
              <w:rPr>
                <w:rFonts w:ascii="Times" w:hAnsi="Times" w:cs="Calibri"/>
                <w:color w:val="000000"/>
                <w:sz w:val="22"/>
                <w:szCs w:val="22"/>
              </w:rPr>
              <w:t>Variable</w:t>
            </w:r>
          </w:p>
        </w:tc>
        <w:tc>
          <w:tcPr>
            <w:tcW w:w="1309" w:type="dxa"/>
            <w:shd w:val="clear" w:color="auto" w:fill="auto"/>
            <w:noWrap/>
            <w:vAlign w:val="bottom"/>
          </w:tcPr>
          <w:p w14:paraId="4B37A2A1" w14:textId="77777777" w:rsidR="0030211E" w:rsidRPr="00D97D94" w:rsidRDefault="0030211E" w:rsidP="00315655">
            <w:pPr>
              <w:rPr>
                <w:rFonts w:ascii="Times" w:hAnsi="Times" w:cs="Calibri"/>
                <w:color w:val="000000"/>
                <w:sz w:val="22"/>
                <w:szCs w:val="22"/>
              </w:rPr>
            </w:pPr>
          </w:p>
        </w:tc>
        <w:tc>
          <w:tcPr>
            <w:tcW w:w="1309" w:type="dxa"/>
            <w:vAlign w:val="bottom"/>
          </w:tcPr>
          <w:p w14:paraId="3066C531" w14:textId="77777777" w:rsidR="0030211E" w:rsidRPr="00D97D94" w:rsidRDefault="0030211E" w:rsidP="00315655">
            <w:pPr>
              <w:rPr>
                <w:rFonts w:ascii="Times" w:hAnsi="Times" w:cs="Calibri"/>
                <w:color w:val="000000"/>
                <w:sz w:val="22"/>
                <w:szCs w:val="22"/>
              </w:rPr>
            </w:pPr>
            <w:r w:rsidRPr="00D97D94">
              <w:rPr>
                <w:rFonts w:ascii="Times" w:hAnsi="Times" w:cs="Calibri"/>
                <w:color w:val="000000"/>
                <w:sz w:val="22"/>
                <w:szCs w:val="22"/>
              </w:rPr>
              <w:t>Importance</w:t>
            </w:r>
          </w:p>
        </w:tc>
        <w:tc>
          <w:tcPr>
            <w:tcW w:w="1297" w:type="dxa"/>
          </w:tcPr>
          <w:p w14:paraId="71A7C64F" w14:textId="77777777" w:rsidR="0030211E" w:rsidRPr="00D97D94" w:rsidRDefault="0030211E" w:rsidP="00315655">
            <w:pPr>
              <w:rPr>
                <w:rFonts w:ascii="Times" w:hAnsi="Times" w:cs="Calibri"/>
                <w:color w:val="000000"/>
                <w:sz w:val="22"/>
                <w:szCs w:val="22"/>
              </w:rPr>
            </w:pPr>
          </w:p>
        </w:tc>
        <w:tc>
          <w:tcPr>
            <w:tcW w:w="1298" w:type="dxa"/>
          </w:tcPr>
          <w:p w14:paraId="4C6FB8EA" w14:textId="77777777" w:rsidR="0030211E" w:rsidRPr="00D97D94" w:rsidRDefault="0030211E" w:rsidP="00315655">
            <w:pPr>
              <w:rPr>
                <w:rFonts w:ascii="Times" w:hAnsi="Times" w:cs="Calibri"/>
                <w:color w:val="000000"/>
                <w:sz w:val="22"/>
                <w:szCs w:val="22"/>
              </w:rPr>
            </w:pPr>
          </w:p>
        </w:tc>
        <w:tc>
          <w:tcPr>
            <w:tcW w:w="1298" w:type="dxa"/>
          </w:tcPr>
          <w:p w14:paraId="7515B85B" w14:textId="77777777" w:rsidR="0030211E" w:rsidRPr="00D97D94" w:rsidRDefault="0030211E" w:rsidP="00315655">
            <w:pPr>
              <w:rPr>
                <w:rFonts w:ascii="Times" w:hAnsi="Times" w:cs="Calibri"/>
                <w:color w:val="000000"/>
                <w:sz w:val="22"/>
                <w:szCs w:val="22"/>
              </w:rPr>
            </w:pPr>
          </w:p>
        </w:tc>
        <w:tc>
          <w:tcPr>
            <w:tcW w:w="1298" w:type="dxa"/>
          </w:tcPr>
          <w:p w14:paraId="5D4E629C" w14:textId="77777777" w:rsidR="0030211E" w:rsidRPr="00D97D94" w:rsidRDefault="0030211E" w:rsidP="00315655">
            <w:pPr>
              <w:rPr>
                <w:rFonts w:ascii="Times" w:hAnsi="Times" w:cs="Calibri"/>
                <w:color w:val="000000"/>
                <w:sz w:val="22"/>
                <w:szCs w:val="22"/>
              </w:rPr>
            </w:pPr>
          </w:p>
        </w:tc>
      </w:tr>
      <w:tr w:rsidR="0030211E" w:rsidRPr="00D97D94" w14:paraId="126DD7ED" w14:textId="77777777" w:rsidTr="00315655">
        <w:trPr>
          <w:trHeight w:val="320"/>
        </w:trPr>
        <w:tc>
          <w:tcPr>
            <w:tcW w:w="2860" w:type="dxa"/>
            <w:gridSpan w:val="2"/>
            <w:shd w:val="clear" w:color="auto" w:fill="auto"/>
            <w:noWrap/>
            <w:vAlign w:val="bottom"/>
            <w:hideMark/>
          </w:tcPr>
          <w:p w14:paraId="16F87532" w14:textId="77777777" w:rsidR="0030211E" w:rsidRPr="00D97D94" w:rsidRDefault="0030211E" w:rsidP="00315655">
            <w:pPr>
              <w:jc w:val="right"/>
              <w:rPr>
                <w:rFonts w:ascii="Times" w:hAnsi="Times" w:cs="Calibri"/>
                <w:b/>
                <w:bCs/>
                <w:color w:val="000000"/>
                <w:sz w:val="22"/>
                <w:szCs w:val="22"/>
              </w:rPr>
            </w:pPr>
            <w:r>
              <w:rPr>
                <w:rFonts w:ascii="Times" w:hAnsi="Times" w:cs="Calibri"/>
                <w:b/>
                <w:bCs/>
                <w:color w:val="000000"/>
                <w:sz w:val="22"/>
                <w:szCs w:val="22"/>
              </w:rPr>
              <w:t>Biome</w:t>
            </w:r>
          </w:p>
        </w:tc>
        <w:tc>
          <w:tcPr>
            <w:tcW w:w="1309" w:type="dxa"/>
            <w:vAlign w:val="bottom"/>
          </w:tcPr>
          <w:p w14:paraId="54B4BCFB" w14:textId="77777777" w:rsidR="0030211E" w:rsidRPr="00D97D94" w:rsidRDefault="0030211E" w:rsidP="00315655">
            <w:pPr>
              <w:jc w:val="right"/>
              <w:rPr>
                <w:rFonts w:ascii="Times" w:hAnsi="Times" w:cs="Calibri"/>
                <w:b/>
                <w:bCs/>
                <w:color w:val="000000"/>
                <w:sz w:val="22"/>
                <w:szCs w:val="22"/>
              </w:rPr>
            </w:pPr>
            <w:r w:rsidRPr="00D97D94">
              <w:rPr>
                <w:rFonts w:ascii="Times" w:hAnsi="Times" w:cs="Calibri"/>
                <w:b/>
                <w:bCs/>
                <w:color w:val="000000"/>
                <w:sz w:val="22"/>
                <w:szCs w:val="22"/>
              </w:rPr>
              <w:t>1</w:t>
            </w:r>
          </w:p>
        </w:tc>
        <w:tc>
          <w:tcPr>
            <w:tcW w:w="1297" w:type="dxa"/>
          </w:tcPr>
          <w:p w14:paraId="34C2BD67" w14:textId="77777777" w:rsidR="0030211E" w:rsidRPr="00D97D94" w:rsidRDefault="0030211E" w:rsidP="00315655">
            <w:pPr>
              <w:jc w:val="right"/>
              <w:rPr>
                <w:rFonts w:ascii="Times" w:hAnsi="Times" w:cs="Calibri"/>
                <w:b/>
                <w:bCs/>
                <w:color w:val="000000"/>
                <w:sz w:val="22"/>
                <w:szCs w:val="22"/>
              </w:rPr>
            </w:pPr>
          </w:p>
        </w:tc>
        <w:tc>
          <w:tcPr>
            <w:tcW w:w="1298" w:type="dxa"/>
          </w:tcPr>
          <w:p w14:paraId="2DE8F88D" w14:textId="77777777" w:rsidR="0030211E" w:rsidRPr="00D97D94" w:rsidRDefault="0030211E" w:rsidP="00315655">
            <w:pPr>
              <w:jc w:val="right"/>
              <w:rPr>
                <w:rFonts w:ascii="Times" w:hAnsi="Times" w:cs="Calibri"/>
                <w:b/>
                <w:bCs/>
                <w:color w:val="000000"/>
                <w:sz w:val="22"/>
                <w:szCs w:val="22"/>
              </w:rPr>
            </w:pPr>
          </w:p>
        </w:tc>
        <w:tc>
          <w:tcPr>
            <w:tcW w:w="1298" w:type="dxa"/>
          </w:tcPr>
          <w:p w14:paraId="5D9414C9" w14:textId="77777777" w:rsidR="0030211E" w:rsidRPr="00D97D94" w:rsidRDefault="0030211E" w:rsidP="00315655">
            <w:pPr>
              <w:jc w:val="right"/>
              <w:rPr>
                <w:rFonts w:ascii="Times" w:hAnsi="Times" w:cs="Calibri"/>
                <w:b/>
                <w:bCs/>
                <w:color w:val="000000"/>
                <w:sz w:val="22"/>
                <w:szCs w:val="22"/>
              </w:rPr>
            </w:pPr>
          </w:p>
        </w:tc>
        <w:tc>
          <w:tcPr>
            <w:tcW w:w="1298" w:type="dxa"/>
          </w:tcPr>
          <w:p w14:paraId="14EE3B83" w14:textId="77777777" w:rsidR="0030211E" w:rsidRPr="00D97D94" w:rsidRDefault="0030211E" w:rsidP="00315655">
            <w:pPr>
              <w:jc w:val="right"/>
              <w:rPr>
                <w:rFonts w:ascii="Times" w:hAnsi="Times" w:cs="Calibri"/>
                <w:b/>
                <w:bCs/>
                <w:color w:val="000000"/>
                <w:sz w:val="22"/>
                <w:szCs w:val="22"/>
              </w:rPr>
            </w:pPr>
          </w:p>
        </w:tc>
      </w:tr>
      <w:tr w:rsidR="0030211E" w:rsidRPr="00D97D94" w14:paraId="312C826D" w14:textId="77777777" w:rsidTr="00315655">
        <w:trPr>
          <w:trHeight w:val="320"/>
        </w:trPr>
        <w:tc>
          <w:tcPr>
            <w:tcW w:w="2860" w:type="dxa"/>
            <w:gridSpan w:val="2"/>
            <w:shd w:val="clear" w:color="auto" w:fill="auto"/>
            <w:noWrap/>
            <w:vAlign w:val="bottom"/>
            <w:hideMark/>
          </w:tcPr>
          <w:p w14:paraId="1B014F94" w14:textId="77777777" w:rsidR="0030211E" w:rsidRPr="00D97D94" w:rsidRDefault="0030211E" w:rsidP="00315655">
            <w:pPr>
              <w:jc w:val="right"/>
              <w:rPr>
                <w:rFonts w:ascii="Times" w:hAnsi="Times" w:cs="Calibri"/>
                <w:b/>
                <w:bCs/>
                <w:color w:val="000000"/>
                <w:sz w:val="22"/>
                <w:szCs w:val="22"/>
              </w:rPr>
            </w:pPr>
            <w:r>
              <w:rPr>
                <w:rFonts w:ascii="Times" w:hAnsi="Times" w:cs="Calibri"/>
                <w:b/>
                <w:bCs/>
                <w:color w:val="000000"/>
                <w:sz w:val="22"/>
                <w:szCs w:val="22"/>
              </w:rPr>
              <w:t>Duration</w:t>
            </w:r>
          </w:p>
        </w:tc>
        <w:tc>
          <w:tcPr>
            <w:tcW w:w="1309" w:type="dxa"/>
            <w:vAlign w:val="bottom"/>
          </w:tcPr>
          <w:p w14:paraId="1C56A840" w14:textId="77777777" w:rsidR="0030211E" w:rsidRPr="00D97D94" w:rsidRDefault="0030211E" w:rsidP="00315655">
            <w:pPr>
              <w:jc w:val="right"/>
              <w:rPr>
                <w:rFonts w:ascii="Times" w:hAnsi="Times" w:cs="Calibri"/>
                <w:b/>
                <w:bCs/>
                <w:color w:val="000000"/>
                <w:sz w:val="22"/>
                <w:szCs w:val="22"/>
              </w:rPr>
            </w:pPr>
            <w:r w:rsidRPr="00D97D94">
              <w:rPr>
                <w:rFonts w:ascii="Times" w:hAnsi="Times" w:cs="Calibri"/>
                <w:b/>
                <w:bCs/>
                <w:color w:val="000000"/>
                <w:sz w:val="22"/>
                <w:szCs w:val="22"/>
              </w:rPr>
              <w:t>1</w:t>
            </w:r>
          </w:p>
        </w:tc>
        <w:tc>
          <w:tcPr>
            <w:tcW w:w="1297" w:type="dxa"/>
          </w:tcPr>
          <w:p w14:paraId="43815DAA" w14:textId="77777777" w:rsidR="0030211E" w:rsidRPr="00D97D94" w:rsidRDefault="0030211E" w:rsidP="00315655">
            <w:pPr>
              <w:jc w:val="right"/>
              <w:rPr>
                <w:rFonts w:ascii="Times" w:hAnsi="Times" w:cs="Calibri"/>
                <w:b/>
                <w:bCs/>
                <w:color w:val="000000"/>
                <w:sz w:val="22"/>
                <w:szCs w:val="22"/>
              </w:rPr>
            </w:pPr>
          </w:p>
        </w:tc>
        <w:tc>
          <w:tcPr>
            <w:tcW w:w="1298" w:type="dxa"/>
          </w:tcPr>
          <w:p w14:paraId="54F3285C" w14:textId="77777777" w:rsidR="0030211E" w:rsidRPr="00D97D94" w:rsidRDefault="0030211E" w:rsidP="00315655">
            <w:pPr>
              <w:jc w:val="right"/>
              <w:rPr>
                <w:rFonts w:ascii="Times" w:hAnsi="Times" w:cs="Calibri"/>
                <w:b/>
                <w:bCs/>
                <w:color w:val="000000"/>
                <w:sz w:val="22"/>
                <w:szCs w:val="22"/>
              </w:rPr>
            </w:pPr>
          </w:p>
        </w:tc>
        <w:tc>
          <w:tcPr>
            <w:tcW w:w="1298" w:type="dxa"/>
          </w:tcPr>
          <w:p w14:paraId="0F6036F4" w14:textId="77777777" w:rsidR="0030211E" w:rsidRPr="00D97D94" w:rsidRDefault="0030211E" w:rsidP="00315655">
            <w:pPr>
              <w:jc w:val="right"/>
              <w:rPr>
                <w:rFonts w:ascii="Times" w:hAnsi="Times" w:cs="Calibri"/>
                <w:b/>
                <w:bCs/>
                <w:color w:val="000000"/>
                <w:sz w:val="22"/>
                <w:szCs w:val="22"/>
              </w:rPr>
            </w:pPr>
          </w:p>
        </w:tc>
        <w:tc>
          <w:tcPr>
            <w:tcW w:w="1298" w:type="dxa"/>
          </w:tcPr>
          <w:p w14:paraId="7928E6D5" w14:textId="77777777" w:rsidR="0030211E" w:rsidRPr="00D97D94" w:rsidRDefault="0030211E" w:rsidP="00315655">
            <w:pPr>
              <w:jc w:val="right"/>
              <w:rPr>
                <w:rFonts w:ascii="Times" w:hAnsi="Times" w:cs="Calibri"/>
                <w:b/>
                <w:bCs/>
                <w:color w:val="000000"/>
                <w:sz w:val="22"/>
                <w:szCs w:val="22"/>
              </w:rPr>
            </w:pPr>
          </w:p>
        </w:tc>
      </w:tr>
      <w:tr w:rsidR="0030211E" w:rsidRPr="00D97D94" w14:paraId="57E996B5" w14:textId="77777777" w:rsidTr="00315655">
        <w:trPr>
          <w:trHeight w:val="320"/>
        </w:trPr>
        <w:tc>
          <w:tcPr>
            <w:tcW w:w="2860" w:type="dxa"/>
            <w:gridSpan w:val="2"/>
            <w:shd w:val="clear" w:color="auto" w:fill="auto"/>
            <w:noWrap/>
            <w:vAlign w:val="bottom"/>
            <w:hideMark/>
          </w:tcPr>
          <w:p w14:paraId="13944B9E" w14:textId="77777777" w:rsidR="0030211E" w:rsidRPr="00D97D94" w:rsidRDefault="0030211E" w:rsidP="00315655">
            <w:pPr>
              <w:jc w:val="right"/>
              <w:rPr>
                <w:rFonts w:ascii="Times" w:hAnsi="Times" w:cs="Calibri"/>
                <w:b/>
                <w:bCs/>
                <w:color w:val="000000"/>
                <w:sz w:val="22"/>
                <w:szCs w:val="22"/>
              </w:rPr>
            </w:pPr>
            <w:r w:rsidRPr="00D97D94">
              <w:rPr>
                <w:rFonts w:ascii="Times" w:hAnsi="Times" w:cs="Calibri"/>
                <w:b/>
                <w:bCs/>
                <w:color w:val="000000"/>
                <w:sz w:val="22"/>
                <w:szCs w:val="22"/>
              </w:rPr>
              <w:t>Aridity</w:t>
            </w:r>
          </w:p>
        </w:tc>
        <w:tc>
          <w:tcPr>
            <w:tcW w:w="1309" w:type="dxa"/>
            <w:vAlign w:val="bottom"/>
          </w:tcPr>
          <w:p w14:paraId="3B25B2D5" w14:textId="77777777" w:rsidR="0030211E" w:rsidRPr="00D97D94" w:rsidRDefault="0030211E" w:rsidP="00315655">
            <w:pPr>
              <w:jc w:val="right"/>
              <w:rPr>
                <w:rFonts w:ascii="Times" w:hAnsi="Times" w:cs="Calibri"/>
                <w:b/>
                <w:bCs/>
                <w:color w:val="000000"/>
                <w:sz w:val="22"/>
                <w:szCs w:val="22"/>
              </w:rPr>
            </w:pPr>
            <w:r w:rsidRPr="00D97D94">
              <w:rPr>
                <w:rFonts w:ascii="Times" w:hAnsi="Times" w:cs="Calibri"/>
                <w:b/>
                <w:bCs/>
                <w:color w:val="000000"/>
                <w:sz w:val="22"/>
                <w:szCs w:val="22"/>
              </w:rPr>
              <w:t>0.99</w:t>
            </w:r>
          </w:p>
        </w:tc>
        <w:tc>
          <w:tcPr>
            <w:tcW w:w="1297" w:type="dxa"/>
          </w:tcPr>
          <w:p w14:paraId="304A6554" w14:textId="77777777" w:rsidR="0030211E" w:rsidRPr="00D97D94" w:rsidRDefault="0030211E" w:rsidP="00315655">
            <w:pPr>
              <w:jc w:val="right"/>
              <w:rPr>
                <w:rFonts w:ascii="Times" w:hAnsi="Times" w:cs="Calibri"/>
                <w:b/>
                <w:bCs/>
                <w:color w:val="000000"/>
                <w:sz w:val="22"/>
                <w:szCs w:val="22"/>
              </w:rPr>
            </w:pPr>
          </w:p>
        </w:tc>
        <w:tc>
          <w:tcPr>
            <w:tcW w:w="1298" w:type="dxa"/>
          </w:tcPr>
          <w:p w14:paraId="311E1A16" w14:textId="77777777" w:rsidR="0030211E" w:rsidRPr="00D97D94" w:rsidRDefault="0030211E" w:rsidP="00315655">
            <w:pPr>
              <w:jc w:val="right"/>
              <w:rPr>
                <w:rFonts w:ascii="Times" w:hAnsi="Times" w:cs="Calibri"/>
                <w:b/>
                <w:bCs/>
                <w:color w:val="000000"/>
                <w:sz w:val="22"/>
                <w:szCs w:val="22"/>
              </w:rPr>
            </w:pPr>
          </w:p>
        </w:tc>
        <w:tc>
          <w:tcPr>
            <w:tcW w:w="1298" w:type="dxa"/>
          </w:tcPr>
          <w:p w14:paraId="6ADB9E46" w14:textId="77777777" w:rsidR="0030211E" w:rsidRPr="00D97D94" w:rsidRDefault="0030211E" w:rsidP="00315655">
            <w:pPr>
              <w:jc w:val="right"/>
              <w:rPr>
                <w:rFonts w:ascii="Times" w:hAnsi="Times" w:cs="Calibri"/>
                <w:b/>
                <w:bCs/>
                <w:color w:val="000000"/>
                <w:sz w:val="22"/>
                <w:szCs w:val="22"/>
              </w:rPr>
            </w:pPr>
          </w:p>
        </w:tc>
        <w:tc>
          <w:tcPr>
            <w:tcW w:w="1298" w:type="dxa"/>
          </w:tcPr>
          <w:p w14:paraId="0653CCEF" w14:textId="77777777" w:rsidR="0030211E" w:rsidRPr="00D97D94" w:rsidRDefault="0030211E" w:rsidP="00315655">
            <w:pPr>
              <w:jc w:val="right"/>
              <w:rPr>
                <w:rFonts w:ascii="Times" w:hAnsi="Times" w:cs="Calibri"/>
                <w:b/>
                <w:bCs/>
                <w:color w:val="000000"/>
                <w:sz w:val="22"/>
                <w:szCs w:val="22"/>
              </w:rPr>
            </w:pPr>
          </w:p>
        </w:tc>
      </w:tr>
      <w:tr w:rsidR="0030211E" w:rsidRPr="00D97D94" w14:paraId="1C41604F" w14:textId="77777777" w:rsidTr="00315655">
        <w:trPr>
          <w:trHeight w:val="320"/>
        </w:trPr>
        <w:tc>
          <w:tcPr>
            <w:tcW w:w="2860" w:type="dxa"/>
            <w:gridSpan w:val="2"/>
            <w:shd w:val="clear" w:color="auto" w:fill="auto"/>
            <w:noWrap/>
            <w:vAlign w:val="bottom"/>
            <w:hideMark/>
          </w:tcPr>
          <w:p w14:paraId="37478C33" w14:textId="77777777" w:rsidR="0030211E" w:rsidRPr="00D97D94" w:rsidRDefault="0030211E" w:rsidP="00315655">
            <w:pPr>
              <w:jc w:val="right"/>
              <w:rPr>
                <w:rFonts w:ascii="Times" w:hAnsi="Times" w:cs="Calibri"/>
                <w:b/>
                <w:bCs/>
                <w:color w:val="000000"/>
                <w:sz w:val="22"/>
                <w:szCs w:val="22"/>
              </w:rPr>
            </w:pPr>
            <w:r w:rsidRPr="00D97D94">
              <w:rPr>
                <w:rFonts w:ascii="Times" w:hAnsi="Times" w:cs="Calibri"/>
                <w:b/>
                <w:bCs/>
                <w:color w:val="000000"/>
                <w:sz w:val="22"/>
                <w:szCs w:val="22"/>
              </w:rPr>
              <w:t>Precipitation seasonality</w:t>
            </w:r>
          </w:p>
        </w:tc>
        <w:tc>
          <w:tcPr>
            <w:tcW w:w="1309" w:type="dxa"/>
            <w:vAlign w:val="bottom"/>
          </w:tcPr>
          <w:p w14:paraId="4EDA5053" w14:textId="77777777" w:rsidR="0030211E" w:rsidRPr="00D97D94" w:rsidRDefault="0030211E" w:rsidP="00315655">
            <w:pPr>
              <w:jc w:val="right"/>
              <w:rPr>
                <w:rFonts w:ascii="Times" w:hAnsi="Times" w:cs="Calibri"/>
                <w:b/>
                <w:bCs/>
                <w:color w:val="000000"/>
                <w:sz w:val="22"/>
                <w:szCs w:val="22"/>
              </w:rPr>
            </w:pPr>
            <w:r w:rsidRPr="00D97D94">
              <w:rPr>
                <w:rFonts w:ascii="Times" w:hAnsi="Times" w:cs="Calibri"/>
                <w:b/>
                <w:bCs/>
                <w:color w:val="000000"/>
                <w:sz w:val="22"/>
                <w:szCs w:val="22"/>
              </w:rPr>
              <w:t>0.75</w:t>
            </w:r>
          </w:p>
        </w:tc>
        <w:tc>
          <w:tcPr>
            <w:tcW w:w="1297" w:type="dxa"/>
          </w:tcPr>
          <w:p w14:paraId="28486B27" w14:textId="77777777" w:rsidR="0030211E" w:rsidRPr="00D97D94" w:rsidRDefault="0030211E" w:rsidP="00315655">
            <w:pPr>
              <w:jc w:val="right"/>
              <w:rPr>
                <w:rFonts w:ascii="Times" w:hAnsi="Times" w:cs="Calibri"/>
                <w:b/>
                <w:bCs/>
                <w:color w:val="000000"/>
                <w:sz w:val="22"/>
                <w:szCs w:val="22"/>
              </w:rPr>
            </w:pPr>
          </w:p>
        </w:tc>
        <w:tc>
          <w:tcPr>
            <w:tcW w:w="1298" w:type="dxa"/>
          </w:tcPr>
          <w:p w14:paraId="7D437954" w14:textId="77777777" w:rsidR="0030211E" w:rsidRPr="00D97D94" w:rsidRDefault="0030211E" w:rsidP="00315655">
            <w:pPr>
              <w:jc w:val="right"/>
              <w:rPr>
                <w:rFonts w:ascii="Times" w:hAnsi="Times" w:cs="Calibri"/>
                <w:b/>
                <w:bCs/>
                <w:color w:val="000000"/>
                <w:sz w:val="22"/>
                <w:szCs w:val="22"/>
              </w:rPr>
            </w:pPr>
          </w:p>
        </w:tc>
        <w:tc>
          <w:tcPr>
            <w:tcW w:w="1298" w:type="dxa"/>
          </w:tcPr>
          <w:p w14:paraId="20927445" w14:textId="77777777" w:rsidR="0030211E" w:rsidRPr="00D97D94" w:rsidRDefault="0030211E" w:rsidP="00315655">
            <w:pPr>
              <w:jc w:val="right"/>
              <w:rPr>
                <w:rFonts w:ascii="Times" w:hAnsi="Times" w:cs="Calibri"/>
                <w:b/>
                <w:bCs/>
                <w:color w:val="000000"/>
                <w:sz w:val="22"/>
                <w:szCs w:val="22"/>
              </w:rPr>
            </w:pPr>
          </w:p>
        </w:tc>
        <w:tc>
          <w:tcPr>
            <w:tcW w:w="1298" w:type="dxa"/>
          </w:tcPr>
          <w:p w14:paraId="2D832C25" w14:textId="77777777" w:rsidR="0030211E" w:rsidRPr="00D97D94" w:rsidRDefault="0030211E" w:rsidP="00315655">
            <w:pPr>
              <w:jc w:val="right"/>
              <w:rPr>
                <w:rFonts w:ascii="Times" w:hAnsi="Times" w:cs="Calibri"/>
                <w:b/>
                <w:bCs/>
                <w:color w:val="000000"/>
                <w:sz w:val="22"/>
                <w:szCs w:val="22"/>
              </w:rPr>
            </w:pPr>
          </w:p>
        </w:tc>
      </w:tr>
      <w:tr w:rsidR="0030211E" w:rsidRPr="00D97D94" w14:paraId="34869850" w14:textId="77777777" w:rsidTr="00315655">
        <w:trPr>
          <w:trHeight w:val="320"/>
        </w:trPr>
        <w:tc>
          <w:tcPr>
            <w:tcW w:w="2860" w:type="dxa"/>
            <w:gridSpan w:val="2"/>
            <w:shd w:val="clear" w:color="auto" w:fill="auto"/>
            <w:noWrap/>
            <w:vAlign w:val="bottom"/>
            <w:hideMark/>
          </w:tcPr>
          <w:p w14:paraId="13187A83" w14:textId="77777777" w:rsidR="0030211E" w:rsidRPr="00D97D94" w:rsidRDefault="0030211E" w:rsidP="00315655">
            <w:pPr>
              <w:jc w:val="right"/>
              <w:rPr>
                <w:rFonts w:ascii="Times" w:hAnsi="Times" w:cs="Calibri"/>
                <w:b/>
                <w:bCs/>
                <w:color w:val="000000"/>
                <w:sz w:val="22"/>
                <w:szCs w:val="22"/>
              </w:rPr>
            </w:pPr>
            <w:r w:rsidRPr="00D97D94">
              <w:rPr>
                <w:rFonts w:ascii="Times" w:hAnsi="Times" w:cs="Calibri"/>
                <w:b/>
                <w:bCs/>
                <w:color w:val="000000"/>
                <w:sz w:val="22"/>
                <w:szCs w:val="22"/>
              </w:rPr>
              <w:t>Mean annual precipitation</w:t>
            </w:r>
          </w:p>
        </w:tc>
        <w:tc>
          <w:tcPr>
            <w:tcW w:w="1309" w:type="dxa"/>
            <w:vAlign w:val="bottom"/>
          </w:tcPr>
          <w:p w14:paraId="2D20B5D4" w14:textId="77777777" w:rsidR="0030211E" w:rsidRPr="00D97D94" w:rsidRDefault="0030211E" w:rsidP="00315655">
            <w:pPr>
              <w:jc w:val="right"/>
              <w:rPr>
                <w:rFonts w:ascii="Times" w:hAnsi="Times" w:cs="Calibri"/>
                <w:b/>
                <w:bCs/>
                <w:color w:val="000000"/>
                <w:sz w:val="22"/>
                <w:szCs w:val="22"/>
              </w:rPr>
            </w:pPr>
            <w:r w:rsidRPr="00D97D94">
              <w:rPr>
                <w:rFonts w:ascii="Times" w:hAnsi="Times" w:cs="Calibri"/>
                <w:b/>
                <w:bCs/>
                <w:color w:val="000000"/>
                <w:sz w:val="22"/>
                <w:szCs w:val="22"/>
              </w:rPr>
              <w:t>0.69</w:t>
            </w:r>
          </w:p>
        </w:tc>
        <w:tc>
          <w:tcPr>
            <w:tcW w:w="1297" w:type="dxa"/>
          </w:tcPr>
          <w:p w14:paraId="5AEC4F5E" w14:textId="77777777" w:rsidR="0030211E" w:rsidRPr="00D97D94" w:rsidRDefault="0030211E" w:rsidP="00315655">
            <w:pPr>
              <w:jc w:val="right"/>
              <w:rPr>
                <w:rFonts w:ascii="Times" w:hAnsi="Times" w:cs="Calibri"/>
                <w:b/>
                <w:bCs/>
                <w:color w:val="000000"/>
                <w:sz w:val="22"/>
                <w:szCs w:val="22"/>
              </w:rPr>
            </w:pPr>
          </w:p>
        </w:tc>
        <w:tc>
          <w:tcPr>
            <w:tcW w:w="1298" w:type="dxa"/>
          </w:tcPr>
          <w:p w14:paraId="36ADC2AF" w14:textId="77777777" w:rsidR="0030211E" w:rsidRPr="00D97D94" w:rsidRDefault="0030211E" w:rsidP="00315655">
            <w:pPr>
              <w:jc w:val="right"/>
              <w:rPr>
                <w:rFonts w:ascii="Times" w:hAnsi="Times" w:cs="Calibri"/>
                <w:b/>
                <w:bCs/>
                <w:color w:val="000000"/>
                <w:sz w:val="22"/>
                <w:szCs w:val="22"/>
              </w:rPr>
            </w:pPr>
          </w:p>
        </w:tc>
        <w:tc>
          <w:tcPr>
            <w:tcW w:w="1298" w:type="dxa"/>
          </w:tcPr>
          <w:p w14:paraId="43127EE1" w14:textId="77777777" w:rsidR="0030211E" w:rsidRPr="00D97D94" w:rsidRDefault="0030211E" w:rsidP="00315655">
            <w:pPr>
              <w:jc w:val="right"/>
              <w:rPr>
                <w:rFonts w:ascii="Times" w:hAnsi="Times" w:cs="Calibri"/>
                <w:b/>
                <w:bCs/>
                <w:color w:val="000000"/>
                <w:sz w:val="22"/>
                <w:szCs w:val="22"/>
              </w:rPr>
            </w:pPr>
          </w:p>
        </w:tc>
        <w:tc>
          <w:tcPr>
            <w:tcW w:w="1298" w:type="dxa"/>
          </w:tcPr>
          <w:p w14:paraId="379A4645" w14:textId="77777777" w:rsidR="0030211E" w:rsidRPr="00D97D94" w:rsidRDefault="0030211E" w:rsidP="00315655">
            <w:pPr>
              <w:jc w:val="right"/>
              <w:rPr>
                <w:rFonts w:ascii="Times" w:hAnsi="Times" w:cs="Calibri"/>
                <w:b/>
                <w:bCs/>
                <w:color w:val="000000"/>
                <w:sz w:val="22"/>
                <w:szCs w:val="22"/>
              </w:rPr>
            </w:pPr>
          </w:p>
        </w:tc>
      </w:tr>
      <w:tr w:rsidR="0030211E" w:rsidRPr="00D97D94" w14:paraId="02A71CF3" w14:textId="77777777" w:rsidTr="00315655">
        <w:trPr>
          <w:trHeight w:val="320"/>
        </w:trPr>
        <w:tc>
          <w:tcPr>
            <w:tcW w:w="2860" w:type="dxa"/>
            <w:gridSpan w:val="2"/>
            <w:shd w:val="clear" w:color="auto" w:fill="auto"/>
            <w:noWrap/>
            <w:vAlign w:val="bottom"/>
            <w:hideMark/>
          </w:tcPr>
          <w:p w14:paraId="2A8E0756" w14:textId="77777777" w:rsidR="0030211E" w:rsidRPr="00D97D94" w:rsidRDefault="0030211E" w:rsidP="00315655">
            <w:pPr>
              <w:jc w:val="right"/>
              <w:rPr>
                <w:rFonts w:ascii="Times" w:hAnsi="Times" w:cs="Calibri"/>
                <w:b/>
                <w:bCs/>
                <w:color w:val="000000"/>
                <w:sz w:val="22"/>
                <w:szCs w:val="22"/>
              </w:rPr>
            </w:pPr>
            <w:r w:rsidRPr="00D97D94">
              <w:rPr>
                <w:rFonts w:ascii="Times" w:hAnsi="Times" w:cs="Calibri"/>
                <w:b/>
                <w:bCs/>
                <w:color w:val="000000"/>
                <w:sz w:val="22"/>
                <w:szCs w:val="22"/>
              </w:rPr>
              <w:t>Silt percent</w:t>
            </w:r>
          </w:p>
        </w:tc>
        <w:tc>
          <w:tcPr>
            <w:tcW w:w="1309" w:type="dxa"/>
            <w:vAlign w:val="bottom"/>
          </w:tcPr>
          <w:p w14:paraId="25BC32A7" w14:textId="77777777" w:rsidR="0030211E" w:rsidRPr="00D97D94" w:rsidRDefault="0030211E" w:rsidP="00315655">
            <w:pPr>
              <w:jc w:val="right"/>
              <w:rPr>
                <w:rFonts w:ascii="Times" w:hAnsi="Times" w:cs="Calibri"/>
                <w:b/>
                <w:bCs/>
                <w:color w:val="000000"/>
                <w:sz w:val="22"/>
                <w:szCs w:val="22"/>
              </w:rPr>
            </w:pPr>
            <w:r w:rsidRPr="00D97D94">
              <w:rPr>
                <w:rFonts w:ascii="Times" w:hAnsi="Times" w:cs="Calibri"/>
                <w:b/>
                <w:bCs/>
                <w:color w:val="000000"/>
                <w:sz w:val="22"/>
                <w:szCs w:val="22"/>
              </w:rPr>
              <w:t>0.69</w:t>
            </w:r>
          </w:p>
        </w:tc>
        <w:tc>
          <w:tcPr>
            <w:tcW w:w="1297" w:type="dxa"/>
          </w:tcPr>
          <w:p w14:paraId="3FF0044A" w14:textId="77777777" w:rsidR="0030211E" w:rsidRPr="00D97D94" w:rsidRDefault="0030211E" w:rsidP="00315655">
            <w:pPr>
              <w:jc w:val="right"/>
              <w:rPr>
                <w:rFonts w:ascii="Times" w:hAnsi="Times" w:cs="Calibri"/>
                <w:color w:val="000000"/>
                <w:sz w:val="22"/>
                <w:szCs w:val="22"/>
              </w:rPr>
            </w:pPr>
          </w:p>
        </w:tc>
        <w:tc>
          <w:tcPr>
            <w:tcW w:w="1298" w:type="dxa"/>
          </w:tcPr>
          <w:p w14:paraId="75E159A1" w14:textId="77777777" w:rsidR="0030211E" w:rsidRPr="00D97D94" w:rsidRDefault="0030211E" w:rsidP="00315655">
            <w:pPr>
              <w:jc w:val="right"/>
              <w:rPr>
                <w:rFonts w:ascii="Times" w:hAnsi="Times" w:cs="Calibri"/>
                <w:color w:val="000000"/>
                <w:sz w:val="22"/>
                <w:szCs w:val="22"/>
              </w:rPr>
            </w:pPr>
          </w:p>
        </w:tc>
        <w:tc>
          <w:tcPr>
            <w:tcW w:w="1298" w:type="dxa"/>
          </w:tcPr>
          <w:p w14:paraId="61387204" w14:textId="77777777" w:rsidR="0030211E" w:rsidRPr="00D97D94" w:rsidRDefault="0030211E" w:rsidP="00315655">
            <w:pPr>
              <w:jc w:val="right"/>
              <w:rPr>
                <w:rFonts w:ascii="Times" w:hAnsi="Times" w:cs="Calibri"/>
                <w:color w:val="000000"/>
                <w:sz w:val="22"/>
                <w:szCs w:val="22"/>
              </w:rPr>
            </w:pPr>
          </w:p>
        </w:tc>
        <w:tc>
          <w:tcPr>
            <w:tcW w:w="1298" w:type="dxa"/>
          </w:tcPr>
          <w:p w14:paraId="4D7AFF75" w14:textId="77777777" w:rsidR="0030211E" w:rsidRPr="00D97D94" w:rsidRDefault="0030211E" w:rsidP="00315655">
            <w:pPr>
              <w:jc w:val="right"/>
              <w:rPr>
                <w:rFonts w:ascii="Times" w:hAnsi="Times" w:cs="Calibri"/>
                <w:color w:val="000000"/>
                <w:sz w:val="22"/>
                <w:szCs w:val="22"/>
              </w:rPr>
            </w:pPr>
          </w:p>
        </w:tc>
      </w:tr>
      <w:tr w:rsidR="0030211E" w:rsidRPr="00D97D94" w14:paraId="1DBC3C94" w14:textId="77777777" w:rsidTr="00315655">
        <w:trPr>
          <w:trHeight w:val="320"/>
        </w:trPr>
        <w:tc>
          <w:tcPr>
            <w:tcW w:w="2860" w:type="dxa"/>
            <w:gridSpan w:val="2"/>
            <w:shd w:val="clear" w:color="auto" w:fill="auto"/>
            <w:noWrap/>
            <w:vAlign w:val="bottom"/>
            <w:hideMark/>
          </w:tcPr>
          <w:p w14:paraId="600E49E7" w14:textId="77777777" w:rsidR="0030211E" w:rsidRPr="00D97D94" w:rsidRDefault="0030211E" w:rsidP="00315655">
            <w:pPr>
              <w:jc w:val="right"/>
              <w:rPr>
                <w:rFonts w:ascii="Times" w:hAnsi="Times" w:cs="Calibri"/>
                <w:b/>
                <w:bCs/>
                <w:color w:val="000000"/>
                <w:sz w:val="22"/>
                <w:szCs w:val="22"/>
              </w:rPr>
            </w:pPr>
            <w:r w:rsidRPr="00D97D94">
              <w:rPr>
                <w:rFonts w:ascii="Times" w:hAnsi="Times" w:cs="Calibri"/>
                <w:b/>
                <w:bCs/>
                <w:color w:val="000000"/>
                <w:sz w:val="22"/>
                <w:szCs w:val="22"/>
              </w:rPr>
              <w:t>Mean annual temperature</w:t>
            </w:r>
          </w:p>
        </w:tc>
        <w:tc>
          <w:tcPr>
            <w:tcW w:w="1309" w:type="dxa"/>
            <w:vAlign w:val="bottom"/>
          </w:tcPr>
          <w:p w14:paraId="1F360288" w14:textId="77777777" w:rsidR="0030211E" w:rsidRPr="00D97D94" w:rsidRDefault="0030211E" w:rsidP="00315655">
            <w:pPr>
              <w:jc w:val="right"/>
              <w:rPr>
                <w:rFonts w:ascii="Times" w:hAnsi="Times" w:cs="Calibri"/>
                <w:b/>
                <w:bCs/>
                <w:color w:val="000000"/>
                <w:sz w:val="22"/>
                <w:szCs w:val="22"/>
              </w:rPr>
            </w:pPr>
            <w:r w:rsidRPr="00D97D94">
              <w:rPr>
                <w:rFonts w:ascii="Times" w:hAnsi="Times" w:cs="Calibri"/>
                <w:b/>
                <w:bCs/>
                <w:color w:val="000000"/>
                <w:sz w:val="22"/>
                <w:szCs w:val="22"/>
              </w:rPr>
              <w:t>0.66</w:t>
            </w:r>
          </w:p>
        </w:tc>
        <w:tc>
          <w:tcPr>
            <w:tcW w:w="1297" w:type="dxa"/>
          </w:tcPr>
          <w:p w14:paraId="760BDD31" w14:textId="77777777" w:rsidR="0030211E" w:rsidRPr="00D97D94" w:rsidRDefault="0030211E" w:rsidP="00315655">
            <w:pPr>
              <w:jc w:val="right"/>
              <w:rPr>
                <w:rFonts w:ascii="Times" w:hAnsi="Times" w:cs="Calibri"/>
                <w:color w:val="000000"/>
                <w:sz w:val="22"/>
                <w:szCs w:val="22"/>
              </w:rPr>
            </w:pPr>
          </w:p>
        </w:tc>
        <w:tc>
          <w:tcPr>
            <w:tcW w:w="1298" w:type="dxa"/>
          </w:tcPr>
          <w:p w14:paraId="40318D13" w14:textId="77777777" w:rsidR="0030211E" w:rsidRPr="00D97D94" w:rsidRDefault="0030211E" w:rsidP="00315655">
            <w:pPr>
              <w:jc w:val="right"/>
              <w:rPr>
                <w:rFonts w:ascii="Times" w:hAnsi="Times" w:cs="Calibri"/>
                <w:color w:val="000000"/>
                <w:sz w:val="22"/>
                <w:szCs w:val="22"/>
              </w:rPr>
            </w:pPr>
          </w:p>
        </w:tc>
        <w:tc>
          <w:tcPr>
            <w:tcW w:w="1298" w:type="dxa"/>
          </w:tcPr>
          <w:p w14:paraId="47FDD783" w14:textId="77777777" w:rsidR="0030211E" w:rsidRPr="00D97D94" w:rsidRDefault="0030211E" w:rsidP="00315655">
            <w:pPr>
              <w:jc w:val="right"/>
              <w:rPr>
                <w:rFonts w:ascii="Times" w:hAnsi="Times" w:cs="Calibri"/>
                <w:color w:val="000000"/>
                <w:sz w:val="22"/>
                <w:szCs w:val="22"/>
              </w:rPr>
            </w:pPr>
          </w:p>
        </w:tc>
        <w:tc>
          <w:tcPr>
            <w:tcW w:w="1298" w:type="dxa"/>
          </w:tcPr>
          <w:p w14:paraId="70418C9C" w14:textId="77777777" w:rsidR="0030211E" w:rsidRPr="00D97D94" w:rsidRDefault="0030211E" w:rsidP="00315655">
            <w:pPr>
              <w:jc w:val="right"/>
              <w:rPr>
                <w:rFonts w:ascii="Times" w:hAnsi="Times" w:cs="Calibri"/>
                <w:color w:val="000000"/>
                <w:sz w:val="22"/>
                <w:szCs w:val="22"/>
              </w:rPr>
            </w:pPr>
          </w:p>
        </w:tc>
      </w:tr>
      <w:tr w:rsidR="0030211E" w:rsidRPr="00D97D94" w14:paraId="0000583F" w14:textId="77777777" w:rsidTr="00315655">
        <w:trPr>
          <w:trHeight w:val="320"/>
        </w:trPr>
        <w:tc>
          <w:tcPr>
            <w:tcW w:w="2860" w:type="dxa"/>
            <w:gridSpan w:val="2"/>
            <w:shd w:val="clear" w:color="auto" w:fill="auto"/>
            <w:noWrap/>
            <w:vAlign w:val="bottom"/>
            <w:hideMark/>
          </w:tcPr>
          <w:p w14:paraId="596CAFA3" w14:textId="77777777" w:rsidR="0030211E" w:rsidRPr="00D97D94" w:rsidRDefault="0030211E" w:rsidP="00315655">
            <w:pPr>
              <w:jc w:val="right"/>
              <w:rPr>
                <w:rFonts w:ascii="Times" w:hAnsi="Times" w:cs="Calibri"/>
                <w:color w:val="000000"/>
                <w:sz w:val="22"/>
                <w:szCs w:val="22"/>
              </w:rPr>
            </w:pPr>
            <w:r w:rsidRPr="00D97D94">
              <w:rPr>
                <w:rFonts w:ascii="Times" w:hAnsi="Times" w:cs="Calibri"/>
                <w:color w:val="000000"/>
                <w:sz w:val="22"/>
                <w:szCs w:val="22"/>
              </w:rPr>
              <w:t>Annual temperature range</w:t>
            </w:r>
          </w:p>
        </w:tc>
        <w:tc>
          <w:tcPr>
            <w:tcW w:w="1309" w:type="dxa"/>
            <w:vAlign w:val="bottom"/>
          </w:tcPr>
          <w:p w14:paraId="399AF10F" w14:textId="77777777" w:rsidR="0030211E" w:rsidRPr="00D97D94" w:rsidRDefault="0030211E" w:rsidP="00315655">
            <w:pPr>
              <w:jc w:val="right"/>
              <w:rPr>
                <w:rFonts w:ascii="Times" w:hAnsi="Times" w:cs="Calibri"/>
                <w:color w:val="000000"/>
                <w:sz w:val="22"/>
                <w:szCs w:val="22"/>
              </w:rPr>
            </w:pPr>
            <w:r w:rsidRPr="00D97D94">
              <w:rPr>
                <w:rFonts w:ascii="Times" w:hAnsi="Times" w:cs="Calibri"/>
                <w:color w:val="000000"/>
                <w:sz w:val="22"/>
                <w:szCs w:val="22"/>
              </w:rPr>
              <w:t>0.43</w:t>
            </w:r>
          </w:p>
        </w:tc>
        <w:tc>
          <w:tcPr>
            <w:tcW w:w="1297" w:type="dxa"/>
          </w:tcPr>
          <w:p w14:paraId="081E950F" w14:textId="77777777" w:rsidR="0030211E" w:rsidRPr="00D97D94" w:rsidRDefault="0030211E" w:rsidP="00315655">
            <w:pPr>
              <w:jc w:val="right"/>
              <w:rPr>
                <w:rFonts w:ascii="Times" w:hAnsi="Times" w:cs="Calibri"/>
                <w:color w:val="000000"/>
                <w:sz w:val="22"/>
                <w:szCs w:val="22"/>
              </w:rPr>
            </w:pPr>
          </w:p>
        </w:tc>
        <w:tc>
          <w:tcPr>
            <w:tcW w:w="1298" w:type="dxa"/>
          </w:tcPr>
          <w:p w14:paraId="1849144D" w14:textId="77777777" w:rsidR="0030211E" w:rsidRPr="00D97D94" w:rsidRDefault="0030211E" w:rsidP="00315655">
            <w:pPr>
              <w:jc w:val="right"/>
              <w:rPr>
                <w:rFonts w:ascii="Times" w:hAnsi="Times" w:cs="Calibri"/>
                <w:color w:val="000000"/>
                <w:sz w:val="22"/>
                <w:szCs w:val="22"/>
              </w:rPr>
            </w:pPr>
          </w:p>
        </w:tc>
        <w:tc>
          <w:tcPr>
            <w:tcW w:w="1298" w:type="dxa"/>
          </w:tcPr>
          <w:p w14:paraId="469C9C1F" w14:textId="77777777" w:rsidR="0030211E" w:rsidRPr="00D97D94" w:rsidRDefault="0030211E" w:rsidP="00315655">
            <w:pPr>
              <w:jc w:val="right"/>
              <w:rPr>
                <w:rFonts w:ascii="Times" w:hAnsi="Times" w:cs="Calibri"/>
                <w:color w:val="000000"/>
                <w:sz w:val="22"/>
                <w:szCs w:val="22"/>
              </w:rPr>
            </w:pPr>
          </w:p>
        </w:tc>
        <w:tc>
          <w:tcPr>
            <w:tcW w:w="1298" w:type="dxa"/>
          </w:tcPr>
          <w:p w14:paraId="011E3C6A" w14:textId="77777777" w:rsidR="0030211E" w:rsidRPr="00D97D94" w:rsidRDefault="0030211E" w:rsidP="00315655">
            <w:pPr>
              <w:jc w:val="right"/>
              <w:rPr>
                <w:rFonts w:ascii="Times" w:hAnsi="Times" w:cs="Calibri"/>
                <w:color w:val="000000"/>
                <w:sz w:val="22"/>
                <w:szCs w:val="22"/>
              </w:rPr>
            </w:pPr>
          </w:p>
        </w:tc>
      </w:tr>
      <w:tr w:rsidR="0030211E" w:rsidRPr="00D97D94" w14:paraId="74D7ABAF" w14:textId="77777777" w:rsidTr="00315655">
        <w:trPr>
          <w:trHeight w:val="320"/>
        </w:trPr>
        <w:tc>
          <w:tcPr>
            <w:tcW w:w="2860" w:type="dxa"/>
            <w:gridSpan w:val="2"/>
            <w:shd w:val="clear" w:color="auto" w:fill="auto"/>
            <w:noWrap/>
            <w:vAlign w:val="bottom"/>
            <w:hideMark/>
          </w:tcPr>
          <w:p w14:paraId="28462309" w14:textId="77777777" w:rsidR="0030211E" w:rsidRPr="00D97D94" w:rsidRDefault="0030211E" w:rsidP="00315655">
            <w:pPr>
              <w:jc w:val="right"/>
              <w:rPr>
                <w:rFonts w:ascii="Times" w:hAnsi="Times" w:cs="Calibri"/>
                <w:color w:val="000000"/>
                <w:sz w:val="22"/>
                <w:szCs w:val="22"/>
              </w:rPr>
            </w:pPr>
            <w:r w:rsidRPr="00D97D94">
              <w:rPr>
                <w:rFonts w:ascii="Times" w:hAnsi="Times" w:cs="Calibri"/>
                <w:color w:val="000000"/>
                <w:sz w:val="22"/>
                <w:szCs w:val="22"/>
              </w:rPr>
              <w:t>Precipitation wet quarter</w:t>
            </w:r>
          </w:p>
        </w:tc>
        <w:tc>
          <w:tcPr>
            <w:tcW w:w="1309" w:type="dxa"/>
            <w:vAlign w:val="bottom"/>
          </w:tcPr>
          <w:p w14:paraId="25BACD73" w14:textId="77777777" w:rsidR="0030211E" w:rsidRPr="00D97D94" w:rsidRDefault="0030211E" w:rsidP="00315655">
            <w:pPr>
              <w:jc w:val="right"/>
              <w:rPr>
                <w:rFonts w:ascii="Times" w:hAnsi="Times" w:cs="Calibri"/>
                <w:color w:val="000000"/>
                <w:sz w:val="22"/>
                <w:szCs w:val="22"/>
              </w:rPr>
            </w:pPr>
            <w:r w:rsidRPr="00D97D94">
              <w:rPr>
                <w:rFonts w:ascii="Times" w:hAnsi="Times" w:cs="Calibri"/>
                <w:color w:val="000000"/>
                <w:sz w:val="22"/>
                <w:szCs w:val="22"/>
              </w:rPr>
              <w:t>0.43</w:t>
            </w:r>
          </w:p>
        </w:tc>
        <w:tc>
          <w:tcPr>
            <w:tcW w:w="1297" w:type="dxa"/>
          </w:tcPr>
          <w:p w14:paraId="0A687299" w14:textId="77777777" w:rsidR="0030211E" w:rsidRPr="00D97D94" w:rsidRDefault="0030211E" w:rsidP="00315655">
            <w:pPr>
              <w:jc w:val="right"/>
              <w:rPr>
                <w:rFonts w:ascii="Times" w:hAnsi="Times" w:cs="Calibri"/>
                <w:color w:val="000000"/>
                <w:sz w:val="22"/>
                <w:szCs w:val="22"/>
              </w:rPr>
            </w:pPr>
          </w:p>
        </w:tc>
        <w:tc>
          <w:tcPr>
            <w:tcW w:w="1298" w:type="dxa"/>
          </w:tcPr>
          <w:p w14:paraId="64010570" w14:textId="77777777" w:rsidR="0030211E" w:rsidRPr="00D97D94" w:rsidRDefault="0030211E" w:rsidP="00315655">
            <w:pPr>
              <w:jc w:val="right"/>
              <w:rPr>
                <w:rFonts w:ascii="Times" w:hAnsi="Times" w:cs="Calibri"/>
                <w:color w:val="000000"/>
                <w:sz w:val="22"/>
                <w:szCs w:val="22"/>
              </w:rPr>
            </w:pPr>
          </w:p>
        </w:tc>
        <w:tc>
          <w:tcPr>
            <w:tcW w:w="1298" w:type="dxa"/>
          </w:tcPr>
          <w:p w14:paraId="163A79D3" w14:textId="77777777" w:rsidR="0030211E" w:rsidRPr="00D97D94" w:rsidRDefault="0030211E" w:rsidP="00315655">
            <w:pPr>
              <w:jc w:val="right"/>
              <w:rPr>
                <w:rFonts w:ascii="Times" w:hAnsi="Times" w:cs="Calibri"/>
                <w:color w:val="000000"/>
                <w:sz w:val="22"/>
                <w:szCs w:val="22"/>
              </w:rPr>
            </w:pPr>
          </w:p>
        </w:tc>
        <w:tc>
          <w:tcPr>
            <w:tcW w:w="1298" w:type="dxa"/>
          </w:tcPr>
          <w:p w14:paraId="5C6048DA" w14:textId="77777777" w:rsidR="0030211E" w:rsidRPr="00D97D94" w:rsidRDefault="0030211E" w:rsidP="00315655">
            <w:pPr>
              <w:jc w:val="right"/>
              <w:rPr>
                <w:rFonts w:ascii="Times" w:hAnsi="Times" w:cs="Calibri"/>
                <w:color w:val="000000"/>
                <w:sz w:val="22"/>
                <w:szCs w:val="22"/>
              </w:rPr>
            </w:pPr>
          </w:p>
        </w:tc>
      </w:tr>
      <w:tr w:rsidR="0030211E" w:rsidRPr="00D97D94" w14:paraId="1AB3676C" w14:textId="77777777" w:rsidTr="00315655">
        <w:trPr>
          <w:trHeight w:val="320"/>
        </w:trPr>
        <w:tc>
          <w:tcPr>
            <w:tcW w:w="2860" w:type="dxa"/>
            <w:gridSpan w:val="2"/>
            <w:shd w:val="clear" w:color="auto" w:fill="auto"/>
            <w:noWrap/>
            <w:vAlign w:val="center"/>
            <w:hideMark/>
          </w:tcPr>
          <w:p w14:paraId="10E24646" w14:textId="77777777" w:rsidR="0030211E" w:rsidRPr="00D97D94" w:rsidRDefault="0030211E" w:rsidP="00315655">
            <w:pPr>
              <w:jc w:val="right"/>
              <w:rPr>
                <w:rFonts w:ascii="Times" w:hAnsi="Times" w:cs="Calibri"/>
                <w:color w:val="000000"/>
                <w:sz w:val="22"/>
                <w:szCs w:val="22"/>
              </w:rPr>
            </w:pPr>
            <w:r w:rsidRPr="00D97D94">
              <w:rPr>
                <w:rFonts w:ascii="Times" w:hAnsi="Times" w:cs="Calibri"/>
                <w:color w:val="000000"/>
                <w:sz w:val="22"/>
                <w:szCs w:val="22"/>
              </w:rPr>
              <w:t>Clay percent</w:t>
            </w:r>
          </w:p>
        </w:tc>
        <w:tc>
          <w:tcPr>
            <w:tcW w:w="1309" w:type="dxa"/>
            <w:vAlign w:val="bottom"/>
          </w:tcPr>
          <w:p w14:paraId="53AE9BE8" w14:textId="77777777" w:rsidR="0030211E" w:rsidRPr="00D97D94" w:rsidRDefault="0030211E" w:rsidP="00315655">
            <w:pPr>
              <w:jc w:val="right"/>
              <w:rPr>
                <w:rFonts w:ascii="Times" w:hAnsi="Times" w:cs="Calibri"/>
                <w:color w:val="000000"/>
                <w:sz w:val="22"/>
                <w:szCs w:val="22"/>
              </w:rPr>
            </w:pPr>
            <w:r w:rsidRPr="00D97D94">
              <w:rPr>
                <w:rFonts w:ascii="Times" w:hAnsi="Times" w:cs="Calibri"/>
                <w:color w:val="000000"/>
                <w:sz w:val="22"/>
                <w:szCs w:val="22"/>
              </w:rPr>
              <w:t>0.25</w:t>
            </w:r>
          </w:p>
        </w:tc>
        <w:tc>
          <w:tcPr>
            <w:tcW w:w="1297" w:type="dxa"/>
          </w:tcPr>
          <w:p w14:paraId="6CA00120" w14:textId="77777777" w:rsidR="0030211E" w:rsidRPr="00D97D94" w:rsidRDefault="0030211E" w:rsidP="00315655">
            <w:pPr>
              <w:jc w:val="right"/>
              <w:rPr>
                <w:rFonts w:ascii="Times" w:hAnsi="Times" w:cs="Calibri"/>
                <w:color w:val="000000"/>
                <w:sz w:val="22"/>
                <w:szCs w:val="22"/>
              </w:rPr>
            </w:pPr>
          </w:p>
        </w:tc>
        <w:tc>
          <w:tcPr>
            <w:tcW w:w="1298" w:type="dxa"/>
          </w:tcPr>
          <w:p w14:paraId="51580D67" w14:textId="77777777" w:rsidR="0030211E" w:rsidRPr="00D97D94" w:rsidRDefault="0030211E" w:rsidP="00315655">
            <w:pPr>
              <w:jc w:val="right"/>
              <w:rPr>
                <w:rFonts w:ascii="Times" w:hAnsi="Times" w:cs="Calibri"/>
                <w:color w:val="000000"/>
                <w:sz w:val="22"/>
                <w:szCs w:val="22"/>
              </w:rPr>
            </w:pPr>
          </w:p>
        </w:tc>
        <w:tc>
          <w:tcPr>
            <w:tcW w:w="1298" w:type="dxa"/>
          </w:tcPr>
          <w:p w14:paraId="3A070E19" w14:textId="77777777" w:rsidR="0030211E" w:rsidRPr="00D97D94" w:rsidRDefault="0030211E" w:rsidP="00315655">
            <w:pPr>
              <w:jc w:val="right"/>
              <w:rPr>
                <w:rFonts w:ascii="Times" w:hAnsi="Times" w:cs="Calibri"/>
                <w:color w:val="000000"/>
                <w:sz w:val="22"/>
                <w:szCs w:val="22"/>
              </w:rPr>
            </w:pPr>
          </w:p>
        </w:tc>
        <w:tc>
          <w:tcPr>
            <w:tcW w:w="1298" w:type="dxa"/>
          </w:tcPr>
          <w:p w14:paraId="3BB49B37" w14:textId="77777777" w:rsidR="0030211E" w:rsidRPr="00D97D94" w:rsidRDefault="0030211E" w:rsidP="00315655">
            <w:pPr>
              <w:jc w:val="right"/>
              <w:rPr>
                <w:rFonts w:ascii="Times" w:hAnsi="Times" w:cs="Calibri"/>
                <w:color w:val="000000"/>
                <w:sz w:val="22"/>
                <w:szCs w:val="22"/>
              </w:rPr>
            </w:pPr>
          </w:p>
        </w:tc>
      </w:tr>
      <w:tr w:rsidR="0030211E" w:rsidRPr="00D97D94" w14:paraId="0FF1A5D3" w14:textId="77777777" w:rsidTr="00315655">
        <w:trPr>
          <w:trHeight w:val="320"/>
        </w:trPr>
        <w:tc>
          <w:tcPr>
            <w:tcW w:w="2860" w:type="dxa"/>
            <w:gridSpan w:val="2"/>
            <w:shd w:val="clear" w:color="auto" w:fill="auto"/>
            <w:noWrap/>
            <w:vAlign w:val="center"/>
            <w:hideMark/>
          </w:tcPr>
          <w:p w14:paraId="6F9356EC" w14:textId="77777777" w:rsidR="0030211E" w:rsidRPr="00D97D94" w:rsidRDefault="0030211E" w:rsidP="00315655">
            <w:pPr>
              <w:jc w:val="right"/>
              <w:rPr>
                <w:rFonts w:ascii="Times" w:hAnsi="Times" w:cs="Calibri"/>
                <w:color w:val="000000"/>
                <w:sz w:val="22"/>
                <w:szCs w:val="22"/>
              </w:rPr>
            </w:pPr>
            <w:r w:rsidRPr="00D97D94">
              <w:rPr>
                <w:rFonts w:ascii="Times" w:hAnsi="Times" w:cs="Calibri"/>
                <w:color w:val="000000"/>
                <w:sz w:val="22"/>
                <w:szCs w:val="22"/>
              </w:rPr>
              <w:t>Fire frequency</w:t>
            </w:r>
          </w:p>
        </w:tc>
        <w:tc>
          <w:tcPr>
            <w:tcW w:w="1309" w:type="dxa"/>
            <w:vAlign w:val="bottom"/>
          </w:tcPr>
          <w:p w14:paraId="027AA0E3" w14:textId="77777777" w:rsidR="0030211E" w:rsidRPr="00D97D94" w:rsidRDefault="0030211E" w:rsidP="00315655">
            <w:pPr>
              <w:jc w:val="right"/>
              <w:rPr>
                <w:rFonts w:ascii="Times" w:hAnsi="Times" w:cs="Calibri"/>
                <w:color w:val="000000"/>
                <w:sz w:val="22"/>
                <w:szCs w:val="22"/>
              </w:rPr>
            </w:pPr>
            <w:r w:rsidRPr="00D97D94">
              <w:rPr>
                <w:rFonts w:ascii="Times" w:hAnsi="Times" w:cs="Calibri"/>
                <w:color w:val="000000"/>
                <w:sz w:val="22"/>
                <w:szCs w:val="22"/>
              </w:rPr>
              <w:t>0.22</w:t>
            </w:r>
          </w:p>
        </w:tc>
        <w:tc>
          <w:tcPr>
            <w:tcW w:w="1297" w:type="dxa"/>
          </w:tcPr>
          <w:p w14:paraId="357ACF66" w14:textId="77777777" w:rsidR="0030211E" w:rsidRPr="00D97D94" w:rsidRDefault="0030211E" w:rsidP="00315655">
            <w:pPr>
              <w:jc w:val="right"/>
              <w:rPr>
                <w:rFonts w:ascii="Times" w:hAnsi="Times" w:cs="Calibri"/>
                <w:color w:val="000000"/>
                <w:sz w:val="22"/>
                <w:szCs w:val="22"/>
              </w:rPr>
            </w:pPr>
          </w:p>
        </w:tc>
        <w:tc>
          <w:tcPr>
            <w:tcW w:w="1298" w:type="dxa"/>
          </w:tcPr>
          <w:p w14:paraId="437358F8" w14:textId="77777777" w:rsidR="0030211E" w:rsidRPr="00D97D94" w:rsidRDefault="0030211E" w:rsidP="00315655">
            <w:pPr>
              <w:jc w:val="right"/>
              <w:rPr>
                <w:rFonts w:ascii="Times" w:hAnsi="Times" w:cs="Calibri"/>
                <w:color w:val="000000"/>
                <w:sz w:val="22"/>
                <w:szCs w:val="22"/>
              </w:rPr>
            </w:pPr>
          </w:p>
        </w:tc>
        <w:tc>
          <w:tcPr>
            <w:tcW w:w="1298" w:type="dxa"/>
          </w:tcPr>
          <w:p w14:paraId="3B28F591" w14:textId="77777777" w:rsidR="0030211E" w:rsidRPr="00D97D94" w:rsidRDefault="0030211E" w:rsidP="00315655">
            <w:pPr>
              <w:jc w:val="right"/>
              <w:rPr>
                <w:rFonts w:ascii="Times" w:hAnsi="Times" w:cs="Calibri"/>
                <w:color w:val="000000"/>
                <w:sz w:val="22"/>
                <w:szCs w:val="22"/>
              </w:rPr>
            </w:pPr>
          </w:p>
        </w:tc>
        <w:tc>
          <w:tcPr>
            <w:tcW w:w="1298" w:type="dxa"/>
          </w:tcPr>
          <w:p w14:paraId="2D617C7D" w14:textId="77777777" w:rsidR="0030211E" w:rsidRPr="00D97D94" w:rsidRDefault="0030211E" w:rsidP="00315655">
            <w:pPr>
              <w:jc w:val="right"/>
              <w:rPr>
                <w:rFonts w:ascii="Times" w:hAnsi="Times" w:cs="Calibri"/>
                <w:color w:val="000000"/>
                <w:sz w:val="22"/>
                <w:szCs w:val="22"/>
              </w:rPr>
            </w:pPr>
          </w:p>
        </w:tc>
      </w:tr>
      <w:tr w:rsidR="0030211E" w:rsidRPr="00D97D94" w14:paraId="7C415BF6" w14:textId="77777777" w:rsidTr="00315655">
        <w:trPr>
          <w:trHeight w:val="320"/>
        </w:trPr>
        <w:tc>
          <w:tcPr>
            <w:tcW w:w="2860" w:type="dxa"/>
            <w:gridSpan w:val="2"/>
            <w:shd w:val="clear" w:color="auto" w:fill="auto"/>
            <w:noWrap/>
            <w:vAlign w:val="bottom"/>
            <w:hideMark/>
          </w:tcPr>
          <w:p w14:paraId="44733E08" w14:textId="77777777" w:rsidR="0030211E" w:rsidRPr="00D97D94" w:rsidRDefault="0030211E" w:rsidP="00315655">
            <w:pPr>
              <w:jc w:val="right"/>
              <w:rPr>
                <w:rFonts w:ascii="Times" w:hAnsi="Times" w:cs="Calibri"/>
                <w:color w:val="000000"/>
                <w:sz w:val="22"/>
                <w:szCs w:val="22"/>
              </w:rPr>
            </w:pPr>
            <w:r w:rsidRPr="00D97D94">
              <w:rPr>
                <w:rFonts w:ascii="Times" w:hAnsi="Times" w:cs="Calibri"/>
                <w:color w:val="000000"/>
                <w:sz w:val="22"/>
                <w:szCs w:val="22"/>
              </w:rPr>
              <w:t>Temperature seasonality</w:t>
            </w:r>
          </w:p>
        </w:tc>
        <w:tc>
          <w:tcPr>
            <w:tcW w:w="1309" w:type="dxa"/>
            <w:vAlign w:val="bottom"/>
          </w:tcPr>
          <w:p w14:paraId="141FA375" w14:textId="77777777" w:rsidR="0030211E" w:rsidRPr="00D97D94" w:rsidRDefault="0030211E" w:rsidP="00315655">
            <w:pPr>
              <w:jc w:val="right"/>
              <w:rPr>
                <w:rFonts w:ascii="Times" w:hAnsi="Times" w:cs="Calibri"/>
                <w:color w:val="000000"/>
                <w:sz w:val="22"/>
                <w:szCs w:val="22"/>
              </w:rPr>
            </w:pPr>
            <w:r w:rsidRPr="00D97D94">
              <w:rPr>
                <w:rFonts w:ascii="Times" w:hAnsi="Times" w:cs="Calibri"/>
                <w:color w:val="000000"/>
                <w:sz w:val="22"/>
                <w:szCs w:val="22"/>
              </w:rPr>
              <w:t>0.19</w:t>
            </w:r>
          </w:p>
        </w:tc>
        <w:tc>
          <w:tcPr>
            <w:tcW w:w="1297" w:type="dxa"/>
          </w:tcPr>
          <w:p w14:paraId="1CCE7E39" w14:textId="77777777" w:rsidR="0030211E" w:rsidRPr="00D97D94" w:rsidRDefault="0030211E" w:rsidP="00315655">
            <w:pPr>
              <w:jc w:val="right"/>
              <w:rPr>
                <w:rFonts w:ascii="Times" w:hAnsi="Times" w:cs="Calibri"/>
                <w:color w:val="000000"/>
                <w:sz w:val="22"/>
                <w:szCs w:val="22"/>
              </w:rPr>
            </w:pPr>
          </w:p>
        </w:tc>
        <w:tc>
          <w:tcPr>
            <w:tcW w:w="1298" w:type="dxa"/>
          </w:tcPr>
          <w:p w14:paraId="38CD0575" w14:textId="77777777" w:rsidR="0030211E" w:rsidRPr="00D97D94" w:rsidRDefault="0030211E" w:rsidP="00315655">
            <w:pPr>
              <w:jc w:val="right"/>
              <w:rPr>
                <w:rFonts w:ascii="Times" w:hAnsi="Times" w:cs="Calibri"/>
                <w:color w:val="000000"/>
                <w:sz w:val="22"/>
                <w:szCs w:val="22"/>
              </w:rPr>
            </w:pPr>
          </w:p>
        </w:tc>
        <w:tc>
          <w:tcPr>
            <w:tcW w:w="1298" w:type="dxa"/>
          </w:tcPr>
          <w:p w14:paraId="2C572E8D" w14:textId="77777777" w:rsidR="0030211E" w:rsidRPr="00D97D94" w:rsidRDefault="0030211E" w:rsidP="00315655">
            <w:pPr>
              <w:jc w:val="right"/>
              <w:rPr>
                <w:rFonts w:ascii="Times" w:hAnsi="Times" w:cs="Calibri"/>
                <w:color w:val="000000"/>
                <w:sz w:val="22"/>
                <w:szCs w:val="22"/>
              </w:rPr>
            </w:pPr>
          </w:p>
        </w:tc>
        <w:tc>
          <w:tcPr>
            <w:tcW w:w="1298" w:type="dxa"/>
          </w:tcPr>
          <w:p w14:paraId="27A190EB" w14:textId="77777777" w:rsidR="0030211E" w:rsidRPr="00D97D94" w:rsidRDefault="0030211E" w:rsidP="00315655">
            <w:pPr>
              <w:jc w:val="right"/>
              <w:rPr>
                <w:rFonts w:ascii="Times" w:hAnsi="Times" w:cs="Calibri"/>
                <w:color w:val="000000"/>
                <w:sz w:val="22"/>
                <w:szCs w:val="22"/>
              </w:rPr>
            </w:pPr>
          </w:p>
        </w:tc>
      </w:tr>
      <w:tr w:rsidR="0030211E" w:rsidRPr="00741B2B" w14:paraId="31F3E472" w14:textId="77777777" w:rsidTr="00315655">
        <w:trPr>
          <w:trHeight w:val="320"/>
        </w:trPr>
        <w:tc>
          <w:tcPr>
            <w:tcW w:w="1551" w:type="dxa"/>
            <w:shd w:val="clear" w:color="auto" w:fill="auto"/>
            <w:noWrap/>
            <w:vAlign w:val="bottom"/>
          </w:tcPr>
          <w:p w14:paraId="7271EF57" w14:textId="77777777" w:rsidR="0030211E" w:rsidRDefault="0030211E" w:rsidP="00315655">
            <w:pPr>
              <w:rPr>
                <w:rFonts w:ascii="Calibri" w:hAnsi="Calibri" w:cs="Calibri"/>
                <w:color w:val="000000"/>
              </w:rPr>
            </w:pPr>
          </w:p>
        </w:tc>
        <w:tc>
          <w:tcPr>
            <w:tcW w:w="1309" w:type="dxa"/>
            <w:shd w:val="clear" w:color="auto" w:fill="auto"/>
            <w:noWrap/>
            <w:vAlign w:val="bottom"/>
          </w:tcPr>
          <w:p w14:paraId="17F7C9EE" w14:textId="77777777" w:rsidR="0030211E" w:rsidRDefault="0030211E" w:rsidP="00315655">
            <w:pPr>
              <w:jc w:val="right"/>
              <w:rPr>
                <w:rFonts w:ascii="Calibri" w:hAnsi="Calibri" w:cs="Calibri"/>
                <w:color w:val="000000"/>
              </w:rPr>
            </w:pPr>
          </w:p>
        </w:tc>
        <w:tc>
          <w:tcPr>
            <w:tcW w:w="1309" w:type="dxa"/>
          </w:tcPr>
          <w:p w14:paraId="180A638A" w14:textId="77777777" w:rsidR="0030211E" w:rsidRPr="00741B2B" w:rsidRDefault="0030211E" w:rsidP="00315655">
            <w:pPr>
              <w:jc w:val="right"/>
              <w:rPr>
                <w:rFonts w:ascii="Times" w:hAnsi="Times" w:cs="Calibri"/>
                <w:color w:val="000000"/>
              </w:rPr>
            </w:pPr>
          </w:p>
        </w:tc>
        <w:tc>
          <w:tcPr>
            <w:tcW w:w="1297" w:type="dxa"/>
          </w:tcPr>
          <w:p w14:paraId="619961D3" w14:textId="77777777" w:rsidR="0030211E" w:rsidRPr="00741B2B" w:rsidRDefault="0030211E" w:rsidP="00315655">
            <w:pPr>
              <w:jc w:val="right"/>
              <w:rPr>
                <w:rFonts w:ascii="Times" w:hAnsi="Times" w:cs="Calibri"/>
                <w:color w:val="000000"/>
              </w:rPr>
            </w:pPr>
          </w:p>
        </w:tc>
        <w:tc>
          <w:tcPr>
            <w:tcW w:w="1298" w:type="dxa"/>
          </w:tcPr>
          <w:p w14:paraId="544ABA70" w14:textId="77777777" w:rsidR="0030211E" w:rsidRPr="00741B2B" w:rsidRDefault="0030211E" w:rsidP="00315655">
            <w:pPr>
              <w:jc w:val="right"/>
              <w:rPr>
                <w:rFonts w:ascii="Times" w:hAnsi="Times" w:cs="Calibri"/>
                <w:color w:val="000000"/>
              </w:rPr>
            </w:pPr>
          </w:p>
        </w:tc>
        <w:tc>
          <w:tcPr>
            <w:tcW w:w="1298" w:type="dxa"/>
          </w:tcPr>
          <w:p w14:paraId="51DF2BE9" w14:textId="77777777" w:rsidR="0030211E" w:rsidRPr="00741B2B" w:rsidRDefault="0030211E" w:rsidP="00315655">
            <w:pPr>
              <w:jc w:val="right"/>
              <w:rPr>
                <w:rFonts w:ascii="Times" w:hAnsi="Times" w:cs="Calibri"/>
                <w:color w:val="000000"/>
              </w:rPr>
            </w:pPr>
          </w:p>
        </w:tc>
        <w:tc>
          <w:tcPr>
            <w:tcW w:w="1298" w:type="dxa"/>
          </w:tcPr>
          <w:p w14:paraId="79A45F96" w14:textId="77777777" w:rsidR="0030211E" w:rsidRPr="00741B2B" w:rsidRDefault="0030211E" w:rsidP="00315655">
            <w:pPr>
              <w:jc w:val="right"/>
              <w:rPr>
                <w:rFonts w:ascii="Times" w:hAnsi="Times" w:cs="Calibri"/>
                <w:color w:val="000000"/>
              </w:rPr>
            </w:pPr>
          </w:p>
        </w:tc>
      </w:tr>
    </w:tbl>
    <w:p w14:paraId="748FB311" w14:textId="77777777" w:rsidR="0030211E" w:rsidRDefault="0030211E" w:rsidP="0030211E">
      <w:pPr>
        <w:spacing w:line="360" w:lineRule="auto"/>
        <w:rPr>
          <w:rFonts w:ascii="Times" w:hAnsi="Times"/>
          <w:b/>
          <w:bCs/>
        </w:rPr>
      </w:pPr>
    </w:p>
    <w:p w14:paraId="47D58238" w14:textId="77777777" w:rsidR="0030211E" w:rsidRDefault="0030211E" w:rsidP="0030211E">
      <w:pPr>
        <w:rPr>
          <w:rFonts w:ascii="Times" w:hAnsi="Times"/>
          <w:b/>
          <w:bCs/>
        </w:rPr>
      </w:pPr>
    </w:p>
    <w:p w14:paraId="64F17FAC" w14:textId="77777777" w:rsidR="0030211E" w:rsidRDefault="0030211E" w:rsidP="0030211E">
      <w:pPr>
        <w:spacing w:line="360" w:lineRule="auto"/>
        <w:rPr>
          <w:rFonts w:ascii="Times" w:hAnsi="Times"/>
        </w:rPr>
      </w:pPr>
      <w:r w:rsidRPr="00AE11E4">
        <w:rPr>
          <w:rFonts w:ascii="Times" w:hAnsi="Times"/>
        </w:rPr>
        <w:t>Table S</w:t>
      </w:r>
      <w:r>
        <w:rPr>
          <w:rFonts w:ascii="Times" w:hAnsi="Times"/>
        </w:rPr>
        <w:t>3</w:t>
      </w:r>
      <w:r w:rsidRPr="00AE11E4">
        <w:rPr>
          <w:rFonts w:ascii="Times" w:hAnsi="Times"/>
        </w:rPr>
        <w:t>:</w:t>
      </w:r>
      <w:r>
        <w:rPr>
          <w:rFonts w:ascii="Times" w:hAnsi="Times"/>
        </w:rPr>
        <w:t xml:space="preserve"> Regression results from savannas with site-specific linear models between (top) total soil carbon (C) and </w:t>
      </w:r>
      <m:oMath>
        <m:r>
          <w:rPr>
            <w:rFonts w:ascii="Cambria Math" w:hAnsi="Cambria Math"/>
          </w:rPr>
          <m:t>δ</m:t>
        </m:r>
      </m:oMath>
      <w:r w:rsidRPr="004D2E24">
        <w:rPr>
          <w:rFonts w:ascii="Times" w:hAnsi="Times"/>
          <w:vertAlign w:val="superscript"/>
        </w:rPr>
        <w:t>13</w:t>
      </w:r>
      <w:r>
        <w:rPr>
          <w:rFonts w:ascii="Times" w:hAnsi="Times"/>
        </w:rPr>
        <w:t>C, (middle) tree-derived C and total soil C, and (bottom)</w:t>
      </w:r>
      <m:oMath>
        <m:r>
          <w:rPr>
            <w:rFonts w:ascii="Cambria Math" w:hAnsi="Cambria Math"/>
          </w:rPr>
          <m:t xml:space="preserve"> δ</m:t>
        </m:r>
      </m:oMath>
      <w:r w:rsidRPr="004D2E24">
        <w:rPr>
          <w:rFonts w:ascii="Times" w:hAnsi="Times"/>
          <w:vertAlign w:val="superscript"/>
        </w:rPr>
        <w:t>13</w:t>
      </w:r>
      <w:r>
        <w:rPr>
          <w:rFonts w:ascii="Times" w:hAnsi="Times"/>
        </w:rPr>
        <w:t>C and fire treatment. Statistics are from the slope and standard error of the slope and the ANOVA tests of significance.  The tree-derived C is calculated from mixing models (</w:t>
      </w:r>
      <w:r w:rsidRPr="00982316">
        <w:rPr>
          <w:rFonts w:ascii="Times" w:hAnsi="Times"/>
          <w:i/>
          <w:iCs/>
        </w:rPr>
        <w:t>SI</w:t>
      </w:r>
      <w:r>
        <w:rPr>
          <w:rFonts w:ascii="Times" w:hAnsi="Times"/>
        </w:rPr>
        <w:t>).</w:t>
      </w:r>
    </w:p>
    <w:p w14:paraId="1FBBE7D1" w14:textId="77777777" w:rsidR="0030211E" w:rsidRPr="005B4C4D" w:rsidRDefault="0030211E" w:rsidP="0030211E">
      <w:pPr>
        <w:spacing w:line="360" w:lineRule="auto"/>
        <w:rPr>
          <w:rFonts w:ascii="Times" w:hAnsi="Times"/>
        </w:rPr>
      </w:pPr>
    </w:p>
    <w:tbl>
      <w:tblPr>
        <w:tblW w:w="6716" w:type="dxa"/>
        <w:tblBorders>
          <w:top w:val="single" w:sz="4" w:space="0" w:color="auto"/>
          <w:bottom w:val="single" w:sz="4" w:space="0" w:color="auto"/>
        </w:tblBorders>
        <w:tblLook w:val="04A0" w:firstRow="1" w:lastRow="0" w:firstColumn="1" w:lastColumn="0" w:noHBand="0" w:noVBand="1"/>
      </w:tblPr>
      <w:tblGrid>
        <w:gridCol w:w="1723"/>
        <w:gridCol w:w="1250"/>
        <w:gridCol w:w="571"/>
        <w:gridCol w:w="532"/>
        <w:gridCol w:w="1320"/>
        <w:gridCol w:w="1320"/>
      </w:tblGrid>
      <w:tr w:rsidR="0030211E" w:rsidRPr="001B202B" w14:paraId="31940FBF" w14:textId="77777777" w:rsidTr="00315655">
        <w:trPr>
          <w:trHeight w:val="320"/>
        </w:trPr>
        <w:tc>
          <w:tcPr>
            <w:tcW w:w="2973" w:type="dxa"/>
            <w:gridSpan w:val="2"/>
            <w:shd w:val="clear" w:color="auto" w:fill="auto"/>
            <w:noWrap/>
            <w:vAlign w:val="bottom"/>
          </w:tcPr>
          <w:p w14:paraId="06B8F9D9" w14:textId="77777777" w:rsidR="0030211E" w:rsidRPr="001B202B" w:rsidRDefault="0030211E" w:rsidP="00315655">
            <w:pPr>
              <w:jc w:val="center"/>
              <w:rPr>
                <w:color w:val="000000"/>
              </w:rPr>
            </w:pPr>
            <m:oMath>
              <m:r>
                <w:rPr>
                  <w:rFonts w:ascii="Cambria Math" w:hAnsi="Cambria Math"/>
                </w:rPr>
                <m:t>δ</m:t>
              </m:r>
            </m:oMath>
            <w:r w:rsidRPr="001B202B">
              <w:rPr>
                <w:vertAlign w:val="superscript"/>
              </w:rPr>
              <w:t>13</w:t>
            </w:r>
            <w:r w:rsidRPr="001B202B">
              <w:t>C~ fire treatment</w:t>
            </w:r>
          </w:p>
        </w:tc>
        <w:tc>
          <w:tcPr>
            <w:tcW w:w="1103" w:type="dxa"/>
            <w:gridSpan w:val="2"/>
            <w:shd w:val="clear" w:color="auto" w:fill="auto"/>
            <w:noWrap/>
            <w:vAlign w:val="bottom"/>
          </w:tcPr>
          <w:p w14:paraId="0155A0CD" w14:textId="77777777" w:rsidR="0030211E" w:rsidRPr="001B202B" w:rsidRDefault="0030211E" w:rsidP="00315655">
            <w:pPr>
              <w:jc w:val="center"/>
              <w:rPr>
                <w:color w:val="000000"/>
              </w:rPr>
            </w:pPr>
          </w:p>
        </w:tc>
        <w:tc>
          <w:tcPr>
            <w:tcW w:w="1320" w:type="dxa"/>
            <w:shd w:val="clear" w:color="auto" w:fill="auto"/>
            <w:noWrap/>
            <w:vAlign w:val="bottom"/>
          </w:tcPr>
          <w:p w14:paraId="4D0676F8" w14:textId="77777777" w:rsidR="0030211E" w:rsidRPr="001B202B" w:rsidRDefault="0030211E" w:rsidP="00315655">
            <w:pPr>
              <w:jc w:val="center"/>
              <w:rPr>
                <w:color w:val="000000"/>
              </w:rPr>
            </w:pPr>
          </w:p>
        </w:tc>
        <w:tc>
          <w:tcPr>
            <w:tcW w:w="1320" w:type="dxa"/>
            <w:shd w:val="clear" w:color="auto" w:fill="auto"/>
            <w:noWrap/>
            <w:vAlign w:val="bottom"/>
          </w:tcPr>
          <w:p w14:paraId="0C0EDF2A" w14:textId="77777777" w:rsidR="0030211E" w:rsidRPr="001B202B" w:rsidRDefault="0030211E" w:rsidP="00315655">
            <w:pPr>
              <w:jc w:val="center"/>
              <w:rPr>
                <w:color w:val="000000"/>
              </w:rPr>
            </w:pPr>
          </w:p>
        </w:tc>
      </w:tr>
      <w:tr w:rsidR="0030211E" w:rsidRPr="001B202B" w14:paraId="6384507D" w14:textId="77777777" w:rsidTr="00315655">
        <w:trPr>
          <w:trHeight w:val="320"/>
        </w:trPr>
        <w:tc>
          <w:tcPr>
            <w:tcW w:w="1723" w:type="dxa"/>
            <w:shd w:val="clear" w:color="auto" w:fill="auto"/>
            <w:noWrap/>
            <w:vAlign w:val="bottom"/>
          </w:tcPr>
          <w:p w14:paraId="182CE2CA" w14:textId="77777777" w:rsidR="0030211E" w:rsidRPr="001B202B" w:rsidRDefault="0030211E" w:rsidP="00315655">
            <w:pPr>
              <w:rPr>
                <w:color w:val="000000"/>
              </w:rPr>
            </w:pPr>
            <w:r w:rsidRPr="001B202B">
              <w:rPr>
                <w:color w:val="000000"/>
              </w:rPr>
              <w:t>Site</w:t>
            </w:r>
          </w:p>
        </w:tc>
        <w:tc>
          <w:tcPr>
            <w:tcW w:w="1250" w:type="dxa"/>
            <w:shd w:val="clear" w:color="auto" w:fill="auto"/>
            <w:noWrap/>
            <w:vAlign w:val="bottom"/>
          </w:tcPr>
          <w:p w14:paraId="0D050F0A" w14:textId="77777777" w:rsidR="0030211E" w:rsidRPr="001B202B" w:rsidRDefault="0030211E" w:rsidP="00315655">
            <w:pPr>
              <w:jc w:val="center"/>
              <w:rPr>
                <w:color w:val="000000"/>
              </w:rPr>
            </w:pPr>
            <w:r w:rsidRPr="001B202B">
              <w:rPr>
                <w:color w:val="000000"/>
              </w:rPr>
              <w:t>Estimate</w:t>
            </w:r>
          </w:p>
        </w:tc>
        <w:tc>
          <w:tcPr>
            <w:tcW w:w="1103" w:type="dxa"/>
            <w:gridSpan w:val="2"/>
            <w:shd w:val="clear" w:color="auto" w:fill="auto"/>
            <w:noWrap/>
            <w:vAlign w:val="bottom"/>
          </w:tcPr>
          <w:p w14:paraId="161EBA31" w14:textId="77777777" w:rsidR="0030211E" w:rsidRPr="001B202B" w:rsidRDefault="0030211E" w:rsidP="00315655">
            <w:pPr>
              <w:jc w:val="center"/>
              <w:rPr>
                <w:color w:val="000000"/>
              </w:rPr>
            </w:pPr>
            <w:r w:rsidRPr="001B202B">
              <w:rPr>
                <w:color w:val="000000"/>
              </w:rPr>
              <w:t>SE</w:t>
            </w:r>
          </w:p>
        </w:tc>
        <w:tc>
          <w:tcPr>
            <w:tcW w:w="1320" w:type="dxa"/>
            <w:shd w:val="clear" w:color="auto" w:fill="auto"/>
            <w:noWrap/>
            <w:vAlign w:val="bottom"/>
          </w:tcPr>
          <w:p w14:paraId="33D9AF2F" w14:textId="77777777" w:rsidR="0030211E" w:rsidRPr="001B202B" w:rsidRDefault="0030211E" w:rsidP="00315655">
            <w:pPr>
              <w:jc w:val="center"/>
              <w:rPr>
                <w:color w:val="000000"/>
              </w:rPr>
            </w:pPr>
            <w:r w:rsidRPr="001B202B">
              <w:rPr>
                <w:color w:val="000000"/>
              </w:rPr>
              <w:t>T value</w:t>
            </w:r>
          </w:p>
        </w:tc>
        <w:tc>
          <w:tcPr>
            <w:tcW w:w="1320" w:type="dxa"/>
            <w:shd w:val="clear" w:color="auto" w:fill="auto"/>
            <w:noWrap/>
            <w:vAlign w:val="bottom"/>
          </w:tcPr>
          <w:p w14:paraId="41227F8E" w14:textId="77777777" w:rsidR="0030211E" w:rsidRPr="001B202B" w:rsidRDefault="0030211E" w:rsidP="00315655">
            <w:pPr>
              <w:jc w:val="center"/>
              <w:rPr>
                <w:color w:val="000000"/>
              </w:rPr>
            </w:pPr>
            <w:r w:rsidRPr="001B202B">
              <w:rPr>
                <w:color w:val="000000"/>
              </w:rPr>
              <w:t>P value</w:t>
            </w:r>
          </w:p>
        </w:tc>
      </w:tr>
      <w:tr w:rsidR="0030211E" w:rsidRPr="001B202B" w14:paraId="2C041FC2" w14:textId="77777777" w:rsidTr="00315655">
        <w:trPr>
          <w:trHeight w:val="320"/>
        </w:trPr>
        <w:tc>
          <w:tcPr>
            <w:tcW w:w="1723" w:type="dxa"/>
            <w:shd w:val="clear" w:color="auto" w:fill="auto"/>
            <w:noWrap/>
            <w:vAlign w:val="bottom"/>
          </w:tcPr>
          <w:p w14:paraId="6610A672" w14:textId="77777777" w:rsidR="0030211E" w:rsidRPr="001B202B" w:rsidRDefault="0030211E" w:rsidP="00315655">
            <w:pPr>
              <w:rPr>
                <w:color w:val="000000"/>
              </w:rPr>
            </w:pPr>
            <w:r w:rsidRPr="001B202B">
              <w:rPr>
                <w:color w:val="000000"/>
              </w:rPr>
              <w:t>KrugerSkukuza</w:t>
            </w:r>
          </w:p>
        </w:tc>
        <w:tc>
          <w:tcPr>
            <w:tcW w:w="1250" w:type="dxa"/>
            <w:shd w:val="clear" w:color="auto" w:fill="auto"/>
            <w:noWrap/>
            <w:vAlign w:val="bottom"/>
          </w:tcPr>
          <w:p w14:paraId="27CE57DB" w14:textId="77777777" w:rsidR="0030211E" w:rsidRPr="001B202B" w:rsidRDefault="0030211E" w:rsidP="00315655">
            <w:pPr>
              <w:jc w:val="center"/>
              <w:rPr>
                <w:color w:val="000000"/>
              </w:rPr>
            </w:pPr>
            <w:r w:rsidRPr="001B202B">
              <w:rPr>
                <w:color w:val="000000"/>
              </w:rPr>
              <w:t>-4.85</w:t>
            </w:r>
          </w:p>
        </w:tc>
        <w:tc>
          <w:tcPr>
            <w:tcW w:w="1103" w:type="dxa"/>
            <w:gridSpan w:val="2"/>
            <w:shd w:val="clear" w:color="auto" w:fill="auto"/>
            <w:noWrap/>
            <w:vAlign w:val="bottom"/>
          </w:tcPr>
          <w:p w14:paraId="320D2A60" w14:textId="77777777" w:rsidR="0030211E" w:rsidRPr="001B202B" w:rsidRDefault="0030211E" w:rsidP="00315655">
            <w:pPr>
              <w:jc w:val="center"/>
              <w:rPr>
                <w:color w:val="000000"/>
              </w:rPr>
            </w:pPr>
            <w:r w:rsidRPr="001B202B">
              <w:rPr>
                <w:color w:val="000000"/>
              </w:rPr>
              <w:t>0.71</w:t>
            </w:r>
          </w:p>
        </w:tc>
        <w:tc>
          <w:tcPr>
            <w:tcW w:w="1320" w:type="dxa"/>
            <w:shd w:val="clear" w:color="auto" w:fill="auto"/>
            <w:noWrap/>
            <w:vAlign w:val="bottom"/>
          </w:tcPr>
          <w:p w14:paraId="3E1F7918" w14:textId="77777777" w:rsidR="0030211E" w:rsidRPr="001B202B" w:rsidRDefault="0030211E" w:rsidP="00315655">
            <w:pPr>
              <w:jc w:val="center"/>
              <w:rPr>
                <w:color w:val="000000"/>
              </w:rPr>
            </w:pPr>
            <w:r w:rsidRPr="001B202B">
              <w:rPr>
                <w:color w:val="000000"/>
              </w:rPr>
              <w:t>-6.84</w:t>
            </w:r>
          </w:p>
        </w:tc>
        <w:tc>
          <w:tcPr>
            <w:tcW w:w="1320" w:type="dxa"/>
            <w:shd w:val="clear" w:color="auto" w:fill="auto"/>
            <w:noWrap/>
            <w:vAlign w:val="bottom"/>
          </w:tcPr>
          <w:p w14:paraId="58756DDA" w14:textId="77777777" w:rsidR="0030211E" w:rsidRPr="001B202B" w:rsidRDefault="0030211E" w:rsidP="00315655">
            <w:pPr>
              <w:jc w:val="center"/>
              <w:rPr>
                <w:color w:val="000000"/>
              </w:rPr>
            </w:pPr>
            <w:r w:rsidRPr="001B202B">
              <w:rPr>
                <w:color w:val="000000"/>
              </w:rPr>
              <w:t>0.002</w:t>
            </w:r>
          </w:p>
        </w:tc>
      </w:tr>
      <w:tr w:rsidR="0030211E" w:rsidRPr="001B202B" w14:paraId="1471F4B8" w14:textId="77777777" w:rsidTr="00315655">
        <w:trPr>
          <w:trHeight w:val="320"/>
        </w:trPr>
        <w:tc>
          <w:tcPr>
            <w:tcW w:w="1723" w:type="dxa"/>
            <w:shd w:val="clear" w:color="auto" w:fill="auto"/>
            <w:noWrap/>
            <w:vAlign w:val="bottom"/>
          </w:tcPr>
          <w:p w14:paraId="35432DF8" w14:textId="77777777" w:rsidR="0030211E" w:rsidRPr="001B202B" w:rsidRDefault="0030211E" w:rsidP="00315655">
            <w:pPr>
              <w:rPr>
                <w:color w:val="000000"/>
              </w:rPr>
            </w:pPr>
            <w:r w:rsidRPr="001B202B">
              <w:rPr>
                <w:color w:val="000000"/>
              </w:rPr>
              <w:t>Breaks</w:t>
            </w:r>
          </w:p>
        </w:tc>
        <w:tc>
          <w:tcPr>
            <w:tcW w:w="1250" w:type="dxa"/>
            <w:shd w:val="clear" w:color="auto" w:fill="auto"/>
            <w:noWrap/>
            <w:vAlign w:val="bottom"/>
          </w:tcPr>
          <w:p w14:paraId="6D474A6C" w14:textId="77777777" w:rsidR="0030211E" w:rsidRPr="001B202B" w:rsidRDefault="0030211E" w:rsidP="00315655">
            <w:pPr>
              <w:jc w:val="center"/>
              <w:rPr>
                <w:color w:val="000000"/>
              </w:rPr>
            </w:pPr>
            <w:r w:rsidRPr="001B202B">
              <w:rPr>
                <w:color w:val="000000"/>
              </w:rPr>
              <w:t>-8.35</w:t>
            </w:r>
          </w:p>
        </w:tc>
        <w:tc>
          <w:tcPr>
            <w:tcW w:w="1103" w:type="dxa"/>
            <w:gridSpan w:val="2"/>
            <w:shd w:val="clear" w:color="auto" w:fill="auto"/>
            <w:noWrap/>
            <w:vAlign w:val="bottom"/>
          </w:tcPr>
          <w:p w14:paraId="62FF0E70" w14:textId="77777777" w:rsidR="0030211E" w:rsidRPr="001B202B" w:rsidRDefault="0030211E" w:rsidP="00315655">
            <w:pPr>
              <w:jc w:val="center"/>
              <w:rPr>
                <w:color w:val="000000"/>
              </w:rPr>
            </w:pPr>
            <w:r w:rsidRPr="001B202B">
              <w:rPr>
                <w:color w:val="000000"/>
              </w:rPr>
              <w:t>1.75</w:t>
            </w:r>
          </w:p>
        </w:tc>
        <w:tc>
          <w:tcPr>
            <w:tcW w:w="1320" w:type="dxa"/>
            <w:shd w:val="clear" w:color="auto" w:fill="auto"/>
            <w:noWrap/>
            <w:vAlign w:val="bottom"/>
          </w:tcPr>
          <w:p w14:paraId="6DD9CC9B" w14:textId="77777777" w:rsidR="0030211E" w:rsidRPr="001B202B" w:rsidRDefault="0030211E" w:rsidP="00315655">
            <w:pPr>
              <w:jc w:val="center"/>
              <w:rPr>
                <w:color w:val="000000"/>
              </w:rPr>
            </w:pPr>
            <w:r w:rsidRPr="001B202B">
              <w:rPr>
                <w:color w:val="000000"/>
              </w:rPr>
              <w:t>-4.77</w:t>
            </w:r>
          </w:p>
        </w:tc>
        <w:tc>
          <w:tcPr>
            <w:tcW w:w="1320" w:type="dxa"/>
            <w:shd w:val="clear" w:color="auto" w:fill="auto"/>
            <w:noWrap/>
            <w:vAlign w:val="bottom"/>
          </w:tcPr>
          <w:p w14:paraId="578B420E" w14:textId="77777777" w:rsidR="0030211E" w:rsidRPr="001B202B" w:rsidRDefault="0030211E" w:rsidP="00315655">
            <w:pPr>
              <w:jc w:val="center"/>
              <w:rPr>
                <w:color w:val="000000"/>
              </w:rPr>
            </w:pPr>
            <w:r w:rsidRPr="001B202B">
              <w:rPr>
                <w:color w:val="000000"/>
              </w:rPr>
              <w:t>0.009</w:t>
            </w:r>
          </w:p>
        </w:tc>
      </w:tr>
      <w:tr w:rsidR="0030211E" w:rsidRPr="001B202B" w14:paraId="324F1BA8" w14:textId="77777777" w:rsidTr="00315655">
        <w:trPr>
          <w:trHeight w:val="320"/>
        </w:trPr>
        <w:tc>
          <w:tcPr>
            <w:tcW w:w="1723" w:type="dxa"/>
            <w:shd w:val="clear" w:color="auto" w:fill="auto"/>
            <w:noWrap/>
            <w:vAlign w:val="bottom"/>
          </w:tcPr>
          <w:p w14:paraId="72C60451" w14:textId="77777777" w:rsidR="0030211E" w:rsidRPr="001B202B" w:rsidRDefault="0030211E" w:rsidP="00315655">
            <w:pPr>
              <w:rPr>
                <w:color w:val="000000"/>
              </w:rPr>
            </w:pPr>
            <w:r w:rsidRPr="001B202B">
              <w:rPr>
                <w:color w:val="000000"/>
              </w:rPr>
              <w:t>CedarCreek</w:t>
            </w:r>
          </w:p>
        </w:tc>
        <w:tc>
          <w:tcPr>
            <w:tcW w:w="1250" w:type="dxa"/>
            <w:shd w:val="clear" w:color="auto" w:fill="auto"/>
            <w:noWrap/>
            <w:vAlign w:val="bottom"/>
          </w:tcPr>
          <w:p w14:paraId="31A09096" w14:textId="77777777" w:rsidR="0030211E" w:rsidRPr="001B202B" w:rsidRDefault="0030211E" w:rsidP="00315655">
            <w:pPr>
              <w:jc w:val="center"/>
              <w:rPr>
                <w:color w:val="000000"/>
              </w:rPr>
            </w:pPr>
            <w:r w:rsidRPr="001B202B">
              <w:rPr>
                <w:color w:val="000000"/>
              </w:rPr>
              <w:t>-2.28</w:t>
            </w:r>
          </w:p>
        </w:tc>
        <w:tc>
          <w:tcPr>
            <w:tcW w:w="1103" w:type="dxa"/>
            <w:gridSpan w:val="2"/>
            <w:shd w:val="clear" w:color="auto" w:fill="auto"/>
            <w:noWrap/>
            <w:vAlign w:val="bottom"/>
          </w:tcPr>
          <w:p w14:paraId="77D79963" w14:textId="77777777" w:rsidR="0030211E" w:rsidRPr="001B202B" w:rsidRDefault="0030211E" w:rsidP="00315655">
            <w:pPr>
              <w:jc w:val="center"/>
              <w:rPr>
                <w:color w:val="000000"/>
              </w:rPr>
            </w:pPr>
            <w:r w:rsidRPr="001B202B">
              <w:rPr>
                <w:color w:val="000000"/>
              </w:rPr>
              <w:t>1.06</w:t>
            </w:r>
          </w:p>
        </w:tc>
        <w:tc>
          <w:tcPr>
            <w:tcW w:w="1320" w:type="dxa"/>
            <w:shd w:val="clear" w:color="auto" w:fill="auto"/>
            <w:noWrap/>
            <w:vAlign w:val="bottom"/>
          </w:tcPr>
          <w:p w14:paraId="2524756F" w14:textId="77777777" w:rsidR="0030211E" w:rsidRPr="001B202B" w:rsidRDefault="0030211E" w:rsidP="00315655">
            <w:pPr>
              <w:jc w:val="center"/>
              <w:rPr>
                <w:color w:val="000000"/>
              </w:rPr>
            </w:pPr>
            <w:r w:rsidRPr="001B202B">
              <w:rPr>
                <w:color w:val="000000"/>
              </w:rPr>
              <w:t>-2.15</w:t>
            </w:r>
          </w:p>
        </w:tc>
        <w:tc>
          <w:tcPr>
            <w:tcW w:w="1320" w:type="dxa"/>
            <w:shd w:val="clear" w:color="auto" w:fill="auto"/>
            <w:noWrap/>
            <w:vAlign w:val="bottom"/>
          </w:tcPr>
          <w:p w14:paraId="02B9F094" w14:textId="77777777" w:rsidR="0030211E" w:rsidRPr="001B202B" w:rsidRDefault="0030211E" w:rsidP="00315655">
            <w:pPr>
              <w:jc w:val="center"/>
              <w:rPr>
                <w:color w:val="000000"/>
              </w:rPr>
            </w:pPr>
            <w:r w:rsidRPr="001B202B">
              <w:rPr>
                <w:color w:val="000000"/>
              </w:rPr>
              <w:t>0.098</w:t>
            </w:r>
          </w:p>
        </w:tc>
      </w:tr>
      <w:tr w:rsidR="0030211E" w:rsidRPr="001B202B" w14:paraId="77EACA20" w14:textId="77777777" w:rsidTr="00315655">
        <w:trPr>
          <w:trHeight w:val="320"/>
        </w:trPr>
        <w:tc>
          <w:tcPr>
            <w:tcW w:w="1723" w:type="dxa"/>
            <w:shd w:val="clear" w:color="auto" w:fill="auto"/>
            <w:noWrap/>
            <w:vAlign w:val="bottom"/>
          </w:tcPr>
          <w:p w14:paraId="1FE4D739" w14:textId="77777777" w:rsidR="0030211E" w:rsidRPr="001B202B" w:rsidRDefault="0030211E" w:rsidP="00315655">
            <w:pPr>
              <w:rPr>
                <w:color w:val="000000"/>
              </w:rPr>
            </w:pPr>
            <w:r w:rsidRPr="001B202B">
              <w:rPr>
                <w:color w:val="000000"/>
              </w:rPr>
              <w:t>Hitchiti</w:t>
            </w:r>
          </w:p>
        </w:tc>
        <w:tc>
          <w:tcPr>
            <w:tcW w:w="1250" w:type="dxa"/>
            <w:shd w:val="clear" w:color="auto" w:fill="auto"/>
            <w:noWrap/>
            <w:vAlign w:val="bottom"/>
          </w:tcPr>
          <w:p w14:paraId="2921725C" w14:textId="77777777" w:rsidR="0030211E" w:rsidRPr="001B202B" w:rsidRDefault="0030211E" w:rsidP="00315655">
            <w:pPr>
              <w:jc w:val="center"/>
              <w:rPr>
                <w:color w:val="000000"/>
              </w:rPr>
            </w:pPr>
            <w:r w:rsidRPr="001B202B">
              <w:rPr>
                <w:color w:val="000000"/>
              </w:rPr>
              <w:t>0.01</w:t>
            </w:r>
          </w:p>
        </w:tc>
        <w:tc>
          <w:tcPr>
            <w:tcW w:w="1103" w:type="dxa"/>
            <w:gridSpan w:val="2"/>
            <w:shd w:val="clear" w:color="auto" w:fill="auto"/>
            <w:noWrap/>
            <w:vAlign w:val="bottom"/>
          </w:tcPr>
          <w:p w14:paraId="032D064C" w14:textId="77777777" w:rsidR="0030211E" w:rsidRPr="001B202B" w:rsidRDefault="0030211E" w:rsidP="00315655">
            <w:pPr>
              <w:jc w:val="center"/>
              <w:rPr>
                <w:color w:val="000000"/>
              </w:rPr>
            </w:pPr>
            <w:r w:rsidRPr="001B202B">
              <w:rPr>
                <w:color w:val="000000"/>
              </w:rPr>
              <w:t>0.16</w:t>
            </w:r>
          </w:p>
        </w:tc>
        <w:tc>
          <w:tcPr>
            <w:tcW w:w="1320" w:type="dxa"/>
            <w:shd w:val="clear" w:color="auto" w:fill="auto"/>
            <w:noWrap/>
            <w:vAlign w:val="bottom"/>
          </w:tcPr>
          <w:p w14:paraId="71574109" w14:textId="77777777" w:rsidR="0030211E" w:rsidRPr="001B202B" w:rsidRDefault="0030211E" w:rsidP="00315655">
            <w:pPr>
              <w:jc w:val="center"/>
              <w:rPr>
                <w:color w:val="000000"/>
              </w:rPr>
            </w:pPr>
            <w:r w:rsidRPr="001B202B">
              <w:rPr>
                <w:color w:val="000000"/>
              </w:rPr>
              <w:t>0.05</w:t>
            </w:r>
          </w:p>
        </w:tc>
        <w:tc>
          <w:tcPr>
            <w:tcW w:w="1320" w:type="dxa"/>
            <w:shd w:val="clear" w:color="auto" w:fill="auto"/>
            <w:noWrap/>
            <w:vAlign w:val="bottom"/>
          </w:tcPr>
          <w:p w14:paraId="3B66F5A7" w14:textId="77777777" w:rsidR="0030211E" w:rsidRPr="001B202B" w:rsidRDefault="0030211E" w:rsidP="00315655">
            <w:pPr>
              <w:jc w:val="center"/>
              <w:rPr>
                <w:color w:val="000000"/>
              </w:rPr>
            </w:pPr>
            <w:r w:rsidRPr="001B202B">
              <w:rPr>
                <w:color w:val="000000"/>
              </w:rPr>
              <w:t>0.965</w:t>
            </w:r>
          </w:p>
        </w:tc>
      </w:tr>
      <w:tr w:rsidR="0030211E" w:rsidRPr="001B202B" w14:paraId="057E2C7E" w14:textId="77777777" w:rsidTr="00315655">
        <w:trPr>
          <w:trHeight w:val="320"/>
        </w:trPr>
        <w:tc>
          <w:tcPr>
            <w:tcW w:w="1723" w:type="dxa"/>
            <w:shd w:val="clear" w:color="auto" w:fill="auto"/>
            <w:noWrap/>
            <w:vAlign w:val="bottom"/>
          </w:tcPr>
          <w:p w14:paraId="05593241" w14:textId="77777777" w:rsidR="0030211E" w:rsidRPr="001B202B" w:rsidRDefault="0030211E" w:rsidP="00315655">
            <w:pPr>
              <w:rPr>
                <w:color w:val="000000"/>
              </w:rPr>
            </w:pPr>
            <w:r w:rsidRPr="001B202B">
              <w:rPr>
                <w:color w:val="000000"/>
              </w:rPr>
              <w:t>IBGE</w:t>
            </w:r>
          </w:p>
        </w:tc>
        <w:tc>
          <w:tcPr>
            <w:tcW w:w="1250" w:type="dxa"/>
            <w:shd w:val="clear" w:color="auto" w:fill="auto"/>
            <w:noWrap/>
            <w:vAlign w:val="bottom"/>
          </w:tcPr>
          <w:p w14:paraId="49E98835" w14:textId="77777777" w:rsidR="0030211E" w:rsidRPr="001B202B" w:rsidRDefault="0030211E" w:rsidP="00315655">
            <w:pPr>
              <w:jc w:val="center"/>
              <w:rPr>
                <w:color w:val="000000"/>
              </w:rPr>
            </w:pPr>
            <w:r w:rsidRPr="001B202B">
              <w:rPr>
                <w:color w:val="000000"/>
              </w:rPr>
              <w:t>-3.16</w:t>
            </w:r>
          </w:p>
        </w:tc>
        <w:tc>
          <w:tcPr>
            <w:tcW w:w="1103" w:type="dxa"/>
            <w:gridSpan w:val="2"/>
            <w:shd w:val="clear" w:color="auto" w:fill="auto"/>
            <w:noWrap/>
            <w:vAlign w:val="bottom"/>
          </w:tcPr>
          <w:p w14:paraId="1F1B339F" w14:textId="77777777" w:rsidR="0030211E" w:rsidRPr="001B202B" w:rsidRDefault="0030211E" w:rsidP="00315655">
            <w:pPr>
              <w:jc w:val="center"/>
              <w:rPr>
                <w:color w:val="000000"/>
              </w:rPr>
            </w:pPr>
            <w:r w:rsidRPr="001B202B">
              <w:rPr>
                <w:color w:val="000000"/>
              </w:rPr>
              <w:t>1.27</w:t>
            </w:r>
          </w:p>
        </w:tc>
        <w:tc>
          <w:tcPr>
            <w:tcW w:w="1320" w:type="dxa"/>
            <w:shd w:val="clear" w:color="auto" w:fill="auto"/>
            <w:noWrap/>
            <w:vAlign w:val="bottom"/>
          </w:tcPr>
          <w:p w14:paraId="7198107C" w14:textId="77777777" w:rsidR="0030211E" w:rsidRPr="001B202B" w:rsidRDefault="0030211E" w:rsidP="00315655">
            <w:pPr>
              <w:jc w:val="center"/>
              <w:rPr>
                <w:color w:val="000000"/>
              </w:rPr>
            </w:pPr>
            <w:r w:rsidRPr="001B202B">
              <w:rPr>
                <w:color w:val="000000"/>
              </w:rPr>
              <w:t>-2.48</w:t>
            </w:r>
          </w:p>
        </w:tc>
        <w:tc>
          <w:tcPr>
            <w:tcW w:w="1320" w:type="dxa"/>
            <w:shd w:val="clear" w:color="auto" w:fill="auto"/>
            <w:noWrap/>
            <w:vAlign w:val="bottom"/>
          </w:tcPr>
          <w:p w14:paraId="71BD47F3" w14:textId="77777777" w:rsidR="0030211E" w:rsidRPr="001B202B" w:rsidRDefault="0030211E" w:rsidP="00315655">
            <w:pPr>
              <w:jc w:val="center"/>
              <w:rPr>
                <w:color w:val="000000"/>
              </w:rPr>
            </w:pPr>
            <w:r w:rsidRPr="001B202B">
              <w:rPr>
                <w:color w:val="000000"/>
              </w:rPr>
              <w:t>0.089</w:t>
            </w:r>
          </w:p>
        </w:tc>
      </w:tr>
      <w:tr w:rsidR="0030211E" w:rsidRPr="001B202B" w14:paraId="1273CB86" w14:textId="77777777" w:rsidTr="00315655">
        <w:trPr>
          <w:trHeight w:val="320"/>
        </w:trPr>
        <w:tc>
          <w:tcPr>
            <w:tcW w:w="1723" w:type="dxa"/>
            <w:shd w:val="clear" w:color="auto" w:fill="auto"/>
            <w:noWrap/>
            <w:vAlign w:val="bottom"/>
          </w:tcPr>
          <w:p w14:paraId="547D90F3" w14:textId="77777777" w:rsidR="0030211E" w:rsidRPr="001B202B" w:rsidRDefault="0030211E" w:rsidP="00315655">
            <w:pPr>
              <w:rPr>
                <w:color w:val="000000"/>
              </w:rPr>
            </w:pPr>
            <w:r w:rsidRPr="001B202B">
              <w:rPr>
                <w:color w:val="000000"/>
              </w:rPr>
              <w:t>MatoposClay</w:t>
            </w:r>
          </w:p>
        </w:tc>
        <w:tc>
          <w:tcPr>
            <w:tcW w:w="1250" w:type="dxa"/>
            <w:shd w:val="clear" w:color="auto" w:fill="auto"/>
            <w:noWrap/>
            <w:vAlign w:val="bottom"/>
          </w:tcPr>
          <w:p w14:paraId="702E9670" w14:textId="77777777" w:rsidR="0030211E" w:rsidRPr="001B202B" w:rsidRDefault="0030211E" w:rsidP="00315655">
            <w:pPr>
              <w:jc w:val="center"/>
              <w:rPr>
                <w:color w:val="000000"/>
              </w:rPr>
            </w:pPr>
            <w:r w:rsidRPr="001B202B">
              <w:rPr>
                <w:color w:val="000000"/>
              </w:rPr>
              <w:t>-3.55</w:t>
            </w:r>
          </w:p>
        </w:tc>
        <w:tc>
          <w:tcPr>
            <w:tcW w:w="1103" w:type="dxa"/>
            <w:gridSpan w:val="2"/>
            <w:shd w:val="clear" w:color="auto" w:fill="auto"/>
            <w:noWrap/>
            <w:vAlign w:val="bottom"/>
          </w:tcPr>
          <w:p w14:paraId="464E3090" w14:textId="77777777" w:rsidR="0030211E" w:rsidRPr="001B202B" w:rsidRDefault="0030211E" w:rsidP="00315655">
            <w:pPr>
              <w:jc w:val="center"/>
              <w:rPr>
                <w:color w:val="000000"/>
              </w:rPr>
            </w:pPr>
            <w:r w:rsidRPr="001B202B">
              <w:rPr>
                <w:color w:val="000000"/>
              </w:rPr>
              <w:t>0.96</w:t>
            </w:r>
          </w:p>
        </w:tc>
        <w:tc>
          <w:tcPr>
            <w:tcW w:w="1320" w:type="dxa"/>
            <w:shd w:val="clear" w:color="auto" w:fill="auto"/>
            <w:noWrap/>
            <w:vAlign w:val="bottom"/>
          </w:tcPr>
          <w:p w14:paraId="40A9D11D" w14:textId="77777777" w:rsidR="0030211E" w:rsidRPr="001B202B" w:rsidRDefault="0030211E" w:rsidP="00315655">
            <w:pPr>
              <w:jc w:val="center"/>
              <w:rPr>
                <w:color w:val="000000"/>
              </w:rPr>
            </w:pPr>
            <w:r w:rsidRPr="001B202B">
              <w:rPr>
                <w:color w:val="000000"/>
              </w:rPr>
              <w:t>-3.68</w:t>
            </w:r>
          </w:p>
        </w:tc>
        <w:tc>
          <w:tcPr>
            <w:tcW w:w="1320" w:type="dxa"/>
            <w:shd w:val="clear" w:color="auto" w:fill="auto"/>
            <w:noWrap/>
            <w:vAlign w:val="bottom"/>
          </w:tcPr>
          <w:p w14:paraId="4DC82658" w14:textId="77777777" w:rsidR="0030211E" w:rsidRPr="001B202B" w:rsidRDefault="0030211E" w:rsidP="00315655">
            <w:pPr>
              <w:jc w:val="center"/>
              <w:rPr>
                <w:color w:val="000000"/>
              </w:rPr>
            </w:pPr>
            <w:r w:rsidRPr="001B202B">
              <w:rPr>
                <w:color w:val="000000"/>
              </w:rPr>
              <w:t>0.008</w:t>
            </w:r>
          </w:p>
        </w:tc>
      </w:tr>
      <w:tr w:rsidR="0030211E" w:rsidRPr="001B202B" w14:paraId="55078255" w14:textId="77777777" w:rsidTr="00315655">
        <w:trPr>
          <w:trHeight w:val="320"/>
        </w:trPr>
        <w:tc>
          <w:tcPr>
            <w:tcW w:w="1723" w:type="dxa"/>
            <w:shd w:val="clear" w:color="auto" w:fill="auto"/>
            <w:noWrap/>
            <w:vAlign w:val="bottom"/>
          </w:tcPr>
          <w:p w14:paraId="7F538714" w14:textId="77777777" w:rsidR="0030211E" w:rsidRPr="001B202B" w:rsidRDefault="0030211E" w:rsidP="00315655">
            <w:pPr>
              <w:rPr>
                <w:color w:val="000000"/>
              </w:rPr>
            </w:pPr>
            <w:r w:rsidRPr="001B202B">
              <w:rPr>
                <w:color w:val="000000"/>
              </w:rPr>
              <w:t>MatoposSand</w:t>
            </w:r>
          </w:p>
        </w:tc>
        <w:tc>
          <w:tcPr>
            <w:tcW w:w="1250" w:type="dxa"/>
            <w:shd w:val="clear" w:color="auto" w:fill="auto"/>
            <w:noWrap/>
            <w:vAlign w:val="bottom"/>
          </w:tcPr>
          <w:p w14:paraId="4271FB55" w14:textId="77777777" w:rsidR="0030211E" w:rsidRPr="001B202B" w:rsidRDefault="0030211E" w:rsidP="00315655">
            <w:pPr>
              <w:jc w:val="center"/>
              <w:rPr>
                <w:color w:val="000000"/>
              </w:rPr>
            </w:pPr>
            <w:r w:rsidRPr="001B202B">
              <w:rPr>
                <w:color w:val="000000"/>
              </w:rPr>
              <w:t>-4.73</w:t>
            </w:r>
          </w:p>
        </w:tc>
        <w:tc>
          <w:tcPr>
            <w:tcW w:w="1103" w:type="dxa"/>
            <w:gridSpan w:val="2"/>
            <w:shd w:val="clear" w:color="auto" w:fill="auto"/>
            <w:noWrap/>
            <w:vAlign w:val="bottom"/>
          </w:tcPr>
          <w:p w14:paraId="29C3C977" w14:textId="77777777" w:rsidR="0030211E" w:rsidRPr="001B202B" w:rsidRDefault="0030211E" w:rsidP="00315655">
            <w:pPr>
              <w:jc w:val="center"/>
              <w:rPr>
                <w:color w:val="000000"/>
              </w:rPr>
            </w:pPr>
            <w:r w:rsidRPr="001B202B">
              <w:rPr>
                <w:color w:val="000000"/>
              </w:rPr>
              <w:t>0.98</w:t>
            </w:r>
          </w:p>
        </w:tc>
        <w:tc>
          <w:tcPr>
            <w:tcW w:w="1320" w:type="dxa"/>
            <w:shd w:val="clear" w:color="auto" w:fill="auto"/>
            <w:noWrap/>
            <w:vAlign w:val="bottom"/>
          </w:tcPr>
          <w:p w14:paraId="5714AF0C" w14:textId="77777777" w:rsidR="0030211E" w:rsidRPr="001B202B" w:rsidRDefault="0030211E" w:rsidP="00315655">
            <w:pPr>
              <w:jc w:val="center"/>
              <w:rPr>
                <w:color w:val="000000"/>
              </w:rPr>
            </w:pPr>
            <w:r w:rsidRPr="001B202B">
              <w:rPr>
                <w:color w:val="000000"/>
              </w:rPr>
              <w:t>-4.84</w:t>
            </w:r>
          </w:p>
        </w:tc>
        <w:tc>
          <w:tcPr>
            <w:tcW w:w="1320" w:type="dxa"/>
            <w:shd w:val="clear" w:color="auto" w:fill="auto"/>
            <w:noWrap/>
            <w:vAlign w:val="bottom"/>
          </w:tcPr>
          <w:p w14:paraId="4F8C50E0" w14:textId="77777777" w:rsidR="0030211E" w:rsidRPr="001B202B" w:rsidRDefault="0030211E" w:rsidP="00315655">
            <w:pPr>
              <w:jc w:val="center"/>
              <w:rPr>
                <w:color w:val="000000"/>
              </w:rPr>
            </w:pPr>
            <w:r w:rsidRPr="001B202B">
              <w:rPr>
                <w:color w:val="000000"/>
              </w:rPr>
              <w:t>0.003</w:t>
            </w:r>
          </w:p>
        </w:tc>
      </w:tr>
      <w:tr w:rsidR="0030211E" w:rsidRPr="001B202B" w14:paraId="11F10F4B" w14:textId="77777777" w:rsidTr="00315655">
        <w:trPr>
          <w:trHeight w:val="320"/>
        </w:trPr>
        <w:tc>
          <w:tcPr>
            <w:tcW w:w="1723" w:type="dxa"/>
            <w:shd w:val="clear" w:color="auto" w:fill="auto"/>
            <w:noWrap/>
            <w:vAlign w:val="bottom"/>
            <w:hideMark/>
          </w:tcPr>
          <w:p w14:paraId="1C1FD25E" w14:textId="77777777" w:rsidR="0030211E" w:rsidRPr="001B202B" w:rsidRDefault="0030211E" w:rsidP="00315655">
            <w:pPr>
              <w:rPr>
                <w:color w:val="000000"/>
              </w:rPr>
            </w:pPr>
          </w:p>
        </w:tc>
        <w:tc>
          <w:tcPr>
            <w:tcW w:w="1250" w:type="dxa"/>
            <w:shd w:val="clear" w:color="auto" w:fill="auto"/>
            <w:noWrap/>
            <w:vAlign w:val="bottom"/>
            <w:hideMark/>
          </w:tcPr>
          <w:p w14:paraId="0BD631AD" w14:textId="77777777" w:rsidR="0030211E" w:rsidRPr="001B202B" w:rsidRDefault="0030211E" w:rsidP="00315655">
            <w:pPr>
              <w:jc w:val="center"/>
            </w:pPr>
          </w:p>
        </w:tc>
        <w:tc>
          <w:tcPr>
            <w:tcW w:w="1103" w:type="dxa"/>
            <w:gridSpan w:val="2"/>
            <w:shd w:val="clear" w:color="auto" w:fill="auto"/>
            <w:noWrap/>
            <w:vAlign w:val="bottom"/>
            <w:hideMark/>
          </w:tcPr>
          <w:p w14:paraId="333C5EF0" w14:textId="77777777" w:rsidR="0030211E" w:rsidRPr="001B202B" w:rsidRDefault="0030211E" w:rsidP="00315655">
            <w:pPr>
              <w:jc w:val="center"/>
            </w:pPr>
          </w:p>
        </w:tc>
        <w:tc>
          <w:tcPr>
            <w:tcW w:w="1320" w:type="dxa"/>
            <w:shd w:val="clear" w:color="auto" w:fill="auto"/>
            <w:noWrap/>
            <w:vAlign w:val="bottom"/>
            <w:hideMark/>
          </w:tcPr>
          <w:p w14:paraId="2E12F3A8" w14:textId="77777777" w:rsidR="0030211E" w:rsidRPr="001B202B" w:rsidRDefault="0030211E" w:rsidP="00315655">
            <w:pPr>
              <w:jc w:val="center"/>
            </w:pPr>
          </w:p>
        </w:tc>
        <w:tc>
          <w:tcPr>
            <w:tcW w:w="1320" w:type="dxa"/>
            <w:shd w:val="clear" w:color="auto" w:fill="auto"/>
            <w:noWrap/>
            <w:vAlign w:val="bottom"/>
            <w:hideMark/>
          </w:tcPr>
          <w:p w14:paraId="281A3F09" w14:textId="77777777" w:rsidR="0030211E" w:rsidRPr="001B202B" w:rsidRDefault="0030211E" w:rsidP="00315655">
            <w:pPr>
              <w:jc w:val="center"/>
            </w:pPr>
          </w:p>
        </w:tc>
      </w:tr>
      <w:tr w:rsidR="0030211E" w:rsidRPr="001B202B" w14:paraId="6C783470" w14:textId="77777777" w:rsidTr="00315655">
        <w:trPr>
          <w:trHeight w:val="320"/>
        </w:trPr>
        <w:tc>
          <w:tcPr>
            <w:tcW w:w="3544" w:type="dxa"/>
            <w:gridSpan w:val="3"/>
            <w:shd w:val="clear" w:color="auto" w:fill="auto"/>
            <w:noWrap/>
            <w:vAlign w:val="bottom"/>
            <w:hideMark/>
          </w:tcPr>
          <w:p w14:paraId="67E46D9C" w14:textId="77777777" w:rsidR="0030211E" w:rsidRPr="001B202B" w:rsidRDefault="0030211E" w:rsidP="00315655">
            <w:pPr>
              <w:jc w:val="center"/>
              <w:rPr>
                <w:color w:val="000000"/>
              </w:rPr>
            </w:pPr>
            <w:r w:rsidRPr="001B202B">
              <w:rPr>
                <w:color w:val="000000"/>
              </w:rPr>
              <w:t>Tree-derived C ~ Total soil C</w:t>
            </w:r>
          </w:p>
        </w:tc>
        <w:tc>
          <w:tcPr>
            <w:tcW w:w="532" w:type="dxa"/>
            <w:shd w:val="clear" w:color="auto" w:fill="auto"/>
            <w:noWrap/>
            <w:vAlign w:val="bottom"/>
            <w:hideMark/>
          </w:tcPr>
          <w:p w14:paraId="414DF0CF" w14:textId="77777777" w:rsidR="0030211E" w:rsidRPr="001B202B" w:rsidRDefault="0030211E" w:rsidP="00315655">
            <w:pPr>
              <w:jc w:val="center"/>
              <w:rPr>
                <w:color w:val="000000"/>
              </w:rPr>
            </w:pPr>
          </w:p>
        </w:tc>
        <w:tc>
          <w:tcPr>
            <w:tcW w:w="1320" w:type="dxa"/>
            <w:shd w:val="clear" w:color="auto" w:fill="auto"/>
            <w:noWrap/>
            <w:vAlign w:val="bottom"/>
            <w:hideMark/>
          </w:tcPr>
          <w:p w14:paraId="661C07B1" w14:textId="77777777" w:rsidR="0030211E" w:rsidRPr="001B202B" w:rsidRDefault="0030211E" w:rsidP="00315655">
            <w:pPr>
              <w:jc w:val="center"/>
            </w:pPr>
          </w:p>
        </w:tc>
        <w:tc>
          <w:tcPr>
            <w:tcW w:w="1320" w:type="dxa"/>
            <w:shd w:val="clear" w:color="auto" w:fill="auto"/>
            <w:noWrap/>
            <w:vAlign w:val="bottom"/>
            <w:hideMark/>
          </w:tcPr>
          <w:p w14:paraId="5C6010FA" w14:textId="77777777" w:rsidR="0030211E" w:rsidRPr="001B202B" w:rsidRDefault="0030211E" w:rsidP="00315655">
            <w:pPr>
              <w:jc w:val="center"/>
            </w:pPr>
          </w:p>
        </w:tc>
      </w:tr>
      <w:tr w:rsidR="0030211E" w:rsidRPr="001B202B" w14:paraId="7C8C6043" w14:textId="77777777" w:rsidTr="00315655">
        <w:trPr>
          <w:trHeight w:val="320"/>
        </w:trPr>
        <w:tc>
          <w:tcPr>
            <w:tcW w:w="1723" w:type="dxa"/>
            <w:shd w:val="clear" w:color="auto" w:fill="auto"/>
            <w:noWrap/>
            <w:vAlign w:val="bottom"/>
            <w:hideMark/>
          </w:tcPr>
          <w:p w14:paraId="5A80A2EC" w14:textId="77777777" w:rsidR="0030211E" w:rsidRPr="001B202B" w:rsidRDefault="0030211E" w:rsidP="00315655">
            <w:pPr>
              <w:rPr>
                <w:color w:val="000000"/>
              </w:rPr>
            </w:pPr>
            <w:r w:rsidRPr="001B202B">
              <w:rPr>
                <w:color w:val="000000"/>
              </w:rPr>
              <w:t>Site</w:t>
            </w:r>
          </w:p>
        </w:tc>
        <w:tc>
          <w:tcPr>
            <w:tcW w:w="1250" w:type="dxa"/>
            <w:shd w:val="clear" w:color="auto" w:fill="auto"/>
            <w:noWrap/>
            <w:vAlign w:val="bottom"/>
            <w:hideMark/>
          </w:tcPr>
          <w:p w14:paraId="13F729DA" w14:textId="77777777" w:rsidR="0030211E" w:rsidRPr="001B202B" w:rsidRDefault="0030211E" w:rsidP="00315655">
            <w:pPr>
              <w:jc w:val="center"/>
              <w:rPr>
                <w:color w:val="000000"/>
              </w:rPr>
            </w:pPr>
            <w:r w:rsidRPr="001B202B">
              <w:rPr>
                <w:color w:val="000000"/>
              </w:rPr>
              <w:t>Estimate</w:t>
            </w:r>
          </w:p>
        </w:tc>
        <w:tc>
          <w:tcPr>
            <w:tcW w:w="1103" w:type="dxa"/>
            <w:gridSpan w:val="2"/>
            <w:shd w:val="clear" w:color="auto" w:fill="auto"/>
            <w:noWrap/>
            <w:vAlign w:val="bottom"/>
            <w:hideMark/>
          </w:tcPr>
          <w:p w14:paraId="0C0D5C2D" w14:textId="77777777" w:rsidR="0030211E" w:rsidRPr="001B202B" w:rsidRDefault="0030211E" w:rsidP="00315655">
            <w:pPr>
              <w:jc w:val="center"/>
              <w:rPr>
                <w:color w:val="000000"/>
              </w:rPr>
            </w:pPr>
            <w:r w:rsidRPr="001B202B">
              <w:rPr>
                <w:color w:val="000000"/>
              </w:rPr>
              <w:t>SE</w:t>
            </w:r>
          </w:p>
        </w:tc>
        <w:tc>
          <w:tcPr>
            <w:tcW w:w="1320" w:type="dxa"/>
            <w:shd w:val="clear" w:color="auto" w:fill="auto"/>
            <w:noWrap/>
            <w:vAlign w:val="bottom"/>
            <w:hideMark/>
          </w:tcPr>
          <w:p w14:paraId="7795E4DD" w14:textId="77777777" w:rsidR="0030211E" w:rsidRPr="001B202B" w:rsidRDefault="0030211E" w:rsidP="00315655">
            <w:pPr>
              <w:jc w:val="center"/>
              <w:rPr>
                <w:color w:val="000000"/>
              </w:rPr>
            </w:pPr>
            <w:r w:rsidRPr="001B202B">
              <w:rPr>
                <w:color w:val="000000"/>
              </w:rPr>
              <w:t>T value</w:t>
            </w:r>
          </w:p>
        </w:tc>
        <w:tc>
          <w:tcPr>
            <w:tcW w:w="1320" w:type="dxa"/>
            <w:shd w:val="clear" w:color="auto" w:fill="auto"/>
            <w:noWrap/>
            <w:vAlign w:val="bottom"/>
            <w:hideMark/>
          </w:tcPr>
          <w:p w14:paraId="4C79ED2B" w14:textId="77777777" w:rsidR="0030211E" w:rsidRPr="001B202B" w:rsidRDefault="0030211E" w:rsidP="00315655">
            <w:pPr>
              <w:jc w:val="center"/>
              <w:rPr>
                <w:color w:val="000000"/>
              </w:rPr>
            </w:pPr>
            <w:r w:rsidRPr="001B202B">
              <w:rPr>
                <w:color w:val="000000"/>
              </w:rPr>
              <w:t>P value</w:t>
            </w:r>
          </w:p>
        </w:tc>
      </w:tr>
      <w:tr w:rsidR="0030211E" w:rsidRPr="001B202B" w14:paraId="412E5DDC" w14:textId="77777777" w:rsidTr="00315655">
        <w:trPr>
          <w:trHeight w:val="320"/>
        </w:trPr>
        <w:tc>
          <w:tcPr>
            <w:tcW w:w="1723" w:type="dxa"/>
            <w:shd w:val="clear" w:color="auto" w:fill="auto"/>
            <w:noWrap/>
            <w:vAlign w:val="bottom"/>
            <w:hideMark/>
          </w:tcPr>
          <w:p w14:paraId="3055DBC8" w14:textId="77777777" w:rsidR="0030211E" w:rsidRPr="001B202B" w:rsidRDefault="0030211E" w:rsidP="00315655">
            <w:pPr>
              <w:rPr>
                <w:color w:val="000000"/>
              </w:rPr>
            </w:pPr>
            <w:r w:rsidRPr="001B202B">
              <w:rPr>
                <w:color w:val="000000"/>
              </w:rPr>
              <w:t>KrugerSkukuza</w:t>
            </w:r>
          </w:p>
        </w:tc>
        <w:tc>
          <w:tcPr>
            <w:tcW w:w="1250" w:type="dxa"/>
            <w:shd w:val="clear" w:color="auto" w:fill="auto"/>
            <w:noWrap/>
            <w:vAlign w:val="bottom"/>
            <w:hideMark/>
          </w:tcPr>
          <w:p w14:paraId="68DD61CB" w14:textId="77777777" w:rsidR="0030211E" w:rsidRPr="001B202B" w:rsidRDefault="0030211E" w:rsidP="00315655">
            <w:pPr>
              <w:jc w:val="center"/>
              <w:rPr>
                <w:color w:val="000000"/>
              </w:rPr>
            </w:pPr>
            <w:r w:rsidRPr="001B202B">
              <w:rPr>
                <w:color w:val="000000"/>
              </w:rPr>
              <w:t>0.83</w:t>
            </w:r>
          </w:p>
        </w:tc>
        <w:tc>
          <w:tcPr>
            <w:tcW w:w="1103" w:type="dxa"/>
            <w:gridSpan w:val="2"/>
            <w:shd w:val="clear" w:color="auto" w:fill="auto"/>
            <w:noWrap/>
            <w:vAlign w:val="bottom"/>
            <w:hideMark/>
          </w:tcPr>
          <w:p w14:paraId="0FFD964B" w14:textId="77777777" w:rsidR="0030211E" w:rsidRPr="001B202B" w:rsidRDefault="0030211E" w:rsidP="00315655">
            <w:pPr>
              <w:jc w:val="center"/>
              <w:rPr>
                <w:color w:val="000000"/>
              </w:rPr>
            </w:pPr>
            <w:r w:rsidRPr="001B202B">
              <w:rPr>
                <w:color w:val="000000"/>
              </w:rPr>
              <w:t>0.09</w:t>
            </w:r>
          </w:p>
        </w:tc>
        <w:tc>
          <w:tcPr>
            <w:tcW w:w="1320" w:type="dxa"/>
            <w:shd w:val="clear" w:color="auto" w:fill="auto"/>
            <w:noWrap/>
            <w:vAlign w:val="bottom"/>
            <w:hideMark/>
          </w:tcPr>
          <w:p w14:paraId="0E7B8428" w14:textId="77777777" w:rsidR="0030211E" w:rsidRPr="001B202B" w:rsidRDefault="0030211E" w:rsidP="00315655">
            <w:pPr>
              <w:jc w:val="center"/>
              <w:rPr>
                <w:color w:val="000000"/>
              </w:rPr>
            </w:pPr>
            <w:r w:rsidRPr="001B202B">
              <w:rPr>
                <w:color w:val="000000"/>
              </w:rPr>
              <w:t>9.29</w:t>
            </w:r>
          </w:p>
        </w:tc>
        <w:tc>
          <w:tcPr>
            <w:tcW w:w="1320" w:type="dxa"/>
            <w:shd w:val="clear" w:color="auto" w:fill="auto"/>
            <w:noWrap/>
            <w:vAlign w:val="bottom"/>
            <w:hideMark/>
          </w:tcPr>
          <w:p w14:paraId="33899BE5" w14:textId="77777777" w:rsidR="0030211E" w:rsidRPr="001B202B" w:rsidRDefault="0030211E" w:rsidP="00315655">
            <w:pPr>
              <w:jc w:val="center"/>
              <w:rPr>
                <w:color w:val="000000"/>
              </w:rPr>
            </w:pPr>
            <w:r w:rsidRPr="001B202B">
              <w:rPr>
                <w:color w:val="000000"/>
              </w:rPr>
              <w:t>&lt;0.001</w:t>
            </w:r>
          </w:p>
        </w:tc>
      </w:tr>
      <w:tr w:rsidR="0030211E" w:rsidRPr="001B202B" w14:paraId="4C3138F3" w14:textId="77777777" w:rsidTr="00315655">
        <w:trPr>
          <w:trHeight w:val="320"/>
        </w:trPr>
        <w:tc>
          <w:tcPr>
            <w:tcW w:w="1723" w:type="dxa"/>
            <w:shd w:val="clear" w:color="auto" w:fill="auto"/>
            <w:noWrap/>
            <w:vAlign w:val="bottom"/>
            <w:hideMark/>
          </w:tcPr>
          <w:p w14:paraId="2AD38735" w14:textId="77777777" w:rsidR="0030211E" w:rsidRPr="001B202B" w:rsidRDefault="0030211E" w:rsidP="00315655">
            <w:pPr>
              <w:rPr>
                <w:color w:val="000000"/>
              </w:rPr>
            </w:pPr>
            <w:r w:rsidRPr="001B202B">
              <w:rPr>
                <w:color w:val="000000"/>
              </w:rPr>
              <w:t>Breaks</w:t>
            </w:r>
          </w:p>
        </w:tc>
        <w:tc>
          <w:tcPr>
            <w:tcW w:w="1250" w:type="dxa"/>
            <w:shd w:val="clear" w:color="auto" w:fill="auto"/>
            <w:noWrap/>
            <w:vAlign w:val="bottom"/>
            <w:hideMark/>
          </w:tcPr>
          <w:p w14:paraId="0FF6BE45" w14:textId="77777777" w:rsidR="0030211E" w:rsidRPr="001B202B" w:rsidRDefault="0030211E" w:rsidP="00315655">
            <w:pPr>
              <w:jc w:val="center"/>
              <w:rPr>
                <w:color w:val="000000"/>
              </w:rPr>
            </w:pPr>
            <w:r w:rsidRPr="001B202B">
              <w:rPr>
                <w:color w:val="000000"/>
              </w:rPr>
              <w:t>1.09</w:t>
            </w:r>
          </w:p>
        </w:tc>
        <w:tc>
          <w:tcPr>
            <w:tcW w:w="1103" w:type="dxa"/>
            <w:gridSpan w:val="2"/>
            <w:shd w:val="clear" w:color="auto" w:fill="auto"/>
            <w:noWrap/>
            <w:vAlign w:val="bottom"/>
            <w:hideMark/>
          </w:tcPr>
          <w:p w14:paraId="07EE1185" w14:textId="77777777" w:rsidR="0030211E" w:rsidRPr="001B202B" w:rsidRDefault="0030211E" w:rsidP="00315655">
            <w:pPr>
              <w:jc w:val="center"/>
              <w:rPr>
                <w:color w:val="000000"/>
              </w:rPr>
            </w:pPr>
            <w:r w:rsidRPr="001B202B">
              <w:rPr>
                <w:color w:val="000000"/>
              </w:rPr>
              <w:t>0.29</w:t>
            </w:r>
          </w:p>
        </w:tc>
        <w:tc>
          <w:tcPr>
            <w:tcW w:w="1320" w:type="dxa"/>
            <w:shd w:val="clear" w:color="auto" w:fill="auto"/>
            <w:noWrap/>
            <w:vAlign w:val="bottom"/>
            <w:hideMark/>
          </w:tcPr>
          <w:p w14:paraId="5322D47C" w14:textId="77777777" w:rsidR="0030211E" w:rsidRPr="001B202B" w:rsidRDefault="0030211E" w:rsidP="00315655">
            <w:pPr>
              <w:jc w:val="center"/>
              <w:rPr>
                <w:color w:val="000000"/>
              </w:rPr>
            </w:pPr>
            <w:r w:rsidRPr="001B202B">
              <w:rPr>
                <w:color w:val="000000"/>
              </w:rPr>
              <w:t>3.74</w:t>
            </w:r>
          </w:p>
        </w:tc>
        <w:tc>
          <w:tcPr>
            <w:tcW w:w="1320" w:type="dxa"/>
            <w:shd w:val="clear" w:color="auto" w:fill="auto"/>
            <w:noWrap/>
            <w:vAlign w:val="bottom"/>
            <w:hideMark/>
          </w:tcPr>
          <w:p w14:paraId="7A3E8996" w14:textId="77777777" w:rsidR="0030211E" w:rsidRPr="001B202B" w:rsidRDefault="0030211E" w:rsidP="00315655">
            <w:pPr>
              <w:jc w:val="center"/>
              <w:rPr>
                <w:color w:val="000000"/>
              </w:rPr>
            </w:pPr>
            <w:r w:rsidRPr="001B202B">
              <w:rPr>
                <w:color w:val="000000"/>
              </w:rPr>
              <w:t>0.020</w:t>
            </w:r>
          </w:p>
        </w:tc>
      </w:tr>
      <w:tr w:rsidR="0030211E" w:rsidRPr="001B202B" w14:paraId="12F795A3" w14:textId="77777777" w:rsidTr="00315655">
        <w:trPr>
          <w:trHeight w:val="320"/>
        </w:trPr>
        <w:tc>
          <w:tcPr>
            <w:tcW w:w="1723" w:type="dxa"/>
            <w:shd w:val="clear" w:color="auto" w:fill="auto"/>
            <w:noWrap/>
            <w:vAlign w:val="bottom"/>
            <w:hideMark/>
          </w:tcPr>
          <w:p w14:paraId="1762AD0E" w14:textId="77777777" w:rsidR="0030211E" w:rsidRPr="001B202B" w:rsidRDefault="0030211E" w:rsidP="00315655">
            <w:pPr>
              <w:rPr>
                <w:color w:val="000000"/>
              </w:rPr>
            </w:pPr>
            <w:r w:rsidRPr="001B202B">
              <w:rPr>
                <w:color w:val="000000"/>
              </w:rPr>
              <w:t>CedarCreek</w:t>
            </w:r>
          </w:p>
        </w:tc>
        <w:tc>
          <w:tcPr>
            <w:tcW w:w="1250" w:type="dxa"/>
            <w:shd w:val="clear" w:color="auto" w:fill="auto"/>
            <w:noWrap/>
            <w:vAlign w:val="bottom"/>
            <w:hideMark/>
          </w:tcPr>
          <w:p w14:paraId="3F959F58" w14:textId="77777777" w:rsidR="0030211E" w:rsidRPr="001B202B" w:rsidRDefault="0030211E" w:rsidP="00315655">
            <w:pPr>
              <w:jc w:val="center"/>
              <w:rPr>
                <w:color w:val="000000"/>
              </w:rPr>
            </w:pPr>
            <w:r w:rsidRPr="001B202B">
              <w:rPr>
                <w:color w:val="000000"/>
              </w:rPr>
              <w:t>1.00</w:t>
            </w:r>
          </w:p>
        </w:tc>
        <w:tc>
          <w:tcPr>
            <w:tcW w:w="1103" w:type="dxa"/>
            <w:gridSpan w:val="2"/>
            <w:shd w:val="clear" w:color="auto" w:fill="auto"/>
            <w:noWrap/>
            <w:vAlign w:val="bottom"/>
            <w:hideMark/>
          </w:tcPr>
          <w:p w14:paraId="6A0EC1B7" w14:textId="77777777" w:rsidR="0030211E" w:rsidRPr="001B202B" w:rsidRDefault="0030211E" w:rsidP="00315655">
            <w:pPr>
              <w:jc w:val="center"/>
              <w:rPr>
                <w:color w:val="000000"/>
              </w:rPr>
            </w:pPr>
            <w:r w:rsidRPr="001B202B">
              <w:rPr>
                <w:color w:val="000000"/>
              </w:rPr>
              <w:t>0.05</w:t>
            </w:r>
          </w:p>
        </w:tc>
        <w:tc>
          <w:tcPr>
            <w:tcW w:w="1320" w:type="dxa"/>
            <w:shd w:val="clear" w:color="auto" w:fill="auto"/>
            <w:noWrap/>
            <w:vAlign w:val="bottom"/>
            <w:hideMark/>
          </w:tcPr>
          <w:p w14:paraId="532A8603" w14:textId="77777777" w:rsidR="0030211E" w:rsidRPr="001B202B" w:rsidRDefault="0030211E" w:rsidP="00315655">
            <w:pPr>
              <w:jc w:val="center"/>
              <w:rPr>
                <w:color w:val="000000"/>
              </w:rPr>
            </w:pPr>
            <w:r w:rsidRPr="001B202B">
              <w:rPr>
                <w:color w:val="000000"/>
              </w:rPr>
              <w:t>20.01</w:t>
            </w:r>
          </w:p>
        </w:tc>
        <w:tc>
          <w:tcPr>
            <w:tcW w:w="1320" w:type="dxa"/>
            <w:shd w:val="clear" w:color="auto" w:fill="auto"/>
            <w:noWrap/>
            <w:vAlign w:val="bottom"/>
            <w:hideMark/>
          </w:tcPr>
          <w:p w14:paraId="2163F696" w14:textId="77777777" w:rsidR="0030211E" w:rsidRPr="001B202B" w:rsidRDefault="0030211E" w:rsidP="00315655">
            <w:pPr>
              <w:jc w:val="center"/>
              <w:rPr>
                <w:color w:val="000000"/>
              </w:rPr>
            </w:pPr>
            <w:r w:rsidRPr="001B202B">
              <w:rPr>
                <w:color w:val="000000"/>
              </w:rPr>
              <w:t>&lt;0.001</w:t>
            </w:r>
          </w:p>
        </w:tc>
      </w:tr>
      <w:tr w:rsidR="0030211E" w:rsidRPr="001B202B" w14:paraId="05060765" w14:textId="77777777" w:rsidTr="00315655">
        <w:trPr>
          <w:trHeight w:val="320"/>
        </w:trPr>
        <w:tc>
          <w:tcPr>
            <w:tcW w:w="1723" w:type="dxa"/>
            <w:shd w:val="clear" w:color="auto" w:fill="auto"/>
            <w:noWrap/>
            <w:vAlign w:val="bottom"/>
            <w:hideMark/>
          </w:tcPr>
          <w:p w14:paraId="3F344A15" w14:textId="77777777" w:rsidR="0030211E" w:rsidRPr="001B202B" w:rsidRDefault="0030211E" w:rsidP="00315655">
            <w:pPr>
              <w:rPr>
                <w:color w:val="000000"/>
              </w:rPr>
            </w:pPr>
            <w:r w:rsidRPr="001B202B">
              <w:rPr>
                <w:color w:val="000000"/>
              </w:rPr>
              <w:t>Hitchiti</w:t>
            </w:r>
          </w:p>
        </w:tc>
        <w:tc>
          <w:tcPr>
            <w:tcW w:w="1250" w:type="dxa"/>
            <w:shd w:val="clear" w:color="auto" w:fill="auto"/>
            <w:noWrap/>
            <w:vAlign w:val="bottom"/>
            <w:hideMark/>
          </w:tcPr>
          <w:p w14:paraId="540AE67D" w14:textId="77777777" w:rsidR="0030211E" w:rsidRPr="001B202B" w:rsidRDefault="0030211E" w:rsidP="00315655">
            <w:pPr>
              <w:jc w:val="center"/>
              <w:rPr>
                <w:color w:val="000000"/>
              </w:rPr>
            </w:pPr>
            <w:r w:rsidRPr="001B202B">
              <w:rPr>
                <w:color w:val="000000"/>
              </w:rPr>
              <w:t>1.01</w:t>
            </w:r>
          </w:p>
        </w:tc>
        <w:tc>
          <w:tcPr>
            <w:tcW w:w="1103" w:type="dxa"/>
            <w:gridSpan w:val="2"/>
            <w:shd w:val="clear" w:color="auto" w:fill="auto"/>
            <w:noWrap/>
            <w:vAlign w:val="bottom"/>
            <w:hideMark/>
          </w:tcPr>
          <w:p w14:paraId="4139219A" w14:textId="77777777" w:rsidR="0030211E" w:rsidRPr="001B202B" w:rsidRDefault="0030211E" w:rsidP="00315655">
            <w:pPr>
              <w:jc w:val="center"/>
              <w:rPr>
                <w:color w:val="000000"/>
              </w:rPr>
            </w:pPr>
            <w:r w:rsidRPr="001B202B">
              <w:rPr>
                <w:color w:val="000000"/>
              </w:rPr>
              <w:t>0.02</w:t>
            </w:r>
          </w:p>
        </w:tc>
        <w:tc>
          <w:tcPr>
            <w:tcW w:w="1320" w:type="dxa"/>
            <w:shd w:val="clear" w:color="auto" w:fill="auto"/>
            <w:noWrap/>
            <w:vAlign w:val="bottom"/>
            <w:hideMark/>
          </w:tcPr>
          <w:p w14:paraId="47CAE2C4" w14:textId="77777777" w:rsidR="0030211E" w:rsidRPr="001B202B" w:rsidRDefault="0030211E" w:rsidP="00315655">
            <w:pPr>
              <w:jc w:val="center"/>
              <w:rPr>
                <w:color w:val="000000"/>
              </w:rPr>
            </w:pPr>
            <w:r w:rsidRPr="001B202B">
              <w:rPr>
                <w:color w:val="000000"/>
              </w:rPr>
              <w:t>62.43</w:t>
            </w:r>
          </w:p>
        </w:tc>
        <w:tc>
          <w:tcPr>
            <w:tcW w:w="1320" w:type="dxa"/>
            <w:shd w:val="clear" w:color="auto" w:fill="auto"/>
            <w:noWrap/>
            <w:vAlign w:val="bottom"/>
            <w:hideMark/>
          </w:tcPr>
          <w:p w14:paraId="4D6A6087" w14:textId="77777777" w:rsidR="0030211E" w:rsidRPr="001B202B" w:rsidRDefault="0030211E" w:rsidP="00315655">
            <w:pPr>
              <w:jc w:val="center"/>
              <w:rPr>
                <w:color w:val="000000"/>
              </w:rPr>
            </w:pPr>
            <w:r w:rsidRPr="001B202B">
              <w:rPr>
                <w:color w:val="000000"/>
              </w:rPr>
              <w:t>&lt;0.001</w:t>
            </w:r>
          </w:p>
        </w:tc>
      </w:tr>
      <w:tr w:rsidR="0030211E" w:rsidRPr="001B202B" w14:paraId="12CEF878" w14:textId="77777777" w:rsidTr="00315655">
        <w:trPr>
          <w:trHeight w:val="320"/>
        </w:trPr>
        <w:tc>
          <w:tcPr>
            <w:tcW w:w="1723" w:type="dxa"/>
            <w:shd w:val="clear" w:color="auto" w:fill="auto"/>
            <w:noWrap/>
            <w:vAlign w:val="bottom"/>
            <w:hideMark/>
          </w:tcPr>
          <w:p w14:paraId="535653D4" w14:textId="77777777" w:rsidR="0030211E" w:rsidRPr="001B202B" w:rsidRDefault="0030211E" w:rsidP="00315655">
            <w:pPr>
              <w:rPr>
                <w:color w:val="000000"/>
              </w:rPr>
            </w:pPr>
            <w:r w:rsidRPr="001B202B">
              <w:rPr>
                <w:color w:val="000000"/>
              </w:rPr>
              <w:t>IBGE</w:t>
            </w:r>
          </w:p>
        </w:tc>
        <w:tc>
          <w:tcPr>
            <w:tcW w:w="1250" w:type="dxa"/>
            <w:shd w:val="clear" w:color="auto" w:fill="auto"/>
            <w:noWrap/>
            <w:vAlign w:val="bottom"/>
            <w:hideMark/>
          </w:tcPr>
          <w:p w14:paraId="31DAD750" w14:textId="77777777" w:rsidR="0030211E" w:rsidRPr="001B202B" w:rsidRDefault="0030211E" w:rsidP="00315655">
            <w:pPr>
              <w:jc w:val="center"/>
              <w:rPr>
                <w:color w:val="000000"/>
              </w:rPr>
            </w:pPr>
            <w:r w:rsidRPr="001B202B">
              <w:rPr>
                <w:color w:val="000000"/>
              </w:rPr>
              <w:t>1.17</w:t>
            </w:r>
          </w:p>
        </w:tc>
        <w:tc>
          <w:tcPr>
            <w:tcW w:w="1103" w:type="dxa"/>
            <w:gridSpan w:val="2"/>
            <w:shd w:val="clear" w:color="auto" w:fill="auto"/>
            <w:noWrap/>
            <w:vAlign w:val="bottom"/>
            <w:hideMark/>
          </w:tcPr>
          <w:p w14:paraId="3382F619" w14:textId="77777777" w:rsidR="0030211E" w:rsidRPr="001B202B" w:rsidRDefault="0030211E" w:rsidP="00315655">
            <w:pPr>
              <w:jc w:val="center"/>
              <w:rPr>
                <w:color w:val="000000"/>
              </w:rPr>
            </w:pPr>
            <w:r w:rsidRPr="001B202B">
              <w:rPr>
                <w:color w:val="000000"/>
              </w:rPr>
              <w:t>0.04</w:t>
            </w:r>
          </w:p>
        </w:tc>
        <w:tc>
          <w:tcPr>
            <w:tcW w:w="1320" w:type="dxa"/>
            <w:shd w:val="clear" w:color="auto" w:fill="auto"/>
            <w:noWrap/>
            <w:vAlign w:val="bottom"/>
            <w:hideMark/>
          </w:tcPr>
          <w:p w14:paraId="4227F559" w14:textId="77777777" w:rsidR="0030211E" w:rsidRPr="001B202B" w:rsidRDefault="0030211E" w:rsidP="00315655">
            <w:pPr>
              <w:jc w:val="center"/>
              <w:rPr>
                <w:color w:val="000000"/>
              </w:rPr>
            </w:pPr>
            <w:r w:rsidRPr="001B202B">
              <w:rPr>
                <w:color w:val="000000"/>
              </w:rPr>
              <w:t>31.58</w:t>
            </w:r>
          </w:p>
        </w:tc>
        <w:tc>
          <w:tcPr>
            <w:tcW w:w="1320" w:type="dxa"/>
            <w:shd w:val="clear" w:color="auto" w:fill="auto"/>
            <w:noWrap/>
            <w:vAlign w:val="bottom"/>
            <w:hideMark/>
          </w:tcPr>
          <w:p w14:paraId="11FC3020" w14:textId="77777777" w:rsidR="0030211E" w:rsidRPr="001B202B" w:rsidRDefault="0030211E" w:rsidP="00315655">
            <w:pPr>
              <w:jc w:val="center"/>
              <w:rPr>
                <w:color w:val="000000"/>
              </w:rPr>
            </w:pPr>
            <w:r w:rsidRPr="001B202B">
              <w:rPr>
                <w:color w:val="000000"/>
              </w:rPr>
              <w:t>&lt;0.001</w:t>
            </w:r>
          </w:p>
        </w:tc>
      </w:tr>
      <w:tr w:rsidR="0030211E" w:rsidRPr="001B202B" w14:paraId="2DF15518" w14:textId="77777777" w:rsidTr="00315655">
        <w:trPr>
          <w:trHeight w:val="320"/>
        </w:trPr>
        <w:tc>
          <w:tcPr>
            <w:tcW w:w="1723" w:type="dxa"/>
            <w:shd w:val="clear" w:color="auto" w:fill="auto"/>
            <w:noWrap/>
            <w:vAlign w:val="bottom"/>
            <w:hideMark/>
          </w:tcPr>
          <w:p w14:paraId="291ED9F4" w14:textId="77777777" w:rsidR="0030211E" w:rsidRPr="001B202B" w:rsidRDefault="0030211E" w:rsidP="00315655">
            <w:pPr>
              <w:rPr>
                <w:color w:val="000000"/>
              </w:rPr>
            </w:pPr>
            <w:r w:rsidRPr="001B202B">
              <w:rPr>
                <w:color w:val="000000"/>
              </w:rPr>
              <w:t>MatoposClay</w:t>
            </w:r>
          </w:p>
        </w:tc>
        <w:tc>
          <w:tcPr>
            <w:tcW w:w="1250" w:type="dxa"/>
            <w:shd w:val="clear" w:color="auto" w:fill="auto"/>
            <w:noWrap/>
            <w:vAlign w:val="bottom"/>
            <w:hideMark/>
          </w:tcPr>
          <w:p w14:paraId="1F9C2EA0" w14:textId="77777777" w:rsidR="0030211E" w:rsidRPr="001B202B" w:rsidRDefault="0030211E" w:rsidP="00315655">
            <w:pPr>
              <w:jc w:val="center"/>
              <w:rPr>
                <w:color w:val="000000"/>
              </w:rPr>
            </w:pPr>
            <w:r w:rsidRPr="001B202B">
              <w:rPr>
                <w:color w:val="000000"/>
              </w:rPr>
              <w:t>0.51</w:t>
            </w:r>
          </w:p>
        </w:tc>
        <w:tc>
          <w:tcPr>
            <w:tcW w:w="1103" w:type="dxa"/>
            <w:gridSpan w:val="2"/>
            <w:shd w:val="clear" w:color="auto" w:fill="auto"/>
            <w:noWrap/>
            <w:vAlign w:val="bottom"/>
            <w:hideMark/>
          </w:tcPr>
          <w:p w14:paraId="45B56074" w14:textId="77777777" w:rsidR="0030211E" w:rsidRPr="001B202B" w:rsidRDefault="0030211E" w:rsidP="00315655">
            <w:pPr>
              <w:jc w:val="center"/>
              <w:rPr>
                <w:color w:val="000000"/>
              </w:rPr>
            </w:pPr>
            <w:r w:rsidRPr="001B202B">
              <w:rPr>
                <w:color w:val="000000"/>
              </w:rPr>
              <w:t>0.05</w:t>
            </w:r>
          </w:p>
        </w:tc>
        <w:tc>
          <w:tcPr>
            <w:tcW w:w="1320" w:type="dxa"/>
            <w:shd w:val="clear" w:color="auto" w:fill="auto"/>
            <w:noWrap/>
            <w:vAlign w:val="bottom"/>
            <w:hideMark/>
          </w:tcPr>
          <w:p w14:paraId="5A42220C" w14:textId="77777777" w:rsidR="0030211E" w:rsidRPr="001B202B" w:rsidRDefault="0030211E" w:rsidP="00315655">
            <w:pPr>
              <w:jc w:val="center"/>
              <w:rPr>
                <w:color w:val="000000"/>
              </w:rPr>
            </w:pPr>
            <w:r w:rsidRPr="001B202B">
              <w:rPr>
                <w:color w:val="000000"/>
              </w:rPr>
              <w:t>10.81</w:t>
            </w:r>
          </w:p>
        </w:tc>
        <w:tc>
          <w:tcPr>
            <w:tcW w:w="1320" w:type="dxa"/>
            <w:shd w:val="clear" w:color="auto" w:fill="auto"/>
            <w:noWrap/>
            <w:vAlign w:val="bottom"/>
            <w:hideMark/>
          </w:tcPr>
          <w:p w14:paraId="36211362" w14:textId="77777777" w:rsidR="0030211E" w:rsidRPr="001B202B" w:rsidRDefault="0030211E" w:rsidP="00315655">
            <w:pPr>
              <w:jc w:val="center"/>
              <w:rPr>
                <w:color w:val="000000"/>
              </w:rPr>
            </w:pPr>
            <w:r w:rsidRPr="001B202B">
              <w:rPr>
                <w:color w:val="000000"/>
              </w:rPr>
              <w:t>&lt;0.001</w:t>
            </w:r>
          </w:p>
        </w:tc>
      </w:tr>
      <w:tr w:rsidR="0030211E" w:rsidRPr="001B202B" w14:paraId="4DE1DAE7" w14:textId="77777777" w:rsidTr="00315655">
        <w:trPr>
          <w:trHeight w:val="320"/>
        </w:trPr>
        <w:tc>
          <w:tcPr>
            <w:tcW w:w="1723" w:type="dxa"/>
            <w:shd w:val="clear" w:color="auto" w:fill="auto"/>
            <w:noWrap/>
            <w:vAlign w:val="bottom"/>
            <w:hideMark/>
          </w:tcPr>
          <w:p w14:paraId="1E5A3FEE" w14:textId="77777777" w:rsidR="0030211E" w:rsidRPr="001B202B" w:rsidRDefault="0030211E" w:rsidP="00315655">
            <w:pPr>
              <w:rPr>
                <w:color w:val="000000"/>
              </w:rPr>
            </w:pPr>
            <w:r w:rsidRPr="001B202B">
              <w:rPr>
                <w:color w:val="000000"/>
              </w:rPr>
              <w:t>MatoposSand</w:t>
            </w:r>
          </w:p>
        </w:tc>
        <w:tc>
          <w:tcPr>
            <w:tcW w:w="1250" w:type="dxa"/>
            <w:shd w:val="clear" w:color="auto" w:fill="auto"/>
            <w:noWrap/>
            <w:vAlign w:val="bottom"/>
            <w:hideMark/>
          </w:tcPr>
          <w:p w14:paraId="07534882" w14:textId="77777777" w:rsidR="0030211E" w:rsidRPr="001B202B" w:rsidRDefault="0030211E" w:rsidP="00315655">
            <w:pPr>
              <w:jc w:val="center"/>
              <w:rPr>
                <w:color w:val="000000"/>
              </w:rPr>
            </w:pPr>
            <w:r w:rsidRPr="001B202B">
              <w:rPr>
                <w:color w:val="000000"/>
              </w:rPr>
              <w:t>0.78</w:t>
            </w:r>
          </w:p>
        </w:tc>
        <w:tc>
          <w:tcPr>
            <w:tcW w:w="1103" w:type="dxa"/>
            <w:gridSpan w:val="2"/>
            <w:shd w:val="clear" w:color="auto" w:fill="auto"/>
            <w:noWrap/>
            <w:vAlign w:val="bottom"/>
            <w:hideMark/>
          </w:tcPr>
          <w:p w14:paraId="21115BCD" w14:textId="77777777" w:rsidR="0030211E" w:rsidRPr="001B202B" w:rsidRDefault="0030211E" w:rsidP="00315655">
            <w:pPr>
              <w:jc w:val="center"/>
              <w:rPr>
                <w:color w:val="000000"/>
              </w:rPr>
            </w:pPr>
            <w:r w:rsidRPr="001B202B">
              <w:rPr>
                <w:color w:val="000000"/>
              </w:rPr>
              <w:t>0.04</w:t>
            </w:r>
          </w:p>
        </w:tc>
        <w:tc>
          <w:tcPr>
            <w:tcW w:w="1320" w:type="dxa"/>
            <w:shd w:val="clear" w:color="auto" w:fill="auto"/>
            <w:noWrap/>
            <w:vAlign w:val="bottom"/>
            <w:hideMark/>
          </w:tcPr>
          <w:p w14:paraId="31FB8045" w14:textId="77777777" w:rsidR="0030211E" w:rsidRPr="001B202B" w:rsidRDefault="0030211E" w:rsidP="00315655">
            <w:pPr>
              <w:jc w:val="center"/>
              <w:rPr>
                <w:color w:val="000000"/>
              </w:rPr>
            </w:pPr>
            <w:r w:rsidRPr="001B202B">
              <w:rPr>
                <w:color w:val="000000"/>
              </w:rPr>
              <w:t>17.47</w:t>
            </w:r>
          </w:p>
        </w:tc>
        <w:tc>
          <w:tcPr>
            <w:tcW w:w="1320" w:type="dxa"/>
            <w:shd w:val="clear" w:color="auto" w:fill="auto"/>
            <w:noWrap/>
            <w:vAlign w:val="bottom"/>
            <w:hideMark/>
          </w:tcPr>
          <w:p w14:paraId="1874A4C5" w14:textId="77777777" w:rsidR="0030211E" w:rsidRPr="001B202B" w:rsidRDefault="0030211E" w:rsidP="00315655">
            <w:pPr>
              <w:jc w:val="center"/>
              <w:rPr>
                <w:color w:val="000000"/>
              </w:rPr>
            </w:pPr>
            <w:r w:rsidRPr="001B202B">
              <w:rPr>
                <w:color w:val="000000"/>
              </w:rPr>
              <w:t>&lt;0.001</w:t>
            </w:r>
          </w:p>
        </w:tc>
      </w:tr>
      <w:tr w:rsidR="0030211E" w:rsidRPr="001B202B" w14:paraId="00C77B4E" w14:textId="77777777" w:rsidTr="00315655">
        <w:trPr>
          <w:trHeight w:val="320"/>
        </w:trPr>
        <w:tc>
          <w:tcPr>
            <w:tcW w:w="1723" w:type="dxa"/>
            <w:shd w:val="clear" w:color="auto" w:fill="auto"/>
            <w:noWrap/>
            <w:vAlign w:val="bottom"/>
          </w:tcPr>
          <w:p w14:paraId="6C97B8BE" w14:textId="77777777" w:rsidR="0030211E" w:rsidRPr="001B202B" w:rsidRDefault="0030211E" w:rsidP="00315655">
            <w:pPr>
              <w:rPr>
                <w:color w:val="000000"/>
              </w:rPr>
            </w:pPr>
          </w:p>
        </w:tc>
        <w:tc>
          <w:tcPr>
            <w:tcW w:w="1250" w:type="dxa"/>
            <w:shd w:val="clear" w:color="auto" w:fill="auto"/>
            <w:noWrap/>
            <w:vAlign w:val="bottom"/>
          </w:tcPr>
          <w:p w14:paraId="13972F49" w14:textId="77777777" w:rsidR="0030211E" w:rsidRPr="001B202B" w:rsidRDefault="0030211E" w:rsidP="00315655">
            <w:pPr>
              <w:jc w:val="center"/>
              <w:rPr>
                <w:color w:val="000000"/>
              </w:rPr>
            </w:pPr>
          </w:p>
        </w:tc>
        <w:tc>
          <w:tcPr>
            <w:tcW w:w="1103" w:type="dxa"/>
            <w:gridSpan w:val="2"/>
            <w:shd w:val="clear" w:color="auto" w:fill="auto"/>
            <w:noWrap/>
            <w:vAlign w:val="bottom"/>
          </w:tcPr>
          <w:p w14:paraId="29FDCA7A" w14:textId="77777777" w:rsidR="0030211E" w:rsidRPr="001B202B" w:rsidRDefault="0030211E" w:rsidP="00315655">
            <w:pPr>
              <w:jc w:val="center"/>
              <w:rPr>
                <w:color w:val="000000"/>
              </w:rPr>
            </w:pPr>
          </w:p>
        </w:tc>
        <w:tc>
          <w:tcPr>
            <w:tcW w:w="1320" w:type="dxa"/>
            <w:shd w:val="clear" w:color="auto" w:fill="auto"/>
            <w:noWrap/>
            <w:vAlign w:val="bottom"/>
          </w:tcPr>
          <w:p w14:paraId="084D84B0" w14:textId="77777777" w:rsidR="0030211E" w:rsidRPr="001B202B" w:rsidRDefault="0030211E" w:rsidP="00315655">
            <w:pPr>
              <w:jc w:val="center"/>
              <w:rPr>
                <w:color w:val="000000"/>
              </w:rPr>
            </w:pPr>
          </w:p>
        </w:tc>
        <w:tc>
          <w:tcPr>
            <w:tcW w:w="1320" w:type="dxa"/>
            <w:shd w:val="clear" w:color="auto" w:fill="auto"/>
            <w:noWrap/>
            <w:vAlign w:val="bottom"/>
          </w:tcPr>
          <w:p w14:paraId="20E809AA" w14:textId="77777777" w:rsidR="0030211E" w:rsidRPr="001B202B" w:rsidRDefault="0030211E" w:rsidP="00315655">
            <w:pPr>
              <w:jc w:val="center"/>
              <w:rPr>
                <w:color w:val="000000"/>
              </w:rPr>
            </w:pPr>
          </w:p>
        </w:tc>
      </w:tr>
    </w:tbl>
    <w:p w14:paraId="7FD209D1" w14:textId="77777777" w:rsidR="0030211E" w:rsidRDefault="0030211E" w:rsidP="0030211E">
      <w:pPr>
        <w:spacing w:line="360" w:lineRule="auto"/>
        <w:rPr>
          <w:rFonts w:ascii="Times" w:hAnsi="Times"/>
          <w:b/>
          <w:bCs/>
        </w:rPr>
      </w:pPr>
    </w:p>
    <w:p w14:paraId="37CF96C1" w14:textId="77777777" w:rsidR="0030211E" w:rsidRDefault="0030211E" w:rsidP="0030211E">
      <w:pPr>
        <w:rPr>
          <w:rFonts w:ascii="Times" w:hAnsi="Times"/>
        </w:rPr>
      </w:pPr>
    </w:p>
    <w:p w14:paraId="31D74AD9" w14:textId="77777777" w:rsidR="0030211E" w:rsidRDefault="0030211E" w:rsidP="0030211E">
      <w:pPr>
        <w:rPr>
          <w:rFonts w:ascii="Times" w:hAnsi="Times"/>
          <w:b/>
          <w:bCs/>
        </w:rPr>
      </w:pPr>
    </w:p>
    <w:p w14:paraId="2B5F2D6B" w14:textId="77777777" w:rsidR="0030211E" w:rsidRDefault="0030211E" w:rsidP="0030211E">
      <w:pPr>
        <w:rPr>
          <w:rFonts w:ascii="Times" w:hAnsi="Times"/>
          <w:b/>
          <w:bCs/>
          <w:sz w:val="28"/>
          <w:szCs w:val="28"/>
        </w:rPr>
      </w:pPr>
      <w:r>
        <w:rPr>
          <w:rFonts w:ascii="Times" w:hAnsi="Times"/>
          <w:b/>
          <w:bCs/>
          <w:sz w:val="28"/>
          <w:szCs w:val="28"/>
        </w:rPr>
        <w:br w:type="page"/>
      </w:r>
    </w:p>
    <w:p w14:paraId="7D5E1964" w14:textId="77777777" w:rsidR="0030211E" w:rsidRDefault="0030211E" w:rsidP="0030211E">
      <w:pPr>
        <w:spacing w:line="360" w:lineRule="auto"/>
        <w:jc w:val="center"/>
        <w:rPr>
          <w:rFonts w:ascii="Times" w:hAnsi="Times"/>
          <w:b/>
          <w:bCs/>
          <w:sz w:val="28"/>
          <w:szCs w:val="28"/>
        </w:rPr>
      </w:pPr>
      <w:r w:rsidRPr="00075E92">
        <w:rPr>
          <w:rFonts w:ascii="Times" w:hAnsi="Times"/>
          <w:b/>
          <w:bCs/>
          <w:sz w:val="28"/>
          <w:szCs w:val="28"/>
        </w:rPr>
        <w:lastRenderedPageBreak/>
        <w:t>Supplemental Information</w:t>
      </w:r>
    </w:p>
    <w:p w14:paraId="1E010206" w14:textId="77777777" w:rsidR="0030211E" w:rsidRDefault="0030211E" w:rsidP="0030211E">
      <w:pPr>
        <w:spacing w:line="360" w:lineRule="auto"/>
        <w:jc w:val="center"/>
        <w:rPr>
          <w:rFonts w:ascii="Times" w:hAnsi="Times"/>
          <w:b/>
          <w:bCs/>
          <w:sz w:val="28"/>
          <w:szCs w:val="28"/>
        </w:rPr>
      </w:pPr>
    </w:p>
    <w:p w14:paraId="27B75ADA" w14:textId="77777777" w:rsidR="0030211E" w:rsidRDefault="0030211E" w:rsidP="0030211E">
      <w:pPr>
        <w:spacing w:line="360" w:lineRule="auto"/>
      </w:pPr>
      <w:r>
        <w:rPr>
          <w:rFonts w:ascii="Times" w:hAnsi="Times"/>
        </w:rPr>
        <w:t>This section is partitioned into four parts.</w:t>
      </w:r>
      <w:r w:rsidRPr="00186407">
        <w:t xml:space="preserve"> </w:t>
      </w:r>
    </w:p>
    <w:p w14:paraId="4025194A" w14:textId="77777777" w:rsidR="0030211E" w:rsidRDefault="0030211E" w:rsidP="0030211E">
      <w:pPr>
        <w:spacing w:line="360" w:lineRule="auto"/>
      </w:pPr>
    </w:p>
    <w:p w14:paraId="6A47F948" w14:textId="77777777" w:rsidR="0030211E" w:rsidRPr="00F153CF" w:rsidRDefault="0030211E" w:rsidP="0030211E">
      <w:pPr>
        <w:spacing w:line="360" w:lineRule="auto"/>
        <w:rPr>
          <w:rFonts w:ascii="Times" w:hAnsi="Times"/>
          <w:i/>
          <w:iCs/>
        </w:rPr>
      </w:pPr>
      <w:r w:rsidRPr="00F153CF">
        <w:rPr>
          <w:rFonts w:ascii="Times" w:hAnsi="Times"/>
          <w:i/>
          <w:iCs/>
        </w:rPr>
        <w:t xml:space="preserve">1. Meta-analysis </w:t>
      </w:r>
    </w:p>
    <w:p w14:paraId="66333158" w14:textId="77777777" w:rsidR="0030211E" w:rsidRPr="00F153CF" w:rsidRDefault="0030211E" w:rsidP="0030211E">
      <w:pPr>
        <w:spacing w:line="360" w:lineRule="auto"/>
        <w:rPr>
          <w:rFonts w:ascii="Times" w:hAnsi="Times"/>
          <w:i/>
          <w:iCs/>
        </w:rPr>
      </w:pPr>
      <w:r>
        <w:rPr>
          <w:rFonts w:ascii="Times" w:hAnsi="Times"/>
          <w:i/>
          <w:iCs/>
        </w:rPr>
        <w:t>2</w:t>
      </w:r>
      <w:r w:rsidRPr="00F153CF">
        <w:rPr>
          <w:rFonts w:ascii="Times" w:hAnsi="Times"/>
          <w:i/>
          <w:iCs/>
        </w:rPr>
        <w:t>. Survey of savanna sites for soil carbon and δ</w:t>
      </w:r>
      <w:r w:rsidRPr="00F153CF">
        <w:rPr>
          <w:rFonts w:ascii="Times" w:hAnsi="Times"/>
          <w:i/>
          <w:iCs/>
          <w:vertAlign w:val="superscript"/>
        </w:rPr>
        <w:t>13</w:t>
      </w:r>
      <w:r w:rsidRPr="00F153CF">
        <w:rPr>
          <w:rFonts w:ascii="Times" w:hAnsi="Times"/>
          <w:i/>
          <w:iCs/>
        </w:rPr>
        <w:t>C</w:t>
      </w:r>
    </w:p>
    <w:p w14:paraId="54F8F647" w14:textId="77777777" w:rsidR="0030211E" w:rsidRPr="00F153CF" w:rsidRDefault="0030211E" w:rsidP="0030211E">
      <w:pPr>
        <w:spacing w:line="360" w:lineRule="auto"/>
        <w:rPr>
          <w:rFonts w:ascii="Times" w:hAnsi="Times"/>
          <w:i/>
          <w:iCs/>
        </w:rPr>
      </w:pPr>
      <w:r>
        <w:rPr>
          <w:rFonts w:ascii="Times" w:hAnsi="Times"/>
          <w:i/>
          <w:iCs/>
        </w:rPr>
        <w:t>3</w:t>
      </w:r>
      <w:r w:rsidRPr="00F153CF">
        <w:rPr>
          <w:rFonts w:ascii="Times" w:hAnsi="Times"/>
          <w:i/>
          <w:iCs/>
        </w:rPr>
        <w:t xml:space="preserve">. </w:t>
      </w:r>
      <w:r>
        <w:rPr>
          <w:rFonts w:ascii="Times" w:hAnsi="Times"/>
          <w:i/>
          <w:iCs/>
        </w:rPr>
        <w:t>Fire Model Intercomparison Project</w:t>
      </w:r>
      <w:r w:rsidRPr="00F153CF">
        <w:rPr>
          <w:rFonts w:ascii="Times" w:hAnsi="Times"/>
          <w:i/>
          <w:iCs/>
        </w:rPr>
        <w:t xml:space="preserve"> simulations </w:t>
      </w:r>
    </w:p>
    <w:p w14:paraId="6E0CDE8D" w14:textId="77777777" w:rsidR="0030211E" w:rsidRPr="00F153CF" w:rsidRDefault="0030211E" w:rsidP="0030211E">
      <w:pPr>
        <w:spacing w:line="360" w:lineRule="auto"/>
        <w:rPr>
          <w:rFonts w:ascii="Times" w:hAnsi="Times"/>
          <w:i/>
          <w:iCs/>
        </w:rPr>
      </w:pPr>
      <w:r>
        <w:rPr>
          <w:rFonts w:ascii="Times" w:hAnsi="Times"/>
          <w:i/>
          <w:iCs/>
        </w:rPr>
        <w:t>4. Upscaling to global savanna-grasslands</w:t>
      </w:r>
    </w:p>
    <w:p w14:paraId="7EC2C27A" w14:textId="77777777" w:rsidR="0030211E" w:rsidRDefault="0030211E" w:rsidP="0030211E">
      <w:pPr>
        <w:spacing w:line="360" w:lineRule="auto"/>
        <w:rPr>
          <w:rFonts w:ascii="Times" w:hAnsi="Times"/>
          <w:i/>
          <w:iCs/>
        </w:rPr>
      </w:pPr>
    </w:p>
    <w:p w14:paraId="10ABBAE2" w14:textId="77777777" w:rsidR="0030211E" w:rsidRPr="00065FF9" w:rsidRDefault="0030211E" w:rsidP="0030211E">
      <w:pPr>
        <w:spacing w:line="360" w:lineRule="auto"/>
        <w:rPr>
          <w:rFonts w:ascii="Times" w:hAnsi="Times"/>
          <w:b/>
          <w:bCs/>
          <w:i/>
          <w:iCs/>
        </w:rPr>
      </w:pPr>
      <w:r>
        <w:rPr>
          <w:rFonts w:ascii="Times" w:hAnsi="Times"/>
          <w:b/>
          <w:bCs/>
          <w:i/>
          <w:iCs/>
        </w:rPr>
        <w:t xml:space="preserve">1. </w:t>
      </w:r>
      <w:r w:rsidRPr="00065FF9">
        <w:rPr>
          <w:rFonts w:ascii="Times" w:hAnsi="Times"/>
          <w:b/>
          <w:bCs/>
          <w:i/>
          <w:iCs/>
        </w:rPr>
        <w:t xml:space="preserve">Meta-analysis </w:t>
      </w:r>
    </w:p>
    <w:p w14:paraId="272D2D9F" w14:textId="77777777" w:rsidR="0030211E" w:rsidRPr="00E33F88" w:rsidRDefault="0030211E" w:rsidP="0030211E">
      <w:pPr>
        <w:spacing w:line="360" w:lineRule="auto"/>
        <w:rPr>
          <w:rFonts w:ascii="Times" w:hAnsi="Times"/>
        </w:rPr>
      </w:pPr>
      <w:r>
        <w:rPr>
          <w:rFonts w:ascii="Times" w:hAnsi="Times"/>
        </w:rPr>
        <w:tab/>
        <w:t xml:space="preserve">The repeated burning treatments ranged from fire return intervals of 1-17 years (0.06-1 fires per-year). The mean duration that fire frequencies were altered was 33 years. The </w:t>
      </w:r>
      <w:r w:rsidRPr="00C34364">
        <w:rPr>
          <w:rFonts w:ascii="Times" w:hAnsi="Times"/>
        </w:rPr>
        <w:t xml:space="preserve">temperate and tropical sites with 9-65 years of </w:t>
      </w:r>
      <w:r>
        <w:rPr>
          <w:rFonts w:ascii="Times" w:hAnsi="Times"/>
        </w:rPr>
        <w:t>manipulated</w:t>
      </w:r>
      <w:r w:rsidRPr="00C34364">
        <w:rPr>
          <w:rFonts w:ascii="Times" w:hAnsi="Times"/>
        </w:rPr>
        <w:t xml:space="preserve"> fire frequencies</w:t>
      </w:r>
      <w:r>
        <w:rPr>
          <w:rFonts w:ascii="Times" w:hAnsi="Times"/>
        </w:rPr>
        <w:t xml:space="preserve">. Sites spanned </w:t>
      </w:r>
      <w:r w:rsidRPr="00C34364">
        <w:rPr>
          <w:rFonts w:ascii="Times" w:hAnsi="Times"/>
        </w:rPr>
        <w:t>mean annual temperature</w:t>
      </w:r>
      <w:r>
        <w:rPr>
          <w:rFonts w:ascii="Times" w:hAnsi="Times"/>
        </w:rPr>
        <w:t>s from</w:t>
      </w:r>
      <w:r w:rsidRPr="00C34364">
        <w:rPr>
          <w:rFonts w:ascii="Times" w:hAnsi="Times"/>
        </w:rPr>
        <w:t xml:space="preserve"> </w:t>
      </w:r>
      <w:r>
        <w:rPr>
          <w:rFonts w:ascii="Times" w:hAnsi="Times"/>
        </w:rPr>
        <w:t>3.9-27.1</w:t>
      </w:r>
      <w:r w:rsidRPr="00C34364">
        <w:rPr>
          <w:rFonts w:ascii="Times" w:hAnsi="Times"/>
        </w:rPr>
        <w:t>°C</w:t>
      </w:r>
      <w:r>
        <w:rPr>
          <w:rFonts w:ascii="Times" w:hAnsi="Times"/>
        </w:rPr>
        <w:t>, average of 15.6</w:t>
      </w:r>
      <w:r w:rsidRPr="00C34364">
        <w:rPr>
          <w:rFonts w:ascii="Times" w:hAnsi="Times"/>
        </w:rPr>
        <w:t>°C</w:t>
      </w:r>
      <w:r>
        <w:rPr>
          <w:rFonts w:ascii="Times" w:hAnsi="Times"/>
        </w:rPr>
        <w:t xml:space="preserve">, </w:t>
      </w:r>
      <w:r w:rsidRPr="00C34364">
        <w:rPr>
          <w:rFonts w:ascii="Times" w:hAnsi="Times"/>
        </w:rPr>
        <w:t>mean annual precipitation</w:t>
      </w:r>
      <w:r>
        <w:rPr>
          <w:rFonts w:ascii="Times" w:hAnsi="Times"/>
        </w:rPr>
        <w:t xml:space="preserve"> from</w:t>
      </w:r>
      <w:r w:rsidRPr="00C34364">
        <w:rPr>
          <w:rFonts w:ascii="Times" w:hAnsi="Times"/>
        </w:rPr>
        <w:t xml:space="preserve"> 342</w:t>
      </w:r>
      <w:r>
        <w:rPr>
          <w:rFonts w:ascii="Times" w:hAnsi="Times"/>
        </w:rPr>
        <w:t xml:space="preserve"> to 2448</w:t>
      </w:r>
      <w:r w:rsidRPr="00C34364">
        <w:rPr>
          <w:rFonts w:ascii="Times" w:hAnsi="Times"/>
        </w:rPr>
        <w:t xml:space="preserve"> mm yr</w:t>
      </w:r>
      <w:r w:rsidRPr="00C34364">
        <w:rPr>
          <w:rFonts w:ascii="Times" w:hAnsi="Times"/>
          <w:vertAlign w:val="superscript"/>
        </w:rPr>
        <w:t>-1</w:t>
      </w:r>
      <w:r>
        <w:rPr>
          <w:rFonts w:ascii="Times" w:hAnsi="Times"/>
        </w:rPr>
        <w:t>, average of 995</w:t>
      </w:r>
      <w:r w:rsidRPr="00E33F88">
        <w:rPr>
          <w:rFonts w:ascii="Times" w:hAnsi="Times"/>
        </w:rPr>
        <w:t xml:space="preserve"> </w:t>
      </w:r>
      <w:r w:rsidRPr="00C34364">
        <w:rPr>
          <w:rFonts w:ascii="Times" w:hAnsi="Times"/>
        </w:rPr>
        <w:t>mm yr</w:t>
      </w:r>
      <w:r w:rsidRPr="00C34364">
        <w:rPr>
          <w:rFonts w:ascii="Times" w:hAnsi="Times"/>
          <w:vertAlign w:val="superscript"/>
        </w:rPr>
        <w:t>-1</w:t>
      </w:r>
      <w:r>
        <w:rPr>
          <w:rFonts w:ascii="Times" w:hAnsi="Times"/>
        </w:rPr>
        <w:t>. Averages and ranges for soil properties are: carbon content=3.29% (range=0.565-9.37%), clay percent=18% (range=3-63%), silt percent=25% (range=2-81%), sand percent=57% (range=1-92%), bulk density 1.27</w:t>
      </w:r>
      <w:r w:rsidRPr="00FC5EE1">
        <w:rPr>
          <w:rFonts w:ascii="Times" w:hAnsi="Times"/>
        </w:rPr>
        <w:t xml:space="preserve"> </w:t>
      </w:r>
      <w:r>
        <w:rPr>
          <w:rFonts w:ascii="Times" w:hAnsi="Times"/>
        </w:rPr>
        <w:t>g cm</w:t>
      </w:r>
      <w:r w:rsidRPr="00F12681">
        <w:rPr>
          <w:rFonts w:ascii="Times" w:hAnsi="Times"/>
          <w:vertAlign w:val="superscript"/>
        </w:rPr>
        <w:t>-3</w:t>
      </w:r>
      <w:r>
        <w:rPr>
          <w:rFonts w:ascii="Times" w:hAnsi="Times"/>
        </w:rPr>
        <w:t xml:space="preserve"> (range=0.48-1.72 g cm</w:t>
      </w:r>
      <w:r w:rsidRPr="00E33F88">
        <w:rPr>
          <w:rFonts w:ascii="Times" w:hAnsi="Times"/>
          <w:vertAlign w:val="superscript"/>
        </w:rPr>
        <w:t>-3</w:t>
      </w:r>
      <w:r>
        <w:rPr>
          <w:rFonts w:ascii="Times" w:hAnsi="Times"/>
        </w:rPr>
        <w:t xml:space="preserve">). Study design: 43 sites were experiments and 10 were from incidental fire histories. </w:t>
      </w:r>
    </w:p>
    <w:p w14:paraId="0B3BE51D" w14:textId="77777777" w:rsidR="0030211E" w:rsidRDefault="0030211E" w:rsidP="0030211E">
      <w:pPr>
        <w:spacing w:line="360" w:lineRule="auto"/>
        <w:rPr>
          <w:rFonts w:ascii="Times" w:hAnsi="Times"/>
          <w:i/>
          <w:iCs/>
        </w:rPr>
      </w:pPr>
    </w:p>
    <w:p w14:paraId="13D12D6E" w14:textId="77777777" w:rsidR="0030211E" w:rsidRPr="0056218A" w:rsidRDefault="0030211E" w:rsidP="0030211E">
      <w:pPr>
        <w:spacing w:line="360" w:lineRule="auto"/>
        <w:rPr>
          <w:rFonts w:ascii="Times" w:hAnsi="Times"/>
          <w:i/>
          <w:iCs/>
        </w:rPr>
      </w:pPr>
      <w:r>
        <w:rPr>
          <w:rFonts w:ascii="Times" w:hAnsi="Times"/>
          <w:i/>
          <w:iCs/>
        </w:rPr>
        <w:t xml:space="preserve">1a. </w:t>
      </w:r>
      <w:r>
        <w:rPr>
          <w:rFonts w:ascii="Times" w:hAnsi="Times"/>
          <w:i/>
          <w:iCs/>
        </w:rPr>
        <w:tab/>
        <w:t>Study compilation and overview</w:t>
      </w:r>
      <w:r w:rsidRPr="0056218A">
        <w:rPr>
          <w:rFonts w:ascii="Times" w:hAnsi="Times"/>
          <w:i/>
          <w:iCs/>
        </w:rPr>
        <w:t xml:space="preserve"> </w:t>
      </w:r>
    </w:p>
    <w:p w14:paraId="5AC888A9" w14:textId="77777777" w:rsidR="0030211E" w:rsidRDefault="0030211E" w:rsidP="0030211E">
      <w:pPr>
        <w:spacing w:line="360" w:lineRule="auto"/>
        <w:rPr>
          <w:rFonts w:ascii="Times" w:hAnsi="Times"/>
        </w:rPr>
      </w:pPr>
      <w:r>
        <w:rPr>
          <w:rFonts w:ascii="Times" w:hAnsi="Times"/>
        </w:rPr>
        <w:t>Our methods were similar to previous meta-analyses of how fire affects soils by calculating a response ratio of soil carbon (C) in plots with different fire treatments within sites and then comparing responses across sites</w:t>
      </w:r>
      <w:r>
        <w:rPr>
          <w:rFonts w:ascii="Times" w:hAnsi="Times"/>
        </w:rPr>
        <w:fldChar w:fldCharType="begin" w:fldLock="1"/>
      </w:r>
      <w:r>
        <w:rPr>
          <w:rFonts w:ascii="Times" w:hAnsi="Times"/>
        </w:rPr>
        <w:instrText xml:space="preserve">ADDIN CSL_CITATION {"citationItems":[{"id":"ITEM-1","itemData":{"DOI":"10.1093/njaf/28.1.47","ISSN":"0742-6348","abstract":"&lt;p&gt;This is a case study comparing understory tree regeneration in two mixedwood stands types in the New Jersey Pine Barrens: oak‐pine treated with prescribed fire over the last half century (burned) and oak‐pine without a history of controlled burning (unburned). Understories of burned stands supported mainly desirable oak (Quercus spp.) and pine (Pinus spp.) regeneration (0.3 ft tall, &amp;lt;3 in. dbh), whereas the understories of unburned stands supported a greater abundance of undesirable, nonoak hardwoods (mainly sassafras [Sassafras albidum]) along with good numbers of oak regeneration and, unexpectedly, pine saplings (≥4.5 ft tall, &amp;lt;3 in. dbh). A regime of prescribed fire applied on an </w:instrText>
      </w:r>
      <w:r>
        <w:rPr>
          <w:rFonts w:ascii="Cambria Math" w:hAnsi="Cambria Math" w:cs="Cambria Math"/>
        </w:rPr>
        <w:instrText>∼</w:instrText>
      </w:r>
      <w:r>
        <w:rPr>
          <w:rFonts w:ascii="Times" w:hAnsi="Times"/>
        </w:rPr>
        <w:instrText>6-year interval during the last half century appears to have reduced or excluded nonoak hardwoods, with the exception of hickory (Carya spp.). Maintaining oak‐pine mixtures on sites similar to the unburned stands used in this study may require silvicultural intervention.&lt;/p&gt;","author":[{"dropping-particle":"","family":"Olson","given":"Matthew G.","non-dropping-particle":"","parse-names":false,"suffix":""}],"container-title":"Northern Journal of Applied Forestry","id":"ITEM-1","issue":"1","issued":{"date-parts":[["2011","3","1"]]},"page":"47-49","publisher":"Oxford Academic","title":"Tree regeneration in oak-pine stands with and without prescribed fire in the New Jersey Pine Barrens: management implications","type":"article-journal","volume":"28"},"uris":["http://www.mendeley.com/documents/?uuid=15975241-794b-330d-b495-360075af3049"]}],"mendeley":{"formattedCitation":"&lt;sup&gt;75&lt;/sup&gt;","plainTextFormattedCitation":"75","previouslyFormattedCitation":"&lt;sup&gt;75&lt;/sup&gt;"},"properties":{"noteIndex":0},"schema":"https://github.com/citation-style-language/schema/raw/master/csl-citation.json"}</w:instrText>
      </w:r>
      <w:r>
        <w:rPr>
          <w:rFonts w:ascii="Times" w:hAnsi="Times"/>
        </w:rPr>
        <w:fldChar w:fldCharType="separate"/>
      </w:r>
      <w:r w:rsidRPr="008333C1">
        <w:rPr>
          <w:rFonts w:ascii="Times" w:hAnsi="Times"/>
          <w:noProof/>
          <w:vertAlign w:val="superscript"/>
        </w:rPr>
        <w:t>75</w:t>
      </w:r>
      <w:r>
        <w:rPr>
          <w:rFonts w:ascii="Times" w:hAnsi="Times"/>
        </w:rPr>
        <w:fldChar w:fldCharType="end"/>
      </w:r>
      <w:r>
        <w:rPr>
          <w:rFonts w:ascii="Times" w:hAnsi="Times"/>
        </w:rPr>
        <w:t>. To obtain data from the literature, we searched for studies that measured the response of mineral soils to repeated burning (completed in 05/2020). We used a threshold of plots experiencing at least two fires that had been running for a decade or longer. We made one exception for a site that had been running for nine years because it was in an ecosystem that was not well represented in the dataset.</w:t>
      </w:r>
    </w:p>
    <w:p w14:paraId="5A2FA1F8" w14:textId="77777777" w:rsidR="0030211E" w:rsidRDefault="0030211E" w:rsidP="0030211E">
      <w:pPr>
        <w:spacing w:line="360" w:lineRule="auto"/>
        <w:ind w:firstLine="720"/>
        <w:rPr>
          <w:rFonts w:ascii="Times" w:hAnsi="Times"/>
        </w:rPr>
      </w:pPr>
      <w:r>
        <w:rPr>
          <w:rFonts w:ascii="Times" w:hAnsi="Times"/>
        </w:rPr>
        <w:t xml:space="preserve">We focused on the mineral soil because of our focus on understanding fire effects in drylands, where it dominates soil C storage pools. We analyzed data from the uppermost soil layers (&lt;20 cm depth) because these are the most biologically active and likely to be the most </w:t>
      </w:r>
      <w:r>
        <w:rPr>
          <w:rFonts w:ascii="Times" w:hAnsi="Times"/>
        </w:rPr>
        <w:lastRenderedPageBreak/>
        <w:t>responsive to burning. There is evidence that fire can alter soil C &gt;20 cm deep in some ecosystems</w:t>
      </w:r>
      <w:r>
        <w:rPr>
          <w:rFonts w:ascii="Times" w:hAnsi="Times"/>
        </w:rPr>
        <w:fldChar w:fldCharType="begin" w:fldLock="1"/>
      </w:r>
      <w:r>
        <w:rPr>
          <w:rFonts w:ascii="Times" w:hAnsi="Times"/>
        </w:rPr>
        <w:instrText>ADDIN CSL_CITATION {"citationItems":[{"id":"ITEM-1","itemData":{"author":[{"dropping-particle":"","family":"Pellegrini","given":"AFA","non-dropping-particle":"","parse-names":false,"suffix":""},{"dropping-particle":"","family":"Jackson","given":"RB","non-dropping-particle":"","parse-names":false,"suffix":""}],"container-title":"Advances in Ecological Research","id":"ITEM-1","issued":{"date-parts":[["2020"]]},"page":"147-171","title":"The long and short of it: A review of the timescales of how fire affects soils using the pulse-press framework","type":"article-journal","volume":"62"},"uris":["http://www.mendeley.com/documents/?uuid=35aa0621-30ac-3535-848d-e83f55f70c50"]},{"id":"ITEM-2","itemData":{"author":[{"dropping-particle":"","family":"Pellegrini","given":"Adam F A","non-dropping-particle":"","parse-names":false,"suffix":""},{"dropping-particle":"","family":"Ahlström","given":"Anders","non-dropping-particle":"","parse-names":false,"suffix":""},{"dropping-particle":"","family":"Hobbie","given":"Sarah E","non-dropping-particle":"","parse-names":false,"suffix":""},{"dropping-particle":"","family":"Reich","given":"Peter B","non-dropping-particle":"","parse-names":false,"suffix":""},{"dropping-particle":"","family":"Nieradzik","given":"L P","non-dropping-particle":"","parse-names":false,"suffix":""},{"dropping-particle":"","family":"Staver","given":"A C","non-dropping-particle":"","parse-names":false,"suffix":""},{"dropping-particle":"","family":"Scharenbroch","given":"B C","non-dropping-particle":"","parse-names":false,"suffix":""},{"dropping-particle":"","family":"Jumpponen","given":"A","non-dropping-particle":"","parse-names":false,"suffix":""},{"dropping-particle":"","family":"Anderegg","given":"W R L","non-dropping-particle":"","parse-names":false,"suffix":""},{"dropping-particle":"","family":"Randerson","given":"J T","non-dropping-particle":"","parse-names":false,"suffix":""},{"dropping-particle":"","family":"Jackson","given":"Robert B","non-dropping-particle":"","parse-names":false,"suffix":""}],"container-title":"Nature","id":"ITEM-2","issued":{"date-parts":[["2018"]]},"page":"194-198","title":"Fire frequency drives decadal changes in soil carbon and nitrogen and ecosystem productivity","type":"article-journal","volume":"553"},"uris":["http://www.mendeley.com/documents/?uuid=da2d9c11-9510-4e11-9283-85fc3605e636"]}],"mendeley":{"formattedCitation":"&lt;sup&gt;3,16&lt;/sup&gt;","plainTextFormattedCitation":"3,16","previouslyFormattedCitation":"&lt;sup&gt;3,16&lt;/sup&gt;"},"properties":{"noteIndex":0},"schema":"https://github.com/citation-style-language/schema/raw/master/csl-citation.json"}</w:instrText>
      </w:r>
      <w:r>
        <w:rPr>
          <w:rFonts w:ascii="Times" w:hAnsi="Times"/>
        </w:rPr>
        <w:fldChar w:fldCharType="separate"/>
      </w:r>
      <w:r w:rsidRPr="008333C1">
        <w:rPr>
          <w:rFonts w:ascii="Times" w:hAnsi="Times"/>
          <w:noProof/>
          <w:vertAlign w:val="superscript"/>
        </w:rPr>
        <w:t>3,16</w:t>
      </w:r>
      <w:r>
        <w:rPr>
          <w:rFonts w:ascii="Times" w:hAnsi="Times"/>
        </w:rPr>
        <w:fldChar w:fldCharType="end"/>
      </w:r>
      <w:r>
        <w:rPr>
          <w:rFonts w:ascii="Times" w:hAnsi="Times"/>
        </w:rPr>
        <w:t>, suggesting our estimates could be conservative.</w:t>
      </w:r>
    </w:p>
    <w:p w14:paraId="70659A7B" w14:textId="77777777" w:rsidR="0030211E" w:rsidRDefault="0030211E" w:rsidP="0030211E">
      <w:pPr>
        <w:spacing w:line="360" w:lineRule="auto"/>
        <w:rPr>
          <w:rFonts w:ascii="Times" w:hAnsi="Times"/>
        </w:rPr>
      </w:pPr>
      <w:r>
        <w:rPr>
          <w:rFonts w:ascii="Times" w:hAnsi="Times"/>
        </w:rPr>
        <w:tab/>
        <w:t>The majority of our sites were from fire manipulation experiments where fire treatments were prescribed (43 out of 53). The fire frequencies ranged from one fire every 17 years to one fire every year. The low fire treatments were usually complete fire exclusion. In some cases the authors note an incidental fire that burned through one of the fire exclusion plots, but these fires were mostly rare. One site was running for only 9 years</w:t>
      </w:r>
      <w:r>
        <w:rPr>
          <w:rFonts w:ascii="Times" w:hAnsi="Times"/>
        </w:rPr>
        <w:fldChar w:fldCharType="begin" w:fldLock="1"/>
      </w:r>
      <w:r>
        <w:rPr>
          <w:rFonts w:ascii="Times" w:hAnsi="Times"/>
        </w:rPr>
        <w:instrText>ADDIN CSL_CITATION {"citationItems":[{"id":"ITEM-1","itemData":{"DOI":"https://doi.org/10.1111/1365-2745.13351","author":[{"dropping-particle":"","family":"Pellegrini","given":"Adam F. A.","non-dropping-particle":"","parse-names":false,"suffix":""},{"dropping-particle":"","family":"McLauchlan","given":"Kendra K.","non-dropping-particle":"","parse-names":false,"suffix":""},{"dropping-particle":"","family":"Hobbie","given":"Sarah E.","non-dropping-particle":"","parse-names":false,"suffix":""},{"dropping-particle":"","family":"Mack","given":"Michelle C.","non-dropping-particle":"","parse-names":false,"suffix":""},{"dropping-particle":"","family":"Marcotte","given":"Abbey L.","non-dropping-particle":"","parse-names":false,"suffix":""},{"dropping-particle":"","family":"Nelson","given":"David M.","non-dropping-particle":"","parse-names":false,"suffix":""},{"dropping-particle":"","family":"Perakis","given":"Steven S.","non-dropping-particle":"","parse-names":false,"suffix":""},{"dropping-particle":"","family":"Reich","given":"Peter B.","non-dropping-particle":"","parse-names":false,"suffix":""},{"dropping-particle":"","family":"Whittinghill","given":"Kyle","non-dropping-particle":"","parse-names":false,"suffix":""}],"container-title":"Journal of Ecology","id":"ITEM-1","issued":{"date-parts":[["2020"]]},"page":"1426-1441","title":"Frequent burning causes large losses of carbon from deep soil layers in a temperate savanna","type":"article-journal","volume":"108"},"uris":["http://www.mendeley.com/documents/?uuid=f006b9b8-aaf3-473c-9170-c36175201eb4"]}],"mendeley":{"formattedCitation":"&lt;sup&gt;76&lt;/sup&gt;","plainTextFormattedCitation":"76","previouslyFormattedCitation":"&lt;sup&gt;76&lt;/sup&gt;"},"properties":{"noteIndex":0},"schema":"https://github.com/citation-style-language/schema/raw/master/csl-citation.json"}</w:instrText>
      </w:r>
      <w:r>
        <w:rPr>
          <w:rFonts w:ascii="Times" w:hAnsi="Times"/>
        </w:rPr>
        <w:fldChar w:fldCharType="separate"/>
      </w:r>
      <w:r w:rsidRPr="008333C1">
        <w:rPr>
          <w:rFonts w:ascii="Times" w:hAnsi="Times"/>
          <w:noProof/>
          <w:vertAlign w:val="superscript"/>
        </w:rPr>
        <w:t>76</w:t>
      </w:r>
      <w:r>
        <w:rPr>
          <w:rFonts w:ascii="Times" w:hAnsi="Times"/>
        </w:rPr>
        <w:fldChar w:fldCharType="end"/>
      </w:r>
      <w:r>
        <w:rPr>
          <w:rFonts w:ascii="Times" w:hAnsi="Times"/>
        </w:rPr>
        <w:t>, but we included this study because it came from a grassland that had received &gt;5 fires and was one of the only sites in an arid region.</w:t>
      </w:r>
      <w:r w:rsidRPr="00075E92">
        <w:rPr>
          <w:rFonts w:ascii="Times" w:hAnsi="Times"/>
        </w:rPr>
        <w:t xml:space="preserve"> </w:t>
      </w:r>
      <w:r>
        <w:rPr>
          <w:rFonts w:ascii="Times" w:hAnsi="Times"/>
        </w:rPr>
        <w:t>Fire treatments were replicated at the landscape scale in all but 16 sites. Independent replicates of the fire treatments were generally defined based on the application of different fires (e.g., fire breaks separated the plots and the managers burned each plot separately).</w:t>
      </w:r>
    </w:p>
    <w:p w14:paraId="04E45666" w14:textId="77777777" w:rsidR="0030211E" w:rsidRDefault="0030211E" w:rsidP="0030211E">
      <w:pPr>
        <w:spacing w:line="360" w:lineRule="auto"/>
        <w:ind w:firstLine="720"/>
        <w:rPr>
          <w:rFonts w:ascii="Times" w:hAnsi="Times"/>
        </w:rPr>
      </w:pPr>
      <w:r>
        <w:rPr>
          <w:rFonts w:ascii="Times" w:hAnsi="Times"/>
        </w:rPr>
        <w:t xml:space="preserve">In several sites, the plots had experience other types of land use prior to the establishment of the experiment. For example, many of the forested sites in the southeastern US were established on abandoned agricultural land or tree plantations. Other types of disturbances also occurred during the experiment such as intermittent drought and herbivory. We assume that there were no overarching biases in the land use history of the experiment that would drive our trends. Herbivory was clearly biased, however, with the African savanna sites exposed to browsing and grazing. We assume that these characteristics are important natural processes in the ecosystem (just as intermittent drought in many ecosystems) and thus included the sites in our analysis. </w:t>
      </w:r>
    </w:p>
    <w:p w14:paraId="46D34851" w14:textId="77777777" w:rsidR="0030211E" w:rsidRDefault="0030211E" w:rsidP="0030211E">
      <w:pPr>
        <w:spacing w:line="360" w:lineRule="auto"/>
        <w:ind w:firstLine="720"/>
        <w:rPr>
          <w:rFonts w:ascii="Times" w:hAnsi="Times"/>
        </w:rPr>
      </w:pPr>
      <w:r>
        <w:rPr>
          <w:rFonts w:ascii="Times" w:hAnsi="Times"/>
        </w:rPr>
        <w:t xml:space="preserve">In addition to the literature search, we incorporated data from our own surveys of seven sites. Several of these sites replace previous measurements because we wanted to extend the timescale over which fire had been manipulated (e.g., in some cases plots had been surveyed in the 1990s and we re-surveyed them). </w:t>
      </w:r>
    </w:p>
    <w:p w14:paraId="328A2D49" w14:textId="77777777" w:rsidR="0030211E" w:rsidRPr="00445A06" w:rsidRDefault="0030211E" w:rsidP="0030211E">
      <w:pPr>
        <w:spacing w:line="360" w:lineRule="auto"/>
        <w:rPr>
          <w:rFonts w:ascii="Times" w:hAnsi="Times"/>
        </w:rPr>
      </w:pPr>
    </w:p>
    <w:p w14:paraId="79F80589" w14:textId="77777777" w:rsidR="0030211E" w:rsidRPr="004A0CAC" w:rsidRDefault="0030211E" w:rsidP="0030211E">
      <w:pPr>
        <w:spacing w:line="360" w:lineRule="auto"/>
        <w:rPr>
          <w:rFonts w:ascii="Times" w:hAnsi="Times"/>
          <w:i/>
          <w:iCs/>
        </w:rPr>
      </w:pPr>
      <w:r>
        <w:rPr>
          <w:rFonts w:ascii="Times" w:hAnsi="Times"/>
          <w:i/>
          <w:iCs/>
        </w:rPr>
        <w:t>1a.</w:t>
      </w:r>
      <w:r>
        <w:rPr>
          <w:rFonts w:ascii="Times" w:hAnsi="Times"/>
          <w:i/>
          <w:iCs/>
        </w:rPr>
        <w:tab/>
        <w:t xml:space="preserve"> </w:t>
      </w:r>
      <w:r w:rsidRPr="004A0CAC">
        <w:rPr>
          <w:rFonts w:ascii="Times" w:hAnsi="Times"/>
          <w:i/>
          <w:iCs/>
        </w:rPr>
        <w:t>Different sites</w:t>
      </w:r>
      <w:r>
        <w:rPr>
          <w:rFonts w:ascii="Times" w:hAnsi="Times"/>
          <w:i/>
          <w:iCs/>
        </w:rPr>
        <w:t xml:space="preserve"> and calculations</w:t>
      </w:r>
      <w:r w:rsidRPr="004A0CAC">
        <w:rPr>
          <w:rFonts w:ascii="Times" w:hAnsi="Times"/>
          <w:i/>
          <w:iCs/>
        </w:rPr>
        <w:t xml:space="preserve"> from </w:t>
      </w:r>
      <w:r>
        <w:rPr>
          <w:rFonts w:ascii="Times" w:hAnsi="Times"/>
          <w:i/>
          <w:iCs/>
        </w:rPr>
        <w:t xml:space="preserve">a </w:t>
      </w:r>
      <w:r w:rsidRPr="004A0CAC">
        <w:rPr>
          <w:rFonts w:ascii="Times" w:hAnsi="Times"/>
          <w:i/>
          <w:iCs/>
        </w:rPr>
        <w:t>previous meta-analysis and field surveys</w:t>
      </w:r>
    </w:p>
    <w:p w14:paraId="3AF94591" w14:textId="77777777" w:rsidR="0030211E" w:rsidRPr="00C34364" w:rsidRDefault="0030211E" w:rsidP="0030211E">
      <w:pPr>
        <w:spacing w:line="360" w:lineRule="auto"/>
        <w:rPr>
          <w:rFonts w:ascii="Times" w:hAnsi="Times"/>
        </w:rPr>
      </w:pPr>
      <w:r w:rsidRPr="00C6575E">
        <w:rPr>
          <w:rFonts w:ascii="Times" w:hAnsi="Times"/>
          <w:b/>
          <w:bCs/>
        </w:rPr>
        <w:t>Matopos studies:</w:t>
      </w:r>
      <w:r w:rsidRPr="00C34364">
        <w:rPr>
          <w:rFonts w:ascii="Times" w:hAnsi="Times"/>
        </w:rPr>
        <w:t xml:space="preserve"> weighted the soil C under grasses vs. trees by the tree cover. </w:t>
      </w:r>
      <w:r>
        <w:rPr>
          <w:rFonts w:ascii="Times" w:hAnsi="Times"/>
        </w:rPr>
        <w:t xml:space="preserve">Texture data are in </w:t>
      </w:r>
      <w:r w:rsidRPr="00C34364">
        <w:rPr>
          <w:rFonts w:ascii="Times" w:hAnsi="Times"/>
        </w:rPr>
        <w:fldChar w:fldCharType="begin" w:fldLock="1"/>
      </w:r>
      <w:r>
        <w:rPr>
          <w:rFonts w:ascii="Times" w:hAnsi="Times"/>
        </w:rPr>
        <w:instrText>ADDIN CSL_CITATION {"citationItems":[{"id":"ITEM-1","itemData":{"ISSN":"1838-6768","author":[{"dropping-particle":"","family":"Tongway","given":"David J","non-dropping-particle":"","parse-names":false,"suffix":""},{"dropping-particle":"","family":"Hodgkinson","given":"K C","non-dropping-particle":"","parse-names":false,"suffix":""}],"container-title":"Soil Research","id":"ITEM-1","issue":"1","issued":{"date-parts":[["1992"]]},"page":"17-26","title":"The effects of fire on the soil in a degraded semi-arid woodland. III. Nutrient pool sizes, biological activity and herbage response","type":"article-journal","volume":"30"},"uris":["http://www.mendeley.com/documents/?uuid=e641ecc4-cf8b-4e5e-8738-f1fe82c4c879"]}],"mendeley":{"formattedCitation":"&lt;sup&gt;64&lt;/sup&gt;","plainTextFormattedCitation":"64","previouslyFormattedCitation":"&lt;sup&gt;64&lt;/sup&gt;"},"properties":{"noteIndex":0},"schema":"https://github.com/citation-style-language/schema/raw/master/csl-citation.json"}</w:instrText>
      </w:r>
      <w:r w:rsidRPr="00C34364">
        <w:rPr>
          <w:rFonts w:ascii="Times" w:hAnsi="Times"/>
        </w:rPr>
        <w:fldChar w:fldCharType="separate"/>
      </w:r>
      <w:r w:rsidRPr="008333C1">
        <w:rPr>
          <w:rFonts w:ascii="Times" w:hAnsi="Times"/>
          <w:noProof/>
          <w:vertAlign w:val="superscript"/>
        </w:rPr>
        <w:t>64</w:t>
      </w:r>
      <w:r w:rsidRPr="00C34364">
        <w:rPr>
          <w:rFonts w:ascii="Times" w:hAnsi="Times"/>
        </w:rPr>
        <w:fldChar w:fldCharType="end"/>
      </w:r>
      <w:r>
        <w:rPr>
          <w:rFonts w:ascii="Times" w:hAnsi="Times"/>
        </w:rPr>
        <w:t xml:space="preserve">. </w:t>
      </w:r>
      <w:r w:rsidRPr="00C6575E">
        <w:rPr>
          <w:rFonts w:ascii="Times" w:hAnsi="Times"/>
          <w:b/>
          <w:bCs/>
        </w:rPr>
        <w:t>Kruger</w:t>
      </w:r>
      <w:r w:rsidRPr="00C34364">
        <w:rPr>
          <w:rFonts w:ascii="Times" w:hAnsi="Times"/>
        </w:rPr>
        <w:t xml:space="preserve">: </w:t>
      </w:r>
      <w:r>
        <w:rPr>
          <w:rFonts w:ascii="Times" w:hAnsi="Times"/>
        </w:rPr>
        <w:t xml:space="preserve">we used data from our own </w:t>
      </w:r>
      <w:r w:rsidRPr="00C34364">
        <w:rPr>
          <w:rFonts w:ascii="Times" w:hAnsi="Times"/>
        </w:rPr>
        <w:t>re-survey across all the plots</w:t>
      </w:r>
      <w:r>
        <w:rPr>
          <w:rFonts w:ascii="Times" w:hAnsi="Times"/>
        </w:rPr>
        <w:t xml:space="preserve"> in 2015</w:t>
      </w:r>
      <w:r w:rsidRPr="00C34364">
        <w:rPr>
          <w:rFonts w:ascii="Times" w:hAnsi="Times"/>
        </w:rPr>
        <w:t>.</w:t>
      </w:r>
      <w:r>
        <w:rPr>
          <w:rFonts w:ascii="Times" w:hAnsi="Times"/>
        </w:rPr>
        <w:t xml:space="preserve"> </w:t>
      </w:r>
      <w:r w:rsidRPr="00C6575E">
        <w:rPr>
          <w:rFonts w:ascii="Times" w:hAnsi="Times"/>
          <w:b/>
          <w:bCs/>
        </w:rPr>
        <w:t xml:space="preserve">Morton, Hitchiti, Cedar Creek: </w:t>
      </w:r>
      <w:r w:rsidRPr="00C34364">
        <w:rPr>
          <w:rFonts w:ascii="Times" w:hAnsi="Times"/>
        </w:rPr>
        <w:t>re-analyzed the soil samples</w:t>
      </w:r>
      <w:r>
        <w:rPr>
          <w:rFonts w:ascii="Times" w:hAnsi="Times"/>
        </w:rPr>
        <w:t xml:space="preserve"> in our lab</w:t>
      </w:r>
      <w:r w:rsidRPr="00C34364">
        <w:rPr>
          <w:rFonts w:ascii="Times" w:hAnsi="Times"/>
        </w:rPr>
        <w:t xml:space="preserve">. </w:t>
      </w:r>
      <w:r w:rsidRPr="0057564B">
        <w:rPr>
          <w:rFonts w:ascii="Times" w:hAnsi="Times"/>
          <w:b/>
          <w:bCs/>
        </w:rPr>
        <w:t>Cedar Creek</w:t>
      </w:r>
      <w:r>
        <w:rPr>
          <w:rFonts w:ascii="Times" w:hAnsi="Times"/>
        </w:rPr>
        <w:t xml:space="preserve"> duration extended</w:t>
      </w:r>
      <w:r w:rsidRPr="00C34364">
        <w:rPr>
          <w:rFonts w:ascii="Times" w:hAnsi="Times"/>
        </w:rPr>
        <w:t>.</w:t>
      </w:r>
      <w:r>
        <w:rPr>
          <w:rFonts w:ascii="Times" w:hAnsi="Times"/>
        </w:rPr>
        <w:t xml:space="preserve"> </w:t>
      </w:r>
      <w:r w:rsidRPr="00065FF9">
        <w:rPr>
          <w:rFonts w:ascii="Times" w:hAnsi="Times"/>
          <w:b/>
          <w:bCs/>
        </w:rPr>
        <w:t>Limestone &amp; Chimney Springs</w:t>
      </w:r>
      <w:r w:rsidRPr="00C34364">
        <w:rPr>
          <w:rFonts w:ascii="Times" w:hAnsi="Times"/>
        </w:rPr>
        <w:t xml:space="preserve">: surveyed soils </w:t>
      </w:r>
      <w:r>
        <w:rPr>
          <w:rFonts w:ascii="Times" w:hAnsi="Times"/>
        </w:rPr>
        <w:t>with our own sampling to</w:t>
      </w:r>
      <w:r w:rsidRPr="00C34364">
        <w:rPr>
          <w:rFonts w:ascii="Times" w:hAnsi="Times"/>
        </w:rPr>
        <w:t xml:space="preserve"> extend the dataset</w:t>
      </w:r>
      <w:r>
        <w:rPr>
          <w:rFonts w:ascii="Times" w:hAnsi="Times"/>
        </w:rPr>
        <w:t xml:space="preserve"> by two decades</w:t>
      </w:r>
      <w:r w:rsidRPr="00C34364">
        <w:rPr>
          <w:rFonts w:ascii="Times" w:hAnsi="Times"/>
        </w:rPr>
        <w:t>.</w:t>
      </w:r>
      <w:r>
        <w:rPr>
          <w:rFonts w:ascii="Times" w:hAnsi="Times"/>
        </w:rPr>
        <w:t xml:space="preserve"> </w:t>
      </w:r>
      <w:r w:rsidRPr="00065FF9">
        <w:rPr>
          <w:rFonts w:ascii="Times" w:hAnsi="Times"/>
          <w:b/>
          <w:bCs/>
        </w:rPr>
        <w:t>University Missouri</w:t>
      </w:r>
      <w:r w:rsidRPr="00C34364">
        <w:rPr>
          <w:rFonts w:ascii="Times" w:hAnsi="Times"/>
        </w:rPr>
        <w:t>: added data</w:t>
      </w:r>
      <w:r>
        <w:rPr>
          <w:rFonts w:ascii="Times" w:hAnsi="Times"/>
        </w:rPr>
        <w:t xml:space="preserve"> from Pellegrini et al. </w:t>
      </w:r>
      <w:r w:rsidRPr="007D1A65">
        <w:rPr>
          <w:rFonts w:ascii="Times" w:hAnsi="Times"/>
        </w:rPr>
        <w:t>202</w:t>
      </w:r>
      <w:r>
        <w:rPr>
          <w:rFonts w:ascii="Times" w:hAnsi="Times"/>
        </w:rPr>
        <w:t>1</w:t>
      </w:r>
      <w:r>
        <w:rPr>
          <w:rFonts w:ascii="Times" w:hAnsi="Times"/>
        </w:rPr>
        <w:fldChar w:fldCharType="begin" w:fldLock="1"/>
      </w:r>
      <w:r>
        <w:rPr>
          <w:rFonts w:ascii="Times" w:hAnsi="Times"/>
        </w:rPr>
        <w:instrText>ADDIN CSL_CITATION {"citationItems":[{"id":"ITEM-1","itemData":{"DOI":"10.1007/BF00704827","ISSN":"01674366","abstract":"An investigation into the influence of indigenous trees on soil fertility was conducted in an area of semi-arid tropical savanna in Zimbabwe on two contrasting soil types: dystrophic savanna soils (sandy soils) and eutrophic savanna soils (fine-textured soils). The study adds further support to the growing literature showing that trees have a positive influence on soil fertility. The study suggests that tree clearance, as advocated in these agropastoral systems, may not necessarily result in long-term benefits. It is argued that the primary mechanism by which soil fertility is improved is through increased litter and soil organic matter compartments under trees. The influence of trees on cation levels is greater on sandy soils than fine-textured soils because the exchange capacity of fine-textured soils is determined largely by soil texture whereas organic matter is the prime determinant of exchange capacity in sandy soils. The present study demonstrates that fertility improvement under trees is not at the expense of fertility decline in the surface soils of the zone around the tree. Leaf quality, as reflected simply in leaf C:N ratio, influences decomposition rates but the activities of termites probably confound any simple relationship. Litter quality of tree species is probably important in determining levels of soil organic matter under canopies, with higher levels under species with lower leaf quality. © 1994 Kluwer Academic Publishers.","author":[{"dropping-particle":"","family":"Campbell","given":"B. M.","non-dropping-particle":"","parse-names":false,"suffix":""},{"dropping-particle":"","family":"Frost","given":"P.","non-dropping-particle":"","parse-names":false,"suffix":""},{"dropping-particle":"","family":"King","given":"J. A.","non-dropping-particle":"","parse-names":false,"suffix":""},{"dropping-particle":"","family":"Mawanza","given":"M.","non-dropping-particle":"","parse-names":false,"suffix":""},{"dropping-particle":"","family":"Mhlanga","given":"L.","non-dropping-particle":"","parse-names":false,"suffix":""}],"container-title":"Agroforestry Systems","id":"ITEM-1","issue":"2","issued":{"date-parts":[["1994","11"]]},"page":"159-172","publisher":"Kluwer Academic Publishers","title":"The influence of trees on soil fertility on two contrasting semi-arid soil types at Matopos, Zimbabwe","type":"article-journal","volume":"28"},"uris":["http://www.mendeley.com/documents/?uuid=b7c60bc8-cb77-3d8f-87e5-1f77f719d8d9"]}],"mendeley":{"formattedCitation":"&lt;sup&gt;77&lt;/sup&gt;","plainTextFormattedCitation":"77","previouslyFormattedCitation":"&lt;sup&gt;77&lt;/sup&gt;"},"properties":{"noteIndex":0},"schema":"https://github.com/citation-style-language/schema/raw/master/csl-citation.json"}</w:instrText>
      </w:r>
      <w:r>
        <w:rPr>
          <w:rFonts w:ascii="Times" w:hAnsi="Times"/>
        </w:rPr>
        <w:fldChar w:fldCharType="separate"/>
      </w:r>
      <w:r w:rsidRPr="008333C1">
        <w:rPr>
          <w:rFonts w:ascii="Times" w:hAnsi="Times"/>
          <w:noProof/>
          <w:vertAlign w:val="superscript"/>
        </w:rPr>
        <w:t>77</w:t>
      </w:r>
      <w:r>
        <w:rPr>
          <w:rFonts w:ascii="Times" w:hAnsi="Times"/>
        </w:rPr>
        <w:fldChar w:fldCharType="end"/>
      </w:r>
      <w:r>
        <w:rPr>
          <w:rFonts w:ascii="Times" w:hAnsi="Times"/>
        </w:rPr>
        <w:t xml:space="preserve">. </w:t>
      </w:r>
      <w:r w:rsidRPr="00065FF9">
        <w:rPr>
          <w:rFonts w:ascii="Times" w:hAnsi="Times"/>
          <w:b/>
          <w:bCs/>
        </w:rPr>
        <w:t>Wet Peachester</w:t>
      </w:r>
      <w:r w:rsidRPr="00C34364">
        <w:rPr>
          <w:rFonts w:ascii="Times" w:hAnsi="Times"/>
        </w:rPr>
        <w:t xml:space="preserve">: now </w:t>
      </w:r>
      <w:r>
        <w:rPr>
          <w:rFonts w:ascii="Times" w:hAnsi="Times"/>
        </w:rPr>
        <w:t xml:space="preserve">from </w:t>
      </w:r>
      <w:r w:rsidRPr="00C34364">
        <w:rPr>
          <w:rFonts w:ascii="Times" w:hAnsi="Times"/>
        </w:rPr>
        <w:fldChar w:fldCharType="begin" w:fldLock="1"/>
      </w:r>
      <w:r>
        <w:rPr>
          <w:rFonts w:ascii="Times" w:hAnsi="Times"/>
        </w:rPr>
        <w:instrText>ADDIN CSL_CITATION {"citationItems":[{"id":"ITEM-1","itemData":{"DOI":"10.1101/2020.07.22.216226","abstract":"Global change has shifted fire regimes, but the long-term consequences for ecosystems are uncertain because of variability in environmental conditions, fire types, and plant composition. We tested how fire-frequency manipulations of 16-64 years affect tree communities and traits using 374 plots from 29 sites on four continents. More frequently burned plots had lower tree basal area and stem densities that compounded over multiple decades: average fire frequencies reduced basal area by only 4% after 16 years but 57% after 64 years, relative to unburned plots. Fire had the largest effects on basal area in sites with strong seasonality and in savanna ecosystems. Tree functional-trait data revealed that frequently burned plots had tree communities dominated by species with low biomass nitrogen and phosphorus content and with more efficient nitrogen acquisition through ectomycorrhizal symbioses. Our data provide broad experimental evidence that altered fire regimes will shift tree community basal area, stem density, and functional composition in a diversity of settings. The responses of tree communities compounded over multiple decades, suggesting short-term observations may substantially underestimate the sensitivity of ecosystems to altered fire regimes. ### Competing Interest Statement The authors have declared no competing interest.","author":[{"dropping-particle":"","family":"Pellegrini","given":"A F A","non-dropping-particle":"","parse-names":false,"suffix":""},{"dropping-particle":"","family":"Refsland","given":"Tyler","non-dropping-particle":"","parse-names":false,"suffix":""},{"dropping-particle":"","family":"Averill","given":"Colin","non-dropping-particle":"","parse-names":false,"suffix":""},{"dropping-particle":"","family":"Terrer","given":"César","non-dropping-particle":"","parse-names":false,"suffix":""},{"dropping-particle":"","family":"Carla Staver","given":"A","non-dropping-particle":"","parse-names":false,"suffix":""},{"dropping-particle":"","family":"Brockway","given":"Dale G","non-dropping-particle":"","parse-names":false,"suffix":""},{"dropping-particle":"","family":"Caprio","given":"Anthony","non-dropping-particle":"","parse-names":false,"suffix":""},{"dropping-particle":"","family":"Clatterbuck","given":"Wayne","non-dropping-particle":"","parse-names":false,"suffix":""},{"dropping-particle":"","family":"Coetsee","given":"Corli","non-dropping-particle":"","parse-names":false,"suffix":""},{"dropping-particle":"","family":"Haywood","given":"James D","non-dropping-particle":"","parse-names":false,"suffix":""},{"dropping-particle":"","family":"Hobbie","given":"Sarah E","non-dropping-particle":"","parse-names":false,"suffix":""},{"dropping-particle":"","family":"Hoffmann","given":"William A","non-dropping-particle":"","parse-names":false,"suffix":""},{"dropping-particle":"","family":"Kush","given":"John","non-dropping-particle":"","parse-names":false,"suffix":""},{"dropping-particle":"","family":"Lewis","given":"Tom","non-dropping-particle":"","parse-names":false,"suffix":""},{"dropping-particle":"","family":"Keith Moser","given":"W","non-dropping-particle":"","parse-names":false,"suffix":""},{"dropping-particle":"","family":"Overby","given":"Steven T","non-dropping-particle":"","parse-names":false,"suffix":""},{"dropping-particle":"","family":"Patterson","given":"Bill","non-dropping-particle":"","parse-names":false,"suffix":""},{"dropping-particle":"","family":"Peay","given":"Kabir G","non-dropping-particle":"","parse-names":false,"suffix":""},{"dropping-particle":"","family":"Reich","given":"Peter B","non-dropping-particle":"","parse-names":false,"suffix":""},{"dropping-particle":"","family":"Ryan","given":"Casey","non-dropping-particle":"","parse-names":false,"suffix":""},{"dropping-particle":"","family":"Anne Sayer","given":"Mary S","non-dropping-particle":"","parse-names":false,"suffix":""},{"dropping-particle":"","family":"Scharenbroch","given":"Bryant C","non-dropping-particle":"","parse-names":false,"suffix":""},{"dropping-particle":"","family":"Schoennagel","given":"Tania","non-dropping-particle":"","parse-names":false,"suffix":""},{"dropping-particle":"","family":"Smith","given":"Gabriel R","non-dropping-particle":"","parse-names":false,"suffix":""},{"dropping-particle":"","family":"Stephan","given":"Kirsten","non-dropping-particle":"","parse-names":false,"suffix":""},{"dropping-particle":"","family":"Swanston","given":"Chris","non-dropping-particle":"","parse-names":false,"suffix":""},{"dropping-particle":"","family":"Turner","given":"Monica G","non-dropping-particle":"","parse-names":false,"suffix":""},{"dropping-particle":"","family":"Morgan Varner","given":"J","non-dropping-particle":"","parse-names":false,"suffix":""},{"dropping-particle":"","family":"Jackson","given":"Robert B","non-dropping-particle":"","parse-names":false,"suffix":""}],"container-title":"Nature Ecology &amp; Evolution","id":"ITEM-1","issued":{"date-parts":[["2021","7","24"]]},"page":"504–512","publisher":"Cold Spring Harbor Laboratory","title":"Decadal changes in fire frequencies shift tree communities and functional traits","type":"article-journal","volume":"5"},"uris":["http://www.mendeley.com/documents/?uuid=2204ae24-78e3-3f52-bb83-db02cd998982"]}],"mendeley":{"formattedCitation":"&lt;sup&gt;21&lt;/sup&gt;","plainTextFormattedCitation":"21","previouslyFormattedCitation":"&lt;sup&gt;21&lt;/sup&gt;"},"properties":{"noteIndex":0},"schema":"https://github.com/citation-style-language/schema/raw/master/csl-citation.json"}</w:instrText>
      </w:r>
      <w:r w:rsidRPr="00C34364">
        <w:rPr>
          <w:rFonts w:ascii="Times" w:hAnsi="Times"/>
        </w:rPr>
        <w:fldChar w:fldCharType="separate"/>
      </w:r>
      <w:r w:rsidRPr="008333C1">
        <w:rPr>
          <w:rFonts w:ascii="Times" w:hAnsi="Times"/>
          <w:noProof/>
          <w:vertAlign w:val="superscript"/>
        </w:rPr>
        <w:t>21</w:t>
      </w:r>
      <w:r w:rsidRPr="00C34364">
        <w:rPr>
          <w:rFonts w:ascii="Times" w:hAnsi="Times"/>
        </w:rPr>
        <w:fldChar w:fldCharType="end"/>
      </w:r>
      <w:r>
        <w:rPr>
          <w:rFonts w:ascii="Times" w:hAnsi="Times"/>
        </w:rPr>
        <w:t xml:space="preserve"> because this</w:t>
      </w:r>
      <w:r w:rsidRPr="00C34364">
        <w:rPr>
          <w:rFonts w:ascii="Times" w:hAnsi="Times"/>
        </w:rPr>
        <w:t xml:space="preserve"> extended the dataset. </w:t>
      </w:r>
    </w:p>
    <w:p w14:paraId="07EE9BA1" w14:textId="77777777" w:rsidR="0030211E" w:rsidRPr="00C34364" w:rsidRDefault="0030211E" w:rsidP="0030211E">
      <w:pPr>
        <w:spacing w:line="360" w:lineRule="auto"/>
        <w:rPr>
          <w:rFonts w:ascii="Times" w:hAnsi="Times"/>
          <w:i/>
          <w:iCs/>
        </w:rPr>
      </w:pPr>
      <w:r>
        <w:rPr>
          <w:rFonts w:ascii="Times" w:hAnsi="Times"/>
          <w:i/>
          <w:iCs/>
        </w:rPr>
        <w:lastRenderedPageBreak/>
        <w:t xml:space="preserve">1b. </w:t>
      </w:r>
      <w:r>
        <w:rPr>
          <w:rFonts w:ascii="Times" w:hAnsi="Times"/>
          <w:i/>
          <w:iCs/>
        </w:rPr>
        <w:tab/>
      </w:r>
      <w:r w:rsidRPr="00C34364">
        <w:rPr>
          <w:rFonts w:ascii="Times" w:hAnsi="Times"/>
          <w:i/>
          <w:iCs/>
        </w:rPr>
        <w:t>Soil texture</w:t>
      </w:r>
    </w:p>
    <w:p w14:paraId="67D51BB2" w14:textId="77777777" w:rsidR="0030211E" w:rsidRPr="00C34364" w:rsidRDefault="0030211E" w:rsidP="0030211E">
      <w:pPr>
        <w:spacing w:line="360" w:lineRule="auto"/>
        <w:rPr>
          <w:rFonts w:ascii="Times" w:hAnsi="Times"/>
        </w:rPr>
      </w:pPr>
      <w:r>
        <w:rPr>
          <w:rFonts w:ascii="Times" w:hAnsi="Times"/>
        </w:rPr>
        <w:t xml:space="preserve">We compiled data on soil texture using either (i) measurements within the study site, (ii) extrapolations based on discrete soil classification (e.g., clay loam, sand, etc., </w:t>
      </w:r>
      <w:r w:rsidRPr="00341335">
        <w:rPr>
          <w:rFonts w:ascii="Times" w:hAnsi="Times"/>
        </w:rPr>
        <w:t>http://www.fao.org/tempref/FI/CDrom/FAO_Training/FAO_Training/General/x6706e/x6706e06.htm</w:t>
      </w:r>
      <w:r>
        <w:rPr>
          <w:rFonts w:ascii="Times" w:hAnsi="Times"/>
        </w:rPr>
        <w:t xml:space="preserve">). </w:t>
      </w:r>
      <w:r w:rsidRPr="00C34364">
        <w:rPr>
          <w:rFonts w:ascii="Times" w:hAnsi="Times"/>
        </w:rPr>
        <w:t xml:space="preserve">When </w:t>
      </w:r>
      <w:r>
        <w:rPr>
          <w:rFonts w:ascii="Times" w:hAnsi="Times"/>
        </w:rPr>
        <w:t>percent texture</w:t>
      </w:r>
      <w:r w:rsidRPr="00C34364">
        <w:rPr>
          <w:rFonts w:ascii="Times" w:hAnsi="Times"/>
        </w:rPr>
        <w:t xml:space="preserve"> did not add to 100, we used average clay, then silt and then took the difference with sand. In the cases where only clay was reported, we used the reported value of clay, mean silt in the </w:t>
      </w:r>
      <w:r>
        <w:rPr>
          <w:rFonts w:ascii="Times" w:hAnsi="Times"/>
        </w:rPr>
        <w:t xml:space="preserve">texture </w:t>
      </w:r>
      <w:r w:rsidRPr="00C34364">
        <w:rPr>
          <w:rFonts w:ascii="Times" w:hAnsi="Times"/>
        </w:rPr>
        <w:t xml:space="preserve">class, and then subtracted out sand from 100. </w:t>
      </w:r>
      <w:r>
        <w:rPr>
          <w:rFonts w:ascii="Times" w:hAnsi="Times"/>
        </w:rPr>
        <w:t xml:space="preserve">In the cases where texture was provided but </w:t>
      </w:r>
      <w:r w:rsidRPr="00C34364">
        <w:rPr>
          <w:rFonts w:ascii="Times" w:hAnsi="Times"/>
        </w:rPr>
        <w:t xml:space="preserve">class was not given, we used texture to </w:t>
      </w:r>
      <w:r>
        <w:rPr>
          <w:rFonts w:ascii="Times" w:hAnsi="Times"/>
        </w:rPr>
        <w:t xml:space="preserve">assign it to a class. </w:t>
      </w:r>
    </w:p>
    <w:p w14:paraId="75945BF2" w14:textId="77777777" w:rsidR="0030211E" w:rsidRPr="00C34364" w:rsidRDefault="0030211E" w:rsidP="0030211E">
      <w:pPr>
        <w:spacing w:line="360" w:lineRule="auto"/>
        <w:rPr>
          <w:rFonts w:ascii="Times" w:hAnsi="Times"/>
        </w:rPr>
      </w:pPr>
    </w:p>
    <w:p w14:paraId="57983C69" w14:textId="77777777" w:rsidR="0030211E" w:rsidRPr="00C34364" w:rsidRDefault="0030211E" w:rsidP="0030211E">
      <w:pPr>
        <w:spacing w:line="360" w:lineRule="auto"/>
        <w:rPr>
          <w:rFonts w:ascii="Times" w:hAnsi="Times"/>
          <w:i/>
          <w:iCs/>
        </w:rPr>
      </w:pPr>
      <w:r>
        <w:rPr>
          <w:rFonts w:ascii="Times" w:hAnsi="Times"/>
          <w:i/>
          <w:iCs/>
        </w:rPr>
        <w:t>1c.</w:t>
      </w:r>
      <w:r>
        <w:rPr>
          <w:rFonts w:ascii="Times" w:hAnsi="Times"/>
          <w:i/>
          <w:iCs/>
        </w:rPr>
        <w:tab/>
        <w:t xml:space="preserve"> </w:t>
      </w:r>
      <w:r w:rsidRPr="00C34364">
        <w:rPr>
          <w:rFonts w:ascii="Times" w:hAnsi="Times"/>
          <w:i/>
          <w:iCs/>
        </w:rPr>
        <w:t>Bulk density</w:t>
      </w:r>
    </w:p>
    <w:p w14:paraId="06527EC3" w14:textId="77777777" w:rsidR="0030211E" w:rsidRPr="00C34364" w:rsidRDefault="0030211E" w:rsidP="0030211E">
      <w:pPr>
        <w:spacing w:line="360" w:lineRule="auto"/>
        <w:rPr>
          <w:rFonts w:ascii="Times" w:hAnsi="Times"/>
        </w:rPr>
      </w:pPr>
      <w:r w:rsidRPr="00C34364">
        <w:rPr>
          <w:rFonts w:ascii="Times" w:hAnsi="Times"/>
        </w:rPr>
        <w:t>Bulk density was obtained using previously published values in</w:t>
      </w:r>
      <w:r>
        <w:rPr>
          <w:rFonts w:ascii="Times" w:hAnsi="Times"/>
        </w:rPr>
        <w:t xml:space="preserve"> </w:t>
      </w:r>
      <w:r>
        <w:rPr>
          <w:rFonts w:ascii="Times" w:hAnsi="Times"/>
        </w:rPr>
        <w:fldChar w:fldCharType="begin" w:fldLock="1"/>
      </w:r>
      <w:r>
        <w:rPr>
          <w:rFonts w:ascii="Times" w:hAnsi="Times"/>
        </w:rPr>
        <w:instrText>ADDIN CSL_CITATION {"citationItems":[{"id":"ITEM-1","itemData":{"DOI":"10.1016/j.ancene.2013.03.002","ISSN":"22133054","author":[{"dropping-particle":"","family":"DeLuca","given":"T.H.","non-dropping-particle":"","parse-names":false,"suffix":""},{"dropping-particle":"","family":"Zackrisson","given":"O.","non-dropping-particle":"","parse-names":false,"suffix":""},{"dropping-particle":"","family":"Bergman","given":"I.","non-dropping-particle":"","parse-names":false,"suffix":""},{"dropping-particle":"","family":"Hörnberg","given":"G.","non-dropping-particle":"","parse-names":false,"suffix":""}],"container-title":"Anthropocene","id":"ITEM-1","issued":{"date-parts":[["2013","9"]]},"page":"14-22","title":"Historical land use and resource depletion in spruce-Cladina forests of subarctic Sweden","type":"article-journal","volume":"1"},"uris":["http://www.mendeley.com/documents/?uuid=83742912-5a51-3607-9faf-d1e229cd64ce"]}],"mendeley":{"formattedCitation":"&lt;sup&gt;52&lt;/sup&gt;","plainTextFormattedCitation":"52","previouslyFormattedCitation":"&lt;sup&gt;52&lt;/sup&gt;"},"properties":{"noteIndex":0},"schema":"https://github.com/citation-style-language/schema/raw/master/csl-citation.json"}</w:instrText>
      </w:r>
      <w:r>
        <w:rPr>
          <w:rFonts w:ascii="Times" w:hAnsi="Times"/>
        </w:rPr>
        <w:fldChar w:fldCharType="separate"/>
      </w:r>
      <w:r w:rsidRPr="008333C1">
        <w:rPr>
          <w:rFonts w:ascii="Times" w:hAnsi="Times"/>
          <w:noProof/>
          <w:vertAlign w:val="superscript"/>
        </w:rPr>
        <w:t>52</w:t>
      </w:r>
      <w:r>
        <w:rPr>
          <w:rFonts w:ascii="Times" w:hAnsi="Times"/>
        </w:rPr>
        <w:fldChar w:fldCharType="end"/>
      </w:r>
      <w:r w:rsidRPr="00C34364">
        <w:rPr>
          <w:rFonts w:ascii="Times" w:hAnsi="Times"/>
        </w:rPr>
        <w:t xml:space="preserve">, updated with new measurements </w:t>
      </w:r>
      <w:r>
        <w:rPr>
          <w:rFonts w:ascii="Times" w:hAnsi="Times"/>
        </w:rPr>
        <w:t>in some of the sites from our resurveys</w:t>
      </w:r>
      <w:r w:rsidRPr="00C34364">
        <w:rPr>
          <w:rFonts w:ascii="Times" w:hAnsi="Times"/>
        </w:rPr>
        <w:t xml:space="preserve">, and </w:t>
      </w:r>
      <w:r>
        <w:rPr>
          <w:rFonts w:ascii="Times" w:hAnsi="Times"/>
        </w:rPr>
        <w:t>used</w:t>
      </w:r>
      <w:r w:rsidRPr="00C34364">
        <w:rPr>
          <w:rFonts w:ascii="Times" w:hAnsi="Times"/>
        </w:rPr>
        <w:t xml:space="preserve"> site-averages within soil types. </w:t>
      </w:r>
      <w:r>
        <w:rPr>
          <w:rFonts w:ascii="Times" w:hAnsi="Times"/>
        </w:rPr>
        <w:t>Bulk density averages within soil types were taken from Part 618.7 in the USDA National Soil Survey Handbook</w:t>
      </w:r>
      <w:r>
        <w:rPr>
          <w:rFonts w:ascii="Times" w:hAnsi="Times"/>
        </w:rPr>
        <w:fldChar w:fldCharType="begin" w:fldLock="1"/>
      </w:r>
      <w:r>
        <w:rPr>
          <w:rFonts w:ascii="Times" w:hAnsi="Times"/>
        </w:rPr>
        <w:instrText>ADDIN CSL_CITATION {"citationItems":[{"id":"ITEM-1","itemData":{"author":[{"dropping-particle":"","family":"Pellegrini","given":"Adam F A","non-dropping-particle":"","parse-names":false,"suffix":""},{"dropping-particle":"","family":"Ahlström","given":"Anders","non-dropping-particle":"","parse-names":false,"suffix":""},{"dropping-particle":"","family":"Hobbie","given":"Sarah E","non-dropping-particle":"","parse-names":false,"suffix":""},{"dropping-particle":"","family":"Reich","given":"Peter B","non-dropping-particle":"","parse-names":false,"suffix":""},{"dropping-particle":"","family":"Nieradzik","given":"L P","non-dropping-particle":"","parse-names":false,"suffix":""},{"dropping-particle":"","family":"Staver","given":"A C","non-dropping-particle":"","parse-names":false,"suffix":""},{"dropping-particle":"","family":"Scharenbroch","given":"B C","non-dropping-particle":"","parse-names":false,"suffix":""},{"dropping-particle":"","family":"Jumpponen","given":"A","non-dropping-particle":"","parse-names":false,"suffix":""},{"dropping-particle":"","family":"Anderegg","given":"W R L","non-dropping-particle":"","parse-names":false,"suffix":""},{"dropping-particle":"","family":"Randerson","given":"J T","non-dropping-particle":"","parse-names":false,"suffix":""},{"dropping-particle":"","family":"Jackson","given":"Robert B","non-dropping-particle":"","parse-names":false,"suffix":""}],"container-title":"Nature","id":"ITEM-1","issued":{"date-parts":[["2018"]]},"page":"194-198","title":"Fire frequency drives decadal changes in soil carbon and nitrogen and ecosystem productivity","type":"article-journal","volume":"553"},"uris":["http://www.mendeley.com/documents/?uuid=da2d9c11-9510-4e11-9283-85fc3605e636"]}],"mendeley":{"formattedCitation":"&lt;sup&gt;3&lt;/sup&gt;","plainTextFormattedCitation":"3","previouslyFormattedCitation":"&lt;sup&gt;3&lt;/sup&gt;"},"properties":{"noteIndex":0},"schema":"https://github.com/citation-style-language/schema/raw/master/csl-citation.json"}</w:instrText>
      </w:r>
      <w:r>
        <w:rPr>
          <w:rFonts w:ascii="Times" w:hAnsi="Times"/>
        </w:rPr>
        <w:fldChar w:fldCharType="separate"/>
      </w:r>
      <w:r w:rsidRPr="008333C1">
        <w:rPr>
          <w:rFonts w:ascii="Times" w:hAnsi="Times"/>
          <w:noProof/>
          <w:vertAlign w:val="superscript"/>
        </w:rPr>
        <w:t>3</w:t>
      </w:r>
      <w:r>
        <w:rPr>
          <w:rFonts w:ascii="Times" w:hAnsi="Times"/>
        </w:rPr>
        <w:fldChar w:fldCharType="end"/>
      </w:r>
      <w:r>
        <w:rPr>
          <w:rFonts w:ascii="Times" w:hAnsi="Times"/>
        </w:rPr>
        <w:t xml:space="preserve">. </w:t>
      </w:r>
    </w:p>
    <w:p w14:paraId="25D5A08F" w14:textId="77777777" w:rsidR="0030211E" w:rsidRDefault="0030211E" w:rsidP="0030211E">
      <w:pPr>
        <w:spacing w:line="360" w:lineRule="auto"/>
        <w:rPr>
          <w:rFonts w:ascii="Times" w:hAnsi="Times"/>
          <w:i/>
          <w:iCs/>
        </w:rPr>
      </w:pPr>
    </w:p>
    <w:p w14:paraId="0F7D5DC0" w14:textId="77777777" w:rsidR="0030211E" w:rsidRDefault="0030211E" w:rsidP="0030211E">
      <w:pPr>
        <w:spacing w:line="360" w:lineRule="auto"/>
        <w:rPr>
          <w:rFonts w:ascii="Times" w:hAnsi="Times"/>
        </w:rPr>
      </w:pPr>
      <w:r>
        <w:rPr>
          <w:rFonts w:ascii="Times" w:hAnsi="Times"/>
          <w:i/>
          <w:iCs/>
        </w:rPr>
        <w:t xml:space="preserve">1d. </w:t>
      </w:r>
      <w:r>
        <w:rPr>
          <w:rFonts w:ascii="Times" w:hAnsi="Times"/>
          <w:i/>
          <w:iCs/>
        </w:rPr>
        <w:tab/>
        <w:t>Climate variables</w:t>
      </w:r>
    </w:p>
    <w:p w14:paraId="57825362" w14:textId="77777777" w:rsidR="0030211E" w:rsidRDefault="0030211E" w:rsidP="0030211E">
      <w:pPr>
        <w:spacing w:line="360" w:lineRule="auto"/>
        <w:rPr>
          <w:rFonts w:ascii="Times" w:hAnsi="Times"/>
        </w:rPr>
      </w:pPr>
      <w:r>
        <w:rPr>
          <w:rFonts w:ascii="Times" w:hAnsi="Times"/>
        </w:rPr>
        <w:t>We used WorldClim</w:t>
      </w:r>
      <w:r>
        <w:rPr>
          <w:rFonts w:ascii="Times" w:hAnsi="Times"/>
        </w:rPr>
        <w:fldChar w:fldCharType="begin" w:fldLock="1"/>
      </w:r>
      <w:r>
        <w:rPr>
          <w:rFonts w:ascii="Times" w:hAnsi="Times"/>
        </w:rPr>
        <w:instrText>ADDIN CSL_CITATION {"citationItems":[{"id":"ITEM-1","itemData":{"author":[{"dropping-particle":"","family":"U.S. Department of Agriculture","given":"Natural Resources Conservation Service.","non-dropping-particle":"","parse-names":false,"suffix":""}],"id":"ITEM-1","issued":{"date-parts":[["0"]]},"title":"National soil survey handbook, title 430-VI","type":"report"},"uris":["http://www.mendeley.com/documents/?uuid=2e608fda-a17f-3acb-9660-0d899bfaae1f"]}],"mendeley":{"formattedCitation":"&lt;sup&gt;78&lt;/sup&gt;","plainTextFormattedCitation":"78","previouslyFormattedCitation":"&lt;sup&gt;78&lt;/sup&gt;"},"properties":{"noteIndex":0},"schema":"https://github.com/citation-style-language/schema/raw/master/csl-citation.json"}</w:instrText>
      </w:r>
      <w:r>
        <w:rPr>
          <w:rFonts w:ascii="Times" w:hAnsi="Times"/>
        </w:rPr>
        <w:fldChar w:fldCharType="separate"/>
      </w:r>
      <w:r w:rsidRPr="008333C1">
        <w:rPr>
          <w:rFonts w:ascii="Times" w:hAnsi="Times"/>
          <w:noProof/>
          <w:vertAlign w:val="superscript"/>
        </w:rPr>
        <w:t>78</w:t>
      </w:r>
      <w:r>
        <w:rPr>
          <w:rFonts w:ascii="Times" w:hAnsi="Times"/>
        </w:rPr>
        <w:fldChar w:fldCharType="end"/>
      </w:r>
      <w:r>
        <w:rPr>
          <w:rFonts w:ascii="Times" w:hAnsi="Times"/>
        </w:rPr>
        <w:t xml:space="preserve"> to obtain climate variables for each site. In our model selection, we focused on variables related to growing season length and variability as well as water availability. Specifically, we analyzed mean annual temperature, annual temperature range, mean precipitation (mean annual, and broken down into the wettest and driest quarters), and precipitation seasonality (coefficient of variation of precipitation calculated with the standard deviation across months within a year divided by the annual precipitation, and multiplied by 100).</w:t>
      </w:r>
    </w:p>
    <w:p w14:paraId="3DC5BF21" w14:textId="77777777" w:rsidR="0030211E" w:rsidRDefault="0030211E" w:rsidP="0030211E">
      <w:pPr>
        <w:spacing w:line="360" w:lineRule="auto"/>
      </w:pPr>
      <w:r>
        <w:rPr>
          <w:rFonts w:ascii="Times" w:hAnsi="Times"/>
        </w:rPr>
        <w:tab/>
        <w:t>To integrate water and evaporative demand, we used an Aridity Index</w:t>
      </w:r>
      <w:r>
        <w:rPr>
          <w:rFonts w:ascii="Times" w:hAnsi="Times"/>
        </w:rPr>
        <w:fldChar w:fldCharType="begin" w:fldLock="1"/>
      </w:r>
      <w:r>
        <w:rPr>
          <w:rFonts w:ascii="Times" w:hAnsi="Times"/>
        </w:rPr>
        <w:instrText>ADDIN CSL_CITATION {"citationItems":[{"id":"ITEM-1","itemData":{"ISSN":"1097-0088","author":[{"dropping-particle":"","family":"Hijmans","given":"Robert J","non-dropping-particle":"","parse-names":false,"suffix":""},{"dropping-particle":"","family":"Cameron","given":"Susan E","non-dropping-particle":"","parse-names":false,"suffix":""},{"dropping-particle":"","family":"Parra","given":"Juan L","non-dropping-particle":"","parse-names":false,"suffix":""},{"dropping-particle":"","family":"Jones","given":"Peter G","non-dropping-particle":"","parse-names":false,"suffix":""},{"dropping-particle":"","family":"Jarvis","given":"Andy","non-dropping-particle":"","parse-names":false,"suffix":""}],"container-title":"International journal of climatology","id":"ITEM-1","issue":"15","issued":{"date-parts":[["2005"]]},"page":"1965-1978","title":"Very high resolution interpolated climate surfaces for global land areas","type":"article-journal","volume":"25"},"uris":["http://www.mendeley.com/documents/?uuid=9eaa629a-dac7-31c0-89ce-914bd7117212"]}],"mendeley":{"formattedCitation":"&lt;sup&gt;79&lt;/sup&gt;","plainTextFormattedCitation":"79","previouslyFormattedCitation":"&lt;sup&gt;79&lt;/sup&gt;"},"properties":{"noteIndex":0},"schema":"https://github.com/citation-style-language/schema/raw/master/csl-citation.json"}</w:instrText>
      </w:r>
      <w:r>
        <w:rPr>
          <w:rFonts w:ascii="Times" w:hAnsi="Times"/>
        </w:rPr>
        <w:fldChar w:fldCharType="separate"/>
      </w:r>
      <w:r w:rsidRPr="008333C1">
        <w:rPr>
          <w:rFonts w:ascii="Times" w:hAnsi="Times"/>
          <w:noProof/>
          <w:vertAlign w:val="superscript"/>
        </w:rPr>
        <w:t>79</w:t>
      </w:r>
      <w:r>
        <w:rPr>
          <w:rFonts w:ascii="Times" w:hAnsi="Times"/>
        </w:rPr>
        <w:fldChar w:fldCharType="end"/>
      </w:r>
      <w:r>
        <w:rPr>
          <w:rFonts w:ascii="Times" w:hAnsi="Times"/>
        </w:rPr>
        <w:t xml:space="preserve">. Aridity was calculated from the WorldClim data based on data from </w:t>
      </w:r>
      <w:r>
        <w:t>1950-2000</w:t>
      </w:r>
      <w:r>
        <w:rPr>
          <w:rFonts w:ascii="Times" w:hAnsi="Times"/>
        </w:rPr>
        <w:t xml:space="preserve">. </w:t>
      </w:r>
      <w:r>
        <w:t>The aridity index is given as:</w:t>
      </w:r>
    </w:p>
    <w:p w14:paraId="6642175F" w14:textId="77777777" w:rsidR="0030211E" w:rsidRPr="0056218A" w:rsidRDefault="0030211E" w:rsidP="0030211E">
      <w:pPr>
        <w:spacing w:line="360" w:lineRule="auto"/>
        <w:jc w:val="center"/>
      </w:pPr>
      <w:r>
        <w:t>Aridity Index = (mean annual precipitation) / (mean annual potential evapotranspiration)</w:t>
      </w:r>
    </w:p>
    <w:p w14:paraId="1087952B" w14:textId="77777777" w:rsidR="0030211E" w:rsidRDefault="0030211E" w:rsidP="0030211E">
      <w:pPr>
        <w:spacing w:line="360" w:lineRule="auto"/>
        <w:ind w:firstLine="720"/>
        <w:rPr>
          <w:rFonts w:ascii="Times" w:hAnsi="Times"/>
        </w:rPr>
      </w:pPr>
      <w:r>
        <w:rPr>
          <w:rFonts w:ascii="Times" w:hAnsi="Times"/>
        </w:rPr>
        <w:t>Potential evapotranspiration was calculated via the Hargreaves equation</w:t>
      </w:r>
      <w:r>
        <w:rPr>
          <w:rFonts w:ascii="Times" w:hAnsi="Times"/>
        </w:rPr>
        <w:fldChar w:fldCharType="begin" w:fldLock="1"/>
      </w:r>
      <w:r>
        <w:rPr>
          <w:rFonts w:ascii="Times" w:hAnsi="Times"/>
        </w:rPr>
        <w:instrText>ADDIN CSL_CITATION {"citationItems":[{"id":"ITEM-1","itemData":{"ISSN":"0167-8809","author":[{"dropping-particle":"","family":"Zomer","given":"Robert J","non-dropping-particle":"","parse-names":false,"suffix":""},{"dropping-particle":"","family":"Trabucco","given":"Antonio","non-dropping-particle":"","parse-names":false,"suffix":""},{"dropping-particle":"","family":"Bossio","given":"Deborah A","non-dropping-particle":"","parse-names":false,"suffix":""},{"dropping-particle":"V","family":"Verchot","given":"Louis","non-dropping-particle":"","parse-names":false,"suffix":""}],"container-title":"Agriculture, ecosystems &amp; environment","id":"ITEM-1","issue":"1","issued":{"date-parts":[["2008"]]},"page":"67-80","title":"Climate change mitigation: A spatial analysis of global land suitability for clean development mechanism afforestation and reforestation","type":"article-journal","volume":"126"},"uris":["http://www.mendeley.com/documents/?uuid=03bae809-b6c0-38e1-aec3-1defc87c3061"]}],"mendeley":{"formattedCitation":"&lt;sup&gt;80&lt;/sup&gt;","plainTextFormattedCitation":"80","previouslyFormattedCitation":"&lt;sup&gt;80&lt;/sup&gt;"},"properties":{"noteIndex":0},"schema":"https://github.com/citation-style-language/schema/raw/master/csl-citation.json"}</w:instrText>
      </w:r>
      <w:r>
        <w:rPr>
          <w:rFonts w:ascii="Times" w:hAnsi="Times"/>
        </w:rPr>
        <w:fldChar w:fldCharType="separate"/>
      </w:r>
      <w:r w:rsidRPr="008333C1">
        <w:rPr>
          <w:rFonts w:ascii="Times" w:hAnsi="Times"/>
          <w:noProof/>
          <w:vertAlign w:val="superscript"/>
        </w:rPr>
        <w:t>80</w:t>
      </w:r>
      <w:r>
        <w:rPr>
          <w:rFonts w:ascii="Times" w:hAnsi="Times"/>
        </w:rPr>
        <w:fldChar w:fldCharType="end"/>
      </w:r>
      <w:r>
        <w:rPr>
          <w:rFonts w:ascii="Times" w:hAnsi="Times"/>
        </w:rPr>
        <w:t xml:space="preserve"> (mm per-month) using the WorldClim data as input:</w:t>
      </w:r>
    </w:p>
    <w:p w14:paraId="3C725D8D" w14:textId="77777777" w:rsidR="0030211E" w:rsidRDefault="0030211E" w:rsidP="0030211E">
      <w:pPr>
        <w:spacing w:line="360" w:lineRule="auto"/>
        <w:ind w:firstLine="720"/>
        <w:rPr>
          <w:rFonts w:ascii="Times" w:hAnsi="Times"/>
        </w:rPr>
      </w:pPr>
    </w:p>
    <w:p w14:paraId="0A7BB647" w14:textId="77777777" w:rsidR="0030211E" w:rsidRDefault="0030211E" w:rsidP="0030211E">
      <w:pPr>
        <w:spacing w:line="360" w:lineRule="auto"/>
        <w:jc w:val="center"/>
      </w:pPr>
      <w:r>
        <w:lastRenderedPageBreak/>
        <w:t>PET = 0.0023 * (</w:t>
      </w:r>
      <w:r w:rsidRPr="005C66DC">
        <w:t>extra-terrestrial radiation</w:t>
      </w:r>
      <w:r>
        <w:t>) * (mean temperature + 17.8) * (daily temperature range)^0.5</w:t>
      </w:r>
    </w:p>
    <w:p w14:paraId="470C8348" w14:textId="77777777" w:rsidR="0030211E" w:rsidRDefault="0030211E" w:rsidP="0030211E">
      <w:pPr>
        <w:spacing w:line="360" w:lineRule="auto"/>
      </w:pPr>
      <w:r>
        <w:t>We divided the index by 10000.</w:t>
      </w:r>
    </w:p>
    <w:p w14:paraId="4615318E" w14:textId="77777777" w:rsidR="0030211E" w:rsidRDefault="0030211E" w:rsidP="0030211E">
      <w:pPr>
        <w:spacing w:line="360" w:lineRule="auto"/>
      </w:pPr>
    </w:p>
    <w:p w14:paraId="361AEA9B" w14:textId="77777777" w:rsidR="0030211E" w:rsidRDefault="0030211E" w:rsidP="0030211E">
      <w:pPr>
        <w:spacing w:line="360" w:lineRule="auto"/>
      </w:pPr>
      <w:r>
        <w:t>Aridity classes are calculated from the UNEP World atlas of desertification, 2</w:t>
      </w:r>
      <w:r w:rsidRPr="00173CB6">
        <w:rPr>
          <w:vertAlign w:val="superscript"/>
        </w:rPr>
        <w:t>nd</w:t>
      </w:r>
      <w:r>
        <w:t xml:space="preserve"> addition. Arid and semi-arid: 0&lt;AI</w:t>
      </w:r>
      <m:oMath>
        <m:r>
          <w:rPr>
            <w:rFonts w:ascii="Cambria Math" w:hAnsi="Cambria Math"/>
          </w:rPr>
          <m:t>≤</m:t>
        </m:r>
      </m:oMath>
      <w:r>
        <w:t>0.5; dry sub-humid: 0.5&lt;AI</w:t>
      </w:r>
      <m:oMath>
        <m:r>
          <w:rPr>
            <w:rFonts w:ascii="Cambria Math" w:hAnsi="Cambria Math"/>
          </w:rPr>
          <m:t>≤</m:t>
        </m:r>
      </m:oMath>
      <w:r>
        <w:t>0.65; humid: 0.65&lt;AI</w:t>
      </w:r>
      <m:oMath>
        <m:r>
          <w:rPr>
            <w:rFonts w:ascii="Cambria Math" w:hAnsi="Cambria Math"/>
          </w:rPr>
          <m:t>≤</m:t>
        </m:r>
      </m:oMath>
      <w:r>
        <w:t>0.75; hyper-humid: AI&gt;0.75</w:t>
      </w:r>
    </w:p>
    <w:p w14:paraId="41A703DE" w14:textId="77777777" w:rsidR="0030211E" w:rsidRDefault="0030211E" w:rsidP="0030211E">
      <w:pPr>
        <w:spacing w:line="360" w:lineRule="auto"/>
        <w:rPr>
          <w:rFonts w:ascii="Times" w:hAnsi="Times"/>
          <w:i/>
          <w:iCs/>
        </w:rPr>
      </w:pPr>
    </w:p>
    <w:p w14:paraId="3F4C2108" w14:textId="77777777" w:rsidR="0030211E" w:rsidRPr="00C34364" w:rsidRDefault="0030211E" w:rsidP="0030211E">
      <w:pPr>
        <w:spacing w:line="360" w:lineRule="auto"/>
        <w:rPr>
          <w:rFonts w:ascii="Times" w:hAnsi="Times"/>
          <w:i/>
          <w:iCs/>
        </w:rPr>
      </w:pPr>
      <w:r>
        <w:rPr>
          <w:rFonts w:ascii="Times" w:hAnsi="Times"/>
          <w:i/>
          <w:iCs/>
        </w:rPr>
        <w:t xml:space="preserve">1e. </w:t>
      </w:r>
      <w:r>
        <w:rPr>
          <w:rFonts w:ascii="Times" w:hAnsi="Times"/>
          <w:i/>
          <w:iCs/>
        </w:rPr>
        <w:tab/>
      </w:r>
      <w:r w:rsidRPr="00C34364">
        <w:rPr>
          <w:rFonts w:ascii="Times" w:hAnsi="Times"/>
          <w:i/>
          <w:iCs/>
        </w:rPr>
        <w:t>Imputed standard deviations</w:t>
      </w:r>
    </w:p>
    <w:p w14:paraId="669C1163" w14:textId="77777777" w:rsidR="0030211E" w:rsidRPr="00C34364" w:rsidRDefault="0030211E" w:rsidP="0030211E">
      <w:pPr>
        <w:spacing w:line="360" w:lineRule="auto"/>
        <w:rPr>
          <w:rFonts w:ascii="Times" w:hAnsi="Times"/>
        </w:rPr>
      </w:pPr>
      <w:r>
        <w:rPr>
          <w:rFonts w:ascii="Times" w:hAnsi="Times"/>
        </w:rPr>
        <w:t>For nine of the sites, we imputed</w:t>
      </w:r>
      <w:r w:rsidRPr="00C34364">
        <w:rPr>
          <w:rFonts w:ascii="Times" w:hAnsi="Times"/>
        </w:rPr>
        <w:t xml:space="preserve"> standard deviations.</w:t>
      </w:r>
      <w:r>
        <w:rPr>
          <w:rFonts w:ascii="Times" w:hAnsi="Times"/>
        </w:rPr>
        <w:t xml:space="preserve"> We did this by first calculating the co-efficient of variation across all the sites with reported standard deviations and then multiplying the coefficient of variation by the mean for the sites being imputed. </w:t>
      </w:r>
      <w:r w:rsidRPr="00C34364">
        <w:rPr>
          <w:rFonts w:ascii="Times" w:hAnsi="Times"/>
        </w:rPr>
        <w:t xml:space="preserve"> Imputing </w:t>
      </w:r>
      <w:r>
        <w:rPr>
          <w:rFonts w:ascii="Times" w:hAnsi="Times"/>
        </w:rPr>
        <w:t>standard deviations</w:t>
      </w:r>
      <w:r w:rsidRPr="00C34364">
        <w:rPr>
          <w:rFonts w:ascii="Times" w:hAnsi="Times"/>
        </w:rPr>
        <w:t xml:space="preserve"> using values </w:t>
      </w:r>
      <w:r>
        <w:rPr>
          <w:rFonts w:ascii="Times" w:hAnsi="Times"/>
        </w:rPr>
        <w:t xml:space="preserve">from studies included </w:t>
      </w:r>
      <w:r w:rsidRPr="00C34364">
        <w:rPr>
          <w:rFonts w:ascii="Times" w:hAnsi="Times"/>
        </w:rPr>
        <w:t xml:space="preserve">within the meta-analysis </w:t>
      </w:r>
      <w:r>
        <w:rPr>
          <w:rFonts w:ascii="Times" w:hAnsi="Times"/>
        </w:rPr>
        <w:t>has been shown to be</w:t>
      </w:r>
      <w:r w:rsidRPr="00C34364">
        <w:rPr>
          <w:rFonts w:ascii="Times" w:hAnsi="Times"/>
        </w:rPr>
        <w:t xml:space="preserve"> the most accurate</w:t>
      </w:r>
      <w:r w:rsidRPr="00C34364">
        <w:rPr>
          <w:rFonts w:ascii="Times" w:hAnsi="Times"/>
        </w:rPr>
        <w:fldChar w:fldCharType="begin" w:fldLock="1"/>
      </w:r>
      <w:r>
        <w:rPr>
          <w:rFonts w:ascii="Times" w:hAnsi="Times"/>
        </w:rPr>
        <w:instrText>ADDIN CSL_CITATION {"citationItems":[{"id":"ITEM-1","itemData":{"ISSN":"0733-9437","author":[{"dropping-particle":"","family":"Hargreaves","given":"G Leo","non-dropping-particle":"","parse-names":false,"suffix":""},{"dropping-particle":"","family":"Hargreaves","given":"George H","non-dropping-particle":"","parse-names":false,"suffix":""},{"dropping-particle":"","family":"Riley","given":"J Paul","non-dropping-particle":"","parse-names":false,"suffix":""}],"container-title":"Journal of Irrigation and Drainage Engineering","id":"ITEM-1","issue":"3","issued":{"date-parts":[["1985"]]},"page":"265-275","title":"Irrigation water requirements for Senegal River basin","type":"article-journal","volume":"111"},"uris":["http://www.mendeley.com/documents/?uuid=0d54d0d4-fcc8-3e66-808f-5e3f971c378f"]}],"mendeley":{"formattedCitation":"&lt;sup&gt;81&lt;/sup&gt;","plainTextFormattedCitation":"81","previouslyFormattedCitation":"&lt;sup&gt;81&lt;/sup&gt;"},"properties":{"noteIndex":0},"schema":"https://github.com/citation-style-language/schema/raw/master/csl-citation.json"}</w:instrText>
      </w:r>
      <w:r w:rsidRPr="00C34364">
        <w:rPr>
          <w:rFonts w:ascii="Times" w:hAnsi="Times"/>
        </w:rPr>
        <w:fldChar w:fldCharType="separate"/>
      </w:r>
      <w:r w:rsidRPr="008333C1">
        <w:rPr>
          <w:rFonts w:ascii="Times" w:hAnsi="Times"/>
          <w:noProof/>
          <w:vertAlign w:val="superscript"/>
        </w:rPr>
        <w:t>81</w:t>
      </w:r>
      <w:r w:rsidRPr="00C34364">
        <w:rPr>
          <w:rFonts w:ascii="Times" w:hAnsi="Times"/>
        </w:rPr>
        <w:fldChar w:fldCharType="end"/>
      </w:r>
    </w:p>
    <w:p w14:paraId="0C53E8DF" w14:textId="77777777" w:rsidR="0030211E" w:rsidRDefault="0030211E" w:rsidP="0030211E">
      <w:pPr>
        <w:spacing w:line="360" w:lineRule="auto"/>
        <w:rPr>
          <w:rFonts w:ascii="Times" w:hAnsi="Times"/>
        </w:rPr>
      </w:pPr>
    </w:p>
    <w:p w14:paraId="0A1967B1" w14:textId="77777777" w:rsidR="0030211E" w:rsidRDefault="0030211E" w:rsidP="0030211E">
      <w:pPr>
        <w:spacing w:line="360" w:lineRule="auto"/>
        <w:rPr>
          <w:rFonts w:ascii="Times" w:hAnsi="Times"/>
          <w:i/>
          <w:iCs/>
        </w:rPr>
      </w:pPr>
      <w:r>
        <w:rPr>
          <w:rFonts w:ascii="Times" w:hAnsi="Times"/>
          <w:i/>
          <w:iCs/>
        </w:rPr>
        <w:t xml:space="preserve">1f. </w:t>
      </w:r>
      <w:r>
        <w:rPr>
          <w:rFonts w:ascii="Times" w:hAnsi="Times"/>
          <w:i/>
          <w:iCs/>
        </w:rPr>
        <w:tab/>
        <w:t>Meta-analysis statistics</w:t>
      </w:r>
    </w:p>
    <w:p w14:paraId="0BAB9904" w14:textId="77777777" w:rsidR="0030211E" w:rsidRDefault="0030211E" w:rsidP="0030211E">
      <w:pPr>
        <w:spacing w:line="360" w:lineRule="auto"/>
        <w:rPr>
          <w:rFonts w:ascii="Times" w:hAnsi="Times"/>
        </w:rPr>
      </w:pPr>
      <w:r>
        <w:rPr>
          <w:rFonts w:ascii="Times" w:hAnsi="Times"/>
        </w:rPr>
        <w:t xml:space="preserve">All statistics were run in R </w:t>
      </w:r>
      <w:r>
        <w:rPr>
          <w:rFonts w:ascii="Times" w:hAnsi="Times"/>
        </w:rPr>
        <w:fldChar w:fldCharType="begin" w:fldLock="1"/>
      </w:r>
      <w:r>
        <w:rPr>
          <w:rFonts w:ascii="Times" w:hAnsi="Times"/>
        </w:rPr>
        <w:instrText>ADDIN CSL_CITATION {"citationItems":[{"id":"ITEM-1","itemData":{"DOI":"10.1016/j.jclinepi.2005.06.006","ISSN":"08954356","abstract":"Background and Objectives: Many reports of randomized controlled trials (RCTs) fail to provide standard deviations (SDs) of their continuous outcome measures. Some meta-analysts substitute them by those reported in other studies, either from another meta-analysis or from other studies in the same meta-analysis. But the validity of such practices has never been empirically examined. Methods: We compared the actual standardized mean difference (SMD) of individual RCTs and the meta-analytically pooled SMD of all RCTs against those based on the above-mentioned two imputation methods in two meta-analyses of antidepressants. Results: Two meta-analyses included 39 RCTs of fluoxetine (n = 3,681) and 25 RCTs of amitriptyline (n = 1,832), which had actually reported means and SDs of the Hamilton Rating Scale for Depression. According to either of the two proposed imputation methods, the agreement between actual SMDs and imputed SMDs for individual RCTs was very good with ANOVA intraclass correlation coefficients between 0.61 and 0.97. The agreement between the actual pooled SMD and the imputed one was even better, with minimal differences in both their point estimates and 95% confidence intervals. Conclusion: For a systematic review where some of the identified trials do not report SDs, it appears safe to borrow SDs from other studies. © 2006 Elsevier Inc. All rights reserved.","author":[{"dropping-particle":"","family":"Furukawa","given":"Toshi A.","non-dropping-particle":"","parse-names":false,"suffix":""},{"dropping-particle":"","family":"Barbui","given":"Corrado","non-dropping-particle":"","parse-names":false,"suffix":""},{"dropping-particle":"","family":"Cipriani","given":"Andrea","non-dropping-particle":"","parse-names":false,"suffix":""},{"dropping-particle":"","family":"Brambilla","given":"Paolo","non-dropping-particle":"","parse-names":false,"suffix":""},{"dropping-particle":"","family":"Watanabe","given":"Norio","non-dropping-particle":"","parse-names":false,"suffix":""}],"container-title":"Journal of Clinical Epidemiology","id":"ITEM-1","issue":"1","issued":{"date-parts":[["2006","1","1"]]},"page":"7-10","title":"Imputing missing standard deviations in meta-analyses can provide accurate results","type":"article-journal","volume":"59"},"uris":["http://www.mendeley.com/documents/?uuid=1e0260c3-2503-4de5-86fa-a91cfa054cb1"]}],"mendeley":{"formattedCitation":"&lt;sup&gt;82&lt;/sup&gt;","plainTextFormattedCitation":"82","previouslyFormattedCitation":"&lt;sup&gt;82&lt;/sup&gt;"},"properties":{"noteIndex":0},"schema":"https://github.com/citation-style-language/schema/raw/master/csl-citation.json"}</w:instrText>
      </w:r>
      <w:r>
        <w:rPr>
          <w:rFonts w:ascii="Times" w:hAnsi="Times"/>
        </w:rPr>
        <w:fldChar w:fldCharType="separate"/>
      </w:r>
      <w:r w:rsidRPr="008333C1">
        <w:rPr>
          <w:rFonts w:ascii="Times" w:hAnsi="Times"/>
          <w:noProof/>
          <w:vertAlign w:val="superscript"/>
        </w:rPr>
        <w:t>82</w:t>
      </w:r>
      <w:r>
        <w:rPr>
          <w:rFonts w:ascii="Times" w:hAnsi="Times"/>
        </w:rPr>
        <w:fldChar w:fldCharType="end"/>
      </w:r>
      <w:r>
        <w:rPr>
          <w:rFonts w:ascii="Times" w:hAnsi="Times"/>
        </w:rPr>
        <w:t xml:space="preserve">. We calculated log response ratios on soil C concentrations in the high frequency plots divided by the concentrations in the unburned plots. </w:t>
      </w:r>
    </w:p>
    <w:p w14:paraId="5119EC45" w14:textId="77777777" w:rsidR="0030211E" w:rsidRDefault="0030211E" w:rsidP="0030211E">
      <w:pPr>
        <w:spacing w:line="360" w:lineRule="auto"/>
        <w:rPr>
          <w:rFonts w:ascii="Times" w:hAnsi="Times"/>
        </w:rPr>
      </w:pPr>
      <m:oMathPara>
        <m:oMath>
          <m:r>
            <w:rPr>
              <w:rFonts w:ascii="Cambria Math" w:hAnsi="Cambria Math"/>
            </w:rPr>
            <m:t>R</m:t>
          </m:r>
          <m:sSub>
            <m:sSubPr>
              <m:ctrlPr>
                <w:rPr>
                  <w:rFonts w:ascii="Cambria Math" w:hAnsi="Cambria Math"/>
                  <w:i/>
                </w:rPr>
              </m:ctrlPr>
            </m:sSubPr>
            <m:e>
              <m:r>
                <w:rPr>
                  <w:rFonts w:ascii="Cambria Math" w:hAnsi="Cambria Math"/>
                </w:rPr>
                <m:t>R</m:t>
              </m:r>
            </m:e>
            <m:sub>
              <m:r>
                <w:rPr>
                  <w:rFonts w:ascii="Cambria Math" w:hAnsi="Cambria Math"/>
                </w:rPr>
                <m:t>site1</m:t>
              </m:r>
            </m:sub>
          </m:sSub>
          <m:r>
            <w:rPr>
              <w:rFonts w:ascii="Cambria Math" w:hAnsi="Cambria Math"/>
            </w:rPr>
            <m:t>=</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μ</m:t>
                          </m:r>
                        </m:e>
                        <m:sub>
                          <m:r>
                            <w:rPr>
                              <w:rFonts w:ascii="Cambria Math" w:hAnsi="Cambria Math"/>
                            </w:rPr>
                            <m:t>burn</m:t>
                          </m:r>
                        </m:sub>
                      </m:sSub>
                    </m:num>
                    <m:den>
                      <m:sSub>
                        <m:sSubPr>
                          <m:ctrlPr>
                            <w:rPr>
                              <w:rFonts w:ascii="Cambria Math" w:hAnsi="Cambria Math"/>
                              <w:i/>
                            </w:rPr>
                          </m:ctrlPr>
                        </m:sSubPr>
                        <m:e>
                          <m:r>
                            <w:rPr>
                              <w:rFonts w:ascii="Cambria Math" w:hAnsi="Cambria Math"/>
                            </w:rPr>
                            <m:t>μ</m:t>
                          </m:r>
                        </m:e>
                        <m:sub>
                          <m:r>
                            <w:rPr>
                              <w:rFonts w:ascii="Cambria Math" w:hAnsi="Cambria Math"/>
                            </w:rPr>
                            <m:t>unb</m:t>
                          </m:r>
                        </m:sub>
                      </m:sSub>
                    </m:den>
                  </m:f>
                </m:e>
              </m:d>
            </m:e>
          </m:func>
        </m:oMath>
      </m:oMathPara>
    </w:p>
    <w:p w14:paraId="6A89E749" w14:textId="77777777" w:rsidR="0030211E" w:rsidRDefault="0030211E" w:rsidP="0030211E">
      <w:pPr>
        <w:spacing w:line="360" w:lineRule="auto"/>
        <w:rPr>
          <w:rFonts w:ascii="Times" w:hAnsi="Times"/>
        </w:rPr>
      </w:pPr>
      <w:r>
        <w:rPr>
          <w:rFonts w:ascii="Times" w:hAnsi="Times"/>
        </w:rPr>
        <w:t>To determine variable weights, we used the inverse of the variance within a site. We calculated the variance within each site by combining the variance (</w:t>
      </w:r>
      <m:oMath>
        <m:r>
          <w:rPr>
            <w:rFonts w:ascii="Cambria Math" w:hAnsi="Cambria Math"/>
          </w:rPr>
          <m:t>σ</m:t>
        </m:r>
      </m:oMath>
      <w:r>
        <w:rPr>
          <w:rFonts w:ascii="Times" w:eastAsiaTheme="minorEastAsia" w:hAnsi="Times"/>
        </w:rPr>
        <w:t>)</w:t>
      </w:r>
      <w:r>
        <w:rPr>
          <w:rFonts w:ascii="Times" w:hAnsi="Times"/>
        </w:rPr>
        <w:t>, sample size (n), and sample means (</w:t>
      </w:r>
      <m:oMath>
        <m:r>
          <w:rPr>
            <w:rFonts w:ascii="Cambria Math" w:hAnsi="Cambria Math"/>
          </w:rPr>
          <m:t>μ</m:t>
        </m:r>
      </m:oMath>
      <w:r>
        <w:rPr>
          <w:rFonts w:ascii="Times" w:hAnsi="Times"/>
        </w:rPr>
        <w:t>) for each site.</w:t>
      </w:r>
    </w:p>
    <w:p w14:paraId="477ABBA7" w14:textId="77777777" w:rsidR="0030211E" w:rsidRDefault="0030211E" w:rsidP="0030211E">
      <w:pPr>
        <w:spacing w:line="360" w:lineRule="auto"/>
        <w:rPr>
          <w:rFonts w:ascii="Times" w:hAnsi="Times"/>
        </w:rPr>
      </w:pPr>
      <m:oMathPara>
        <m:oMath>
          <m:r>
            <w:rPr>
              <w:rFonts w:ascii="Cambria Math" w:hAnsi="Cambria Math"/>
            </w:rPr>
            <m:t>va</m:t>
          </m:r>
          <m:sSub>
            <m:sSubPr>
              <m:ctrlPr>
                <w:rPr>
                  <w:rFonts w:ascii="Cambria Math" w:hAnsi="Cambria Math"/>
                  <w:i/>
                </w:rPr>
              </m:ctrlPr>
            </m:sSubPr>
            <m:e>
              <m:r>
                <w:rPr>
                  <w:rFonts w:ascii="Cambria Math" w:hAnsi="Cambria Math"/>
                </w:rPr>
                <m:t>r</m:t>
              </m:r>
            </m:e>
            <m:sub>
              <m:r>
                <w:rPr>
                  <w:rFonts w:ascii="Cambria Math" w:hAnsi="Cambria Math"/>
                </w:rPr>
                <m:t>site1</m:t>
              </m:r>
            </m:sub>
          </m:sSub>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σ</m:t>
                  </m:r>
                </m:e>
                <m:sub>
                  <m:r>
                    <w:rPr>
                      <w:rFonts w:ascii="Cambria Math" w:hAnsi="Cambria Math"/>
                    </w:rPr>
                    <m:t>burn</m:t>
                  </m:r>
                </m:sub>
                <m:sup>
                  <m:r>
                    <w:rPr>
                      <w:rFonts w:ascii="Cambria Math" w:hAnsi="Cambria Math"/>
                    </w:rPr>
                    <m:t>2</m:t>
                  </m:r>
                </m:sup>
              </m:sSubSup>
            </m:num>
            <m:den>
              <m:sSub>
                <m:sSubPr>
                  <m:ctrlPr>
                    <w:rPr>
                      <w:rFonts w:ascii="Cambria Math" w:hAnsi="Cambria Math"/>
                      <w:i/>
                    </w:rPr>
                  </m:ctrlPr>
                </m:sSubPr>
                <m:e>
                  <m:r>
                    <w:rPr>
                      <w:rFonts w:ascii="Cambria Math" w:hAnsi="Cambria Math"/>
                    </w:rPr>
                    <m:t>n</m:t>
                  </m:r>
                </m:e>
                <m:sub>
                  <m:r>
                    <w:rPr>
                      <w:rFonts w:ascii="Cambria Math" w:hAnsi="Cambria Math"/>
                    </w:rPr>
                    <m:t>burn</m:t>
                  </m:r>
                </m:sub>
              </m:sSub>
              <m:sSubSup>
                <m:sSubSupPr>
                  <m:ctrlPr>
                    <w:rPr>
                      <w:rFonts w:ascii="Cambria Math" w:hAnsi="Cambria Math"/>
                      <w:i/>
                    </w:rPr>
                  </m:ctrlPr>
                </m:sSubSupPr>
                <m:e>
                  <m:r>
                    <w:rPr>
                      <w:rFonts w:ascii="Cambria Math" w:hAnsi="Cambria Math"/>
                    </w:rPr>
                    <m:t>μ</m:t>
                  </m:r>
                </m:e>
                <m:sub>
                  <m:r>
                    <w:rPr>
                      <w:rFonts w:ascii="Cambria Math" w:hAnsi="Cambria Math"/>
                    </w:rPr>
                    <m:t>burn</m:t>
                  </m:r>
                </m:sub>
                <m:sup>
                  <m:r>
                    <w:rPr>
                      <w:rFonts w:ascii="Cambria Math" w:hAnsi="Cambria Math"/>
                    </w:rPr>
                    <m:t>2</m:t>
                  </m:r>
                </m:sup>
              </m:sSubSup>
            </m:den>
          </m:f>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σ</m:t>
                  </m:r>
                </m:e>
                <m:sub>
                  <m:r>
                    <w:rPr>
                      <w:rFonts w:ascii="Cambria Math" w:hAnsi="Cambria Math"/>
                    </w:rPr>
                    <m:t>unb</m:t>
                  </m:r>
                </m:sub>
                <m:sup>
                  <m:r>
                    <w:rPr>
                      <w:rFonts w:ascii="Cambria Math" w:hAnsi="Cambria Math"/>
                    </w:rPr>
                    <m:t>2</m:t>
                  </m:r>
                </m:sup>
              </m:sSubSup>
            </m:num>
            <m:den>
              <m:sSub>
                <m:sSubPr>
                  <m:ctrlPr>
                    <w:rPr>
                      <w:rFonts w:ascii="Cambria Math" w:hAnsi="Cambria Math"/>
                      <w:i/>
                    </w:rPr>
                  </m:ctrlPr>
                </m:sSubPr>
                <m:e>
                  <m:r>
                    <w:rPr>
                      <w:rFonts w:ascii="Cambria Math" w:hAnsi="Cambria Math"/>
                    </w:rPr>
                    <m:t>n</m:t>
                  </m:r>
                </m:e>
                <m:sub>
                  <m:r>
                    <w:rPr>
                      <w:rFonts w:ascii="Cambria Math" w:hAnsi="Cambria Math"/>
                    </w:rPr>
                    <m:t>unb</m:t>
                  </m:r>
                </m:sub>
              </m:sSub>
              <m:sSubSup>
                <m:sSubSupPr>
                  <m:ctrlPr>
                    <w:rPr>
                      <w:rFonts w:ascii="Cambria Math" w:hAnsi="Cambria Math"/>
                      <w:i/>
                    </w:rPr>
                  </m:ctrlPr>
                </m:sSubSupPr>
                <m:e>
                  <m:r>
                    <w:rPr>
                      <w:rFonts w:ascii="Cambria Math" w:hAnsi="Cambria Math"/>
                    </w:rPr>
                    <m:t>μ</m:t>
                  </m:r>
                </m:e>
                <m:sub>
                  <m:r>
                    <w:rPr>
                      <w:rFonts w:ascii="Cambria Math" w:hAnsi="Cambria Math"/>
                    </w:rPr>
                    <m:t>unb</m:t>
                  </m:r>
                </m:sub>
                <m:sup>
                  <m:r>
                    <w:rPr>
                      <w:rFonts w:ascii="Cambria Math" w:hAnsi="Cambria Math"/>
                    </w:rPr>
                    <m:t>2</m:t>
                  </m:r>
                </m:sup>
              </m:sSubSup>
            </m:den>
          </m:f>
        </m:oMath>
      </m:oMathPara>
    </w:p>
    <w:p w14:paraId="4A7DD13B" w14:textId="77777777" w:rsidR="0030211E" w:rsidRDefault="0030211E" w:rsidP="0030211E">
      <w:pPr>
        <w:spacing w:line="360" w:lineRule="auto"/>
        <w:rPr>
          <w:rFonts w:ascii="Times" w:hAnsi="Times"/>
        </w:rPr>
      </w:pPr>
      <w:r>
        <w:rPr>
          <w:rFonts w:ascii="Times" w:hAnsi="Times"/>
        </w:rPr>
        <w:t>We then calculated the overall effects, 95% confidence intervals, and their significance using m</w:t>
      </w:r>
      <w:r w:rsidRPr="00C6476A">
        <w:rPr>
          <w:rFonts w:ascii="Times" w:hAnsi="Times"/>
        </w:rPr>
        <w:t xml:space="preserve">ultivariate </w:t>
      </w:r>
      <w:r>
        <w:rPr>
          <w:rFonts w:ascii="Times" w:hAnsi="Times"/>
        </w:rPr>
        <w:t>m</w:t>
      </w:r>
      <w:r w:rsidRPr="00C6476A">
        <w:rPr>
          <w:rFonts w:ascii="Times" w:hAnsi="Times"/>
        </w:rPr>
        <w:t>eta-</w:t>
      </w:r>
      <w:r>
        <w:rPr>
          <w:rFonts w:ascii="Times" w:hAnsi="Times"/>
        </w:rPr>
        <w:t>a</w:t>
      </w:r>
      <w:r w:rsidRPr="00C6476A">
        <w:rPr>
          <w:rFonts w:ascii="Times" w:hAnsi="Times"/>
        </w:rPr>
        <w:t xml:space="preserve">nalysis </w:t>
      </w:r>
      <w:r>
        <w:rPr>
          <w:rFonts w:ascii="Times" w:hAnsi="Times"/>
        </w:rPr>
        <w:t>m</w:t>
      </w:r>
      <w:r w:rsidRPr="00C6476A">
        <w:rPr>
          <w:rFonts w:ascii="Times" w:hAnsi="Times"/>
        </w:rPr>
        <w:t>odel</w:t>
      </w:r>
      <w:r>
        <w:rPr>
          <w:rFonts w:ascii="Times" w:hAnsi="Times"/>
        </w:rPr>
        <w:t>s (</w:t>
      </w:r>
      <w:r w:rsidRPr="002E12A0">
        <w:rPr>
          <w:rFonts w:ascii="Times" w:hAnsi="Times"/>
          <w:i/>
          <w:iCs/>
        </w:rPr>
        <w:t>rma.mv</w:t>
      </w:r>
      <w:r>
        <w:rPr>
          <w:rFonts w:ascii="Times" w:hAnsi="Times"/>
        </w:rPr>
        <w:t xml:space="preserve">) in the </w:t>
      </w:r>
      <w:r>
        <w:rPr>
          <w:rFonts w:ascii="Times" w:hAnsi="Times"/>
          <w:i/>
          <w:iCs/>
        </w:rPr>
        <w:t xml:space="preserve">metaphor </w:t>
      </w:r>
      <w:r w:rsidRPr="001317B7">
        <w:rPr>
          <w:rFonts w:ascii="Times" w:hAnsi="Times"/>
        </w:rPr>
        <w:t>package</w:t>
      </w:r>
      <w:r>
        <w:rPr>
          <w:rFonts w:ascii="Times" w:hAnsi="Times"/>
        </w:rPr>
        <w:fldChar w:fldCharType="begin" w:fldLock="1"/>
      </w:r>
      <w:r>
        <w:rPr>
          <w:rFonts w:ascii="Times" w:hAnsi="Times"/>
        </w:rPr>
        <w:instrText>ADDIN CSL_CITATION {"citationItems":[{"id":"ITEM-1","itemData":{"author":[{"dropping-particle":"","family":"R Development Core Team","given":"","non-dropping-particle":"","parse-names":false,"suffix":""}],"id":"ITEM-1","issued":{"date-parts":[["2010"]]},"publisher":"R Foundation for Statistical Computing","publisher-place":"Vienna, Austria","title":"R: A language and environment for statistical computing","type":"article"},"uris":["http://www.mendeley.com/documents/?uuid=6f2694e2-57e0-42a3-9602-785fddc2f5be"]}],"mendeley":{"formattedCitation":"&lt;sup&gt;83&lt;/sup&gt;","plainTextFormattedCitation":"83","previouslyFormattedCitation":"&lt;sup&gt;83&lt;/sup&gt;"},"properties":{"noteIndex":0},"schema":"https://github.com/citation-style-language/schema/raw/master/csl-citation.json"}</w:instrText>
      </w:r>
      <w:r>
        <w:rPr>
          <w:rFonts w:ascii="Times" w:hAnsi="Times"/>
        </w:rPr>
        <w:fldChar w:fldCharType="separate"/>
      </w:r>
      <w:r w:rsidRPr="008333C1">
        <w:rPr>
          <w:rFonts w:ascii="Times" w:hAnsi="Times"/>
          <w:noProof/>
          <w:vertAlign w:val="superscript"/>
        </w:rPr>
        <w:t>83</w:t>
      </w:r>
      <w:r>
        <w:rPr>
          <w:rFonts w:ascii="Times" w:hAnsi="Times"/>
        </w:rPr>
        <w:fldChar w:fldCharType="end"/>
      </w:r>
      <w:r>
        <w:rPr>
          <w:rFonts w:ascii="Times" w:hAnsi="Times"/>
        </w:rPr>
        <w:t>.</w:t>
      </w:r>
    </w:p>
    <w:p w14:paraId="57D09CEC" w14:textId="77777777" w:rsidR="0030211E" w:rsidRDefault="0030211E" w:rsidP="0030211E">
      <w:pPr>
        <w:spacing w:line="360" w:lineRule="auto"/>
        <w:ind w:firstLine="720"/>
        <w:rPr>
          <w:rFonts w:ascii="Times" w:hAnsi="Times"/>
        </w:rPr>
      </w:pPr>
      <w:r>
        <w:rPr>
          <w:rFonts w:ascii="Times" w:hAnsi="Times"/>
        </w:rPr>
        <w:t xml:space="preserve">To evaluate the important predictors of fire effects on soil C, we performed model selection on linear meta-analysis models using the </w:t>
      </w:r>
      <w:r>
        <w:rPr>
          <w:rFonts w:ascii="Times" w:hAnsi="Times"/>
          <w:i/>
          <w:iCs/>
        </w:rPr>
        <w:t>g</w:t>
      </w:r>
      <w:r w:rsidRPr="001317B7">
        <w:rPr>
          <w:rFonts w:ascii="Times" w:hAnsi="Times"/>
          <w:i/>
          <w:iCs/>
        </w:rPr>
        <w:t>lmulti</w:t>
      </w:r>
      <w:r>
        <w:rPr>
          <w:rFonts w:ascii="Times" w:hAnsi="Times"/>
        </w:rPr>
        <w:t xml:space="preserve"> </w:t>
      </w:r>
      <w:r w:rsidRPr="001317B7">
        <w:rPr>
          <w:rFonts w:ascii="Times" w:hAnsi="Times"/>
        </w:rPr>
        <w:t>package</w:t>
      </w:r>
      <w:r>
        <w:rPr>
          <w:rFonts w:ascii="Times" w:hAnsi="Times"/>
        </w:rPr>
        <w:fldChar w:fldCharType="begin" w:fldLock="1"/>
      </w:r>
      <w:r>
        <w:rPr>
          <w:rFonts w:ascii="Times" w:hAnsi="Times"/>
        </w:rPr>
        <w:instrText>ADDIN CSL_CITATION {"citationItems":[{"id":"ITEM-1","itemData":{"author":[{"dropping-particle":"","family":"Viechtbauer","given":"Wolfgang","non-dropping-particle":"","parse-names":false,"suffix":""}],"container-title":"J Stat Softw","id":"ITEM-1","issue":"3","issued":{"date-parts":[["2010"]]},"page":"1-48","title":"Conducting meta-analyses in R with the metafor package","type":"article-journal","volume":"36"},"uris":["http://www.mendeley.com/documents/?uuid=1d32bb56-f492-46db-8e21-9d59209176f4"]}],"mendeley":{"formattedCitation":"&lt;sup&gt;84&lt;/sup&gt;","plainTextFormattedCitation":"84","previouslyFormattedCitation":"&lt;sup&gt;84&lt;/sup&gt;"},"properties":{"noteIndex":0},"schema":"https://github.com/citation-style-language/schema/raw/master/csl-citation.json"}</w:instrText>
      </w:r>
      <w:r>
        <w:rPr>
          <w:rFonts w:ascii="Times" w:hAnsi="Times"/>
        </w:rPr>
        <w:fldChar w:fldCharType="separate"/>
      </w:r>
      <w:r w:rsidRPr="008333C1">
        <w:rPr>
          <w:rFonts w:ascii="Times" w:hAnsi="Times"/>
          <w:noProof/>
          <w:vertAlign w:val="superscript"/>
        </w:rPr>
        <w:t>84</w:t>
      </w:r>
      <w:r>
        <w:rPr>
          <w:rFonts w:ascii="Times" w:hAnsi="Times"/>
        </w:rPr>
        <w:fldChar w:fldCharType="end"/>
      </w:r>
      <w:r>
        <w:rPr>
          <w:rFonts w:ascii="Times" w:hAnsi="Times"/>
        </w:rPr>
        <w:t xml:space="preserve"> with the log response ratio as the predicted variable and environmental variables as the predictor variables. Models were fit using maximum likelihood estimation. For this analysis we only considered first-order effects and not interactions between environmental variables. To evaluate the top model, we first </w:t>
      </w:r>
      <w:r>
        <w:rPr>
          <w:rFonts w:ascii="Times" w:hAnsi="Times"/>
        </w:rPr>
        <w:lastRenderedPageBreak/>
        <w:t>extracted the models with the lowest corrected Akaike Information Criterion within a value of 2. We calculated variable importance by summing the weights of the models that the variable occurred in. Sometimes a cutoff of 0.8 is used to delineate important vs. unimportant variables. Here, however, the top model contained several variables that were not above this cutoff, making it less straightforward to evaluate whether a variable was important. Consequently, we tested for variable significance in the top model (which included the variables that had an importance &lt;0.80), which is reported in the main text. We allowed for aridity and precipitation to both be in the top model because they had a relatively low Pearson correlation coefficient (</w:t>
      </w:r>
      <m:oMath>
        <m:r>
          <w:rPr>
            <w:rFonts w:ascii="Cambria Math" w:hAnsi="Cambria Math"/>
          </w:rPr>
          <m:t>σ</m:t>
        </m:r>
      </m:oMath>
      <w:r>
        <w:rPr>
          <w:rFonts w:ascii="Times" w:eastAsiaTheme="minorEastAsia" w:hAnsi="Times"/>
        </w:rPr>
        <w:t>=0.34).</w:t>
      </w:r>
    </w:p>
    <w:p w14:paraId="7920F76D" w14:textId="77777777" w:rsidR="0030211E" w:rsidRDefault="0030211E" w:rsidP="0030211E">
      <w:pPr>
        <w:spacing w:line="360" w:lineRule="auto"/>
        <w:ind w:firstLine="720"/>
        <w:rPr>
          <w:rFonts w:ascii="Times" w:hAnsi="Times"/>
        </w:rPr>
      </w:pPr>
      <w:r>
        <w:rPr>
          <w:rFonts w:ascii="Times" w:hAnsi="Times"/>
        </w:rPr>
        <w:t>We compare ‘low’ and ‘high’ values of environmental covariates using the 1</w:t>
      </w:r>
      <w:r w:rsidRPr="00DF704B">
        <w:rPr>
          <w:rFonts w:ascii="Times" w:hAnsi="Times"/>
          <w:vertAlign w:val="superscript"/>
        </w:rPr>
        <w:t>st</w:t>
      </w:r>
      <w:r>
        <w:rPr>
          <w:rFonts w:ascii="Times" w:hAnsi="Times"/>
        </w:rPr>
        <w:t xml:space="preserve"> and 3</w:t>
      </w:r>
      <w:r w:rsidRPr="00DF704B">
        <w:rPr>
          <w:rFonts w:ascii="Times" w:hAnsi="Times"/>
          <w:vertAlign w:val="superscript"/>
        </w:rPr>
        <w:t>rd</w:t>
      </w:r>
      <w:r>
        <w:rPr>
          <w:rFonts w:ascii="Times" w:hAnsi="Times"/>
        </w:rPr>
        <w:t xml:space="preserve"> quartiles of the covariates, respectively.</w:t>
      </w:r>
    </w:p>
    <w:p w14:paraId="00C10DCF" w14:textId="77777777" w:rsidR="0030211E" w:rsidRDefault="0030211E" w:rsidP="0030211E">
      <w:pPr>
        <w:spacing w:line="360" w:lineRule="auto"/>
        <w:rPr>
          <w:rFonts w:ascii="Times" w:hAnsi="Times"/>
          <w:i/>
          <w:iCs/>
        </w:rPr>
      </w:pPr>
    </w:p>
    <w:p w14:paraId="093B5F65" w14:textId="77777777" w:rsidR="0030211E" w:rsidRDefault="0030211E" w:rsidP="0030211E">
      <w:pPr>
        <w:spacing w:line="360" w:lineRule="auto"/>
        <w:rPr>
          <w:rFonts w:ascii="Times" w:hAnsi="Times"/>
          <w:b/>
          <w:bCs/>
          <w:i/>
          <w:iCs/>
        </w:rPr>
      </w:pPr>
      <w:r>
        <w:rPr>
          <w:rFonts w:ascii="Times" w:hAnsi="Times"/>
          <w:b/>
          <w:bCs/>
          <w:i/>
          <w:iCs/>
        </w:rPr>
        <w:t xml:space="preserve">2. Survey of savanna sites for soil carbon and </w:t>
      </w:r>
      <m:oMath>
        <m:r>
          <m:rPr>
            <m:sty m:val="bi"/>
          </m:rPr>
          <w:rPr>
            <w:rFonts w:ascii="Cambria Math" w:hAnsi="Cambria Math"/>
          </w:rPr>
          <m:t>δ</m:t>
        </m:r>
      </m:oMath>
      <w:r w:rsidRPr="00723B89">
        <w:rPr>
          <w:rFonts w:ascii="Times" w:hAnsi="Times"/>
          <w:b/>
          <w:bCs/>
          <w:i/>
          <w:iCs/>
          <w:vertAlign w:val="superscript"/>
        </w:rPr>
        <w:t>13</w:t>
      </w:r>
      <w:r>
        <w:rPr>
          <w:rFonts w:ascii="Times" w:hAnsi="Times"/>
          <w:b/>
          <w:bCs/>
          <w:i/>
          <w:iCs/>
        </w:rPr>
        <w:t>C</w:t>
      </w:r>
    </w:p>
    <w:p w14:paraId="45C76B13" w14:textId="77777777" w:rsidR="0030211E" w:rsidRPr="00C34364" w:rsidRDefault="0030211E" w:rsidP="0030211E">
      <w:pPr>
        <w:spacing w:line="360" w:lineRule="auto"/>
        <w:rPr>
          <w:rFonts w:ascii="Times" w:hAnsi="Times"/>
        </w:rPr>
      </w:pPr>
      <w:r>
        <w:rPr>
          <w:rFonts w:ascii="Times" w:hAnsi="Times"/>
        </w:rPr>
        <w:t xml:space="preserve">In 7 of the sites included in the meta-analysis, </w:t>
      </w:r>
      <m:oMath>
        <m:r>
          <w:rPr>
            <w:rFonts w:ascii="Cambria Math" w:hAnsi="Cambria Math"/>
          </w:rPr>
          <m:t>δ</m:t>
        </m:r>
      </m:oMath>
      <w:r w:rsidRPr="00DA1A38">
        <w:rPr>
          <w:rFonts w:ascii="Times" w:hAnsi="Times"/>
          <w:i/>
          <w:iCs/>
          <w:vertAlign w:val="superscript"/>
        </w:rPr>
        <w:t>13</w:t>
      </w:r>
      <w:r w:rsidRPr="00DA1A38">
        <w:rPr>
          <w:rFonts w:ascii="Times" w:hAnsi="Times"/>
          <w:i/>
          <w:iCs/>
        </w:rPr>
        <w:t>C</w:t>
      </w:r>
      <w:r>
        <w:rPr>
          <w:rFonts w:ascii="Times" w:hAnsi="Times"/>
          <w:i/>
          <w:iCs/>
        </w:rPr>
        <w:t xml:space="preserve"> </w:t>
      </w:r>
      <w:r>
        <w:rPr>
          <w:rFonts w:ascii="Times" w:hAnsi="Times"/>
        </w:rPr>
        <w:t>was measured in combination with soil C (Breaks, Cedar Creek, Hitchiti, IBGE, Satara, MatoposClay, and MatoposSand)</w:t>
      </w:r>
      <w:r w:rsidRPr="00DA1A38">
        <w:rPr>
          <w:rFonts w:ascii="Times" w:hAnsi="Times"/>
          <w:i/>
          <w:iCs/>
        </w:rPr>
        <w:t>.</w:t>
      </w:r>
      <w:r>
        <w:rPr>
          <w:rFonts w:ascii="Times" w:hAnsi="Times"/>
        </w:rPr>
        <w:t xml:space="preserve"> These sites spanned tropical and temperate regions in North and South America and Africa. The savannas all contained C4 grasses, which allowed us to use </w:t>
      </w:r>
      <m:oMath>
        <m:r>
          <w:rPr>
            <w:rFonts w:ascii="Cambria Math" w:hAnsi="Cambria Math"/>
          </w:rPr>
          <m:t>δ</m:t>
        </m:r>
      </m:oMath>
      <w:r w:rsidRPr="00DA1A38">
        <w:rPr>
          <w:rFonts w:ascii="Times" w:hAnsi="Times"/>
          <w:vertAlign w:val="superscript"/>
        </w:rPr>
        <w:t>13</w:t>
      </w:r>
      <w:r>
        <w:rPr>
          <w:rFonts w:ascii="Times" w:hAnsi="Times"/>
        </w:rPr>
        <w:t xml:space="preserve">C values to partition tree vs. grass biomass contributions to soil C (although some contained a mix of C3 and C4 grass). The absolute number of soil samples collected varied across sites because of differences in tree cover, but we used plot-level averages in the analysis. Duration of fire frequency experiments ranged from 25-64 years. </w:t>
      </w:r>
      <w:r w:rsidRPr="00E80668">
        <w:rPr>
          <w:rFonts w:ascii="Times" w:hAnsi="Times"/>
        </w:rPr>
        <w:t xml:space="preserve">The ratio of </w:t>
      </w:r>
      <w:r w:rsidRPr="00AE11E4">
        <w:rPr>
          <w:rFonts w:ascii="Times" w:hAnsi="Times"/>
          <w:vertAlign w:val="superscript"/>
        </w:rPr>
        <w:t>13</w:t>
      </w:r>
      <w:r w:rsidRPr="00E80668">
        <w:rPr>
          <w:rFonts w:ascii="Times" w:hAnsi="Times"/>
        </w:rPr>
        <w:t xml:space="preserve">C to </w:t>
      </w:r>
      <w:r w:rsidRPr="00AE11E4">
        <w:rPr>
          <w:rFonts w:ascii="Times" w:hAnsi="Times"/>
          <w:vertAlign w:val="superscript"/>
        </w:rPr>
        <w:t>12</w:t>
      </w:r>
      <w:r w:rsidRPr="00E80668">
        <w:rPr>
          <w:rFonts w:ascii="Times" w:hAnsi="Times"/>
        </w:rPr>
        <w:t>C is assumed to be relatively unchanged by fire compared to</w:t>
      </w:r>
      <w:r w:rsidRPr="00E80668" w:rsidDel="00E80668">
        <w:rPr>
          <w:rFonts w:ascii="Times" w:hAnsi="Times"/>
        </w:rPr>
        <w:t xml:space="preserve"> </w:t>
      </w:r>
      <w:r>
        <w:rPr>
          <w:rFonts w:ascii="Times" w:hAnsi="Times"/>
        </w:rPr>
        <w:t>to the difference between C</w:t>
      </w:r>
      <w:r w:rsidRPr="0057564B">
        <w:rPr>
          <w:rFonts w:ascii="Times" w:hAnsi="Times"/>
        </w:rPr>
        <w:t>3</w:t>
      </w:r>
      <w:r>
        <w:rPr>
          <w:rFonts w:ascii="Times" w:hAnsi="Times"/>
        </w:rPr>
        <w:t xml:space="preserve"> vs. C</w:t>
      </w:r>
      <w:r w:rsidRPr="0057564B">
        <w:rPr>
          <w:rFonts w:ascii="Times" w:hAnsi="Times"/>
        </w:rPr>
        <w:t>4</w:t>
      </w:r>
      <w:r>
        <w:rPr>
          <w:rFonts w:ascii="Times" w:hAnsi="Times"/>
        </w:rPr>
        <w:t xml:space="preserve"> photosynthetic pathways</w:t>
      </w:r>
      <w:r>
        <w:rPr>
          <w:rFonts w:ascii="Times" w:hAnsi="Times"/>
        </w:rPr>
        <w:fldChar w:fldCharType="begin" w:fldLock="1"/>
      </w:r>
      <w:r>
        <w:rPr>
          <w:rFonts w:ascii="Times" w:hAnsi="Times"/>
        </w:rPr>
        <w:instrText>ADDIN CSL_CITATION {"citationItems":[{"id":"ITEM-1","itemData":{"DOI":"http://dx.doi.org/10.1016/S0016-7061(99)00084-1","ISSN":"0016-7061","author":[{"dropping-particle":"","family":"Bird","given":"M I","non-dropping-particle":"","parse-names":false,"suffix":""},{"dropping-particle":"","family":"Veenendaal","given":"E M","non-dropping-particle":"","parse-names":false,"suffix":""},{"dropping-particle":"","family":"Moyo","given":"C","non-dropping-particle":"","parse-names":false,"suffix":""},{"dropping-particle":"","family":"Lloyd","given":"J","non-dropping-particle":"","parse-names":false,"suffix":""},{"dropping-particle":"","family":"Frost","given":"P","non-dropping-particle":"","parse-names":false,"suffix":""}],"container-title":"Geoderma","id":"ITEM-1","issue":"1","issued":{"date-parts":[["2000"]]},"page":"71-90","title":"Effect of fire and soil texture on soil carbon in a sub-humid savanna (Matopos, Zimbabwe)","type":"article-journal","volume":"94"},"uris":["http://www.mendeley.com/documents/?uuid=ceb4f435-209b-32cd-b564-bb35d696d3f5"]},{"id":"ITEM-2","itemData":{"DOI":"http://dx.doi.org/10.1016/0038-0717(90)90188-6","ISSN":"0038-0717","abstract":"The medium-term dynamics of organic matter in a sandy savanna soil has been investigated at Lamto (Ivory Coast) through changes in the 13C/12C ratio induced by vegetation changes from the C4 to the C3 photosynthetic pathway. After 25 yr of protection from fire, a soil previously covered by C4 grassland vegetation had been progressively colonized by C3 woody plants. Although the total C content did not show significant changes. 52–70% of the original C4 carbon was turned over when vegetation cover was changed. Turnover of coarse organic debris (&gt; 250 μm) was much greater (97%) than the mineralization (50%) of clay-associated fractions (&lt; 20 μm).","author":[{"dropping-particle":"","family":"Martin","given":"A","non-dropping-particle":"","parse-names":false,"suffix":""},{"dropping-particle":"","family":"Mariotti","given":"A","non-dropping-particle":"","parse-names":false,"suffix":""},{"dropping-particle":"","family":"balesdent","given":"J","non-dropping-particle":"","parse-names":false,"suffix":""},{"dropping-particle":"","family":"Lavelle","given":"P","non-dropping-particle":"","parse-names":false,"suffix":""},{"dropping-particle":"","family":"Vuattoux","given":"R","non-dropping-particle":"","parse-names":false,"suffix":""}],"container-title":"Soil Biology and Biochemistry","id":"ITEM-2","issue":"4","issued":{"date-parts":[["1990"]]},"page":"517-523","title":"Estimate of organic matter turnover rate in a savanna soil by 13C natural abundance measurements","type":"article-journal","volume":"22"},"uris":["http://www.mendeley.com/documents/?uuid=c7a8fbb0-b7d6-3476-b195-af80c96e7957"]},{"id":"ITEM-3","itemData":{"ISSN":"0016-7061","author":[{"dropping-particle":"","family":"Roscoe","given":"R","non-dropping-particle":"","parse-names":false,"suffix":""},{"dropping-particle":"","family":"Buurman","given":"P","non-dropping-particle":"","parse-names":false,"suffix":""},{"dropping-particle":"","family":"Velthorst","given":"E J","non-dropping-particle":"","parse-names":false,"suffix":""},{"dropping-particle":"","family":"Pereira","given":"J A A","non-dropping-particle":"","parse-names":false,"suffix":""}],"container-title":"Geoderma","id":"ITEM-3","issue":"1","issued":{"date-parts":[["2000"]]},"page":"141-160","title":"Effects of fire on soil organic matter in a “cerrado sensu-stricto” from southeast Brazil as revealed by changes in δ 13 C","type":"article-journal","volume":"95"},"uris":["http://www.mendeley.com/documents/?uuid=9d8a058c-b6eb-467f-b4e5-5a089992719a"]}],"mendeley":{"formattedCitation":"&lt;sup&gt;25,35,85&lt;/sup&gt;","plainTextFormattedCitation":"25,35,85","previouslyFormattedCitation":"&lt;sup&gt;25,35,85&lt;/sup&gt;"},"properties":{"noteIndex":0},"schema":"https://github.com/citation-style-language/schema/raw/master/csl-citation.json"}</w:instrText>
      </w:r>
      <w:r>
        <w:rPr>
          <w:rFonts w:ascii="Times" w:hAnsi="Times"/>
        </w:rPr>
        <w:fldChar w:fldCharType="separate"/>
      </w:r>
      <w:r w:rsidRPr="008333C1">
        <w:rPr>
          <w:rFonts w:ascii="Times" w:hAnsi="Times"/>
          <w:noProof/>
          <w:vertAlign w:val="superscript"/>
        </w:rPr>
        <w:t>25,35,85</w:t>
      </w:r>
      <w:r>
        <w:rPr>
          <w:rFonts w:ascii="Times" w:hAnsi="Times"/>
        </w:rPr>
        <w:fldChar w:fldCharType="end"/>
      </w:r>
      <w:r>
        <w:rPr>
          <w:rFonts w:ascii="Times" w:hAnsi="Times"/>
        </w:rPr>
        <w:t>.</w:t>
      </w:r>
    </w:p>
    <w:p w14:paraId="0E63A4E4" w14:textId="77777777" w:rsidR="0030211E" w:rsidRDefault="0030211E" w:rsidP="0030211E">
      <w:pPr>
        <w:spacing w:line="360" w:lineRule="auto"/>
        <w:ind w:firstLine="720"/>
        <w:rPr>
          <w:rFonts w:ascii="Times" w:hAnsi="Times"/>
        </w:rPr>
      </w:pPr>
      <w:r>
        <w:rPr>
          <w:rFonts w:ascii="Times" w:hAnsi="Times"/>
        </w:rPr>
        <w:t>W</w:t>
      </w:r>
      <w:r w:rsidRPr="00C34364">
        <w:rPr>
          <w:rFonts w:ascii="Times" w:hAnsi="Times"/>
        </w:rPr>
        <w:t xml:space="preserve">e </w:t>
      </w:r>
      <w:r>
        <w:rPr>
          <w:rFonts w:ascii="Times" w:hAnsi="Times"/>
        </w:rPr>
        <w:t>used</w:t>
      </w:r>
      <w:r w:rsidRPr="00C34364">
        <w:rPr>
          <w:rFonts w:ascii="Times" w:hAnsi="Times"/>
        </w:rPr>
        <w:t xml:space="preserve"> </w:t>
      </w:r>
      <w:r>
        <w:rPr>
          <w:rFonts w:ascii="Times" w:hAnsi="Times"/>
        </w:rPr>
        <w:t xml:space="preserve">isotopic </w:t>
      </w:r>
      <w:r w:rsidRPr="00C34364">
        <w:rPr>
          <w:rFonts w:ascii="Times" w:hAnsi="Times"/>
        </w:rPr>
        <w:t xml:space="preserve">mixing models </w:t>
      </w:r>
      <w:r>
        <w:rPr>
          <w:rFonts w:ascii="Times" w:hAnsi="Times"/>
        </w:rPr>
        <w:t>to calculate the proportion of soil C derived from grasses vs. trees. We performed these calculations in savanna sites where C4 grasses comprised a large proportion (if not all) of herbaceous biomass. We assumed a</w:t>
      </w:r>
      <w:r w:rsidRPr="00C34364">
        <w:rPr>
          <w:rFonts w:ascii="Times" w:hAnsi="Times"/>
        </w:rPr>
        <w:t xml:space="preserve"> </w:t>
      </w:r>
      <w:r>
        <w:rPr>
          <w:rFonts w:ascii="Times" w:hAnsi="Times"/>
        </w:rPr>
        <w:t>C4</w:t>
      </w:r>
      <w:r w:rsidRPr="00C34364">
        <w:rPr>
          <w:rFonts w:ascii="Times" w:hAnsi="Times"/>
        </w:rPr>
        <w:t xml:space="preserve"> signature of -1</w:t>
      </w:r>
      <w:r>
        <w:rPr>
          <w:rFonts w:ascii="Times" w:hAnsi="Times"/>
        </w:rPr>
        <w:t>5</w:t>
      </w:r>
      <w:r w:rsidRPr="005D2D81">
        <w:rPr>
          <w:rFonts w:ascii="Times" w:hAnsi="Times"/>
        </w:rPr>
        <w:t>‰</w:t>
      </w:r>
      <w:r w:rsidRPr="00C34364">
        <w:rPr>
          <w:rFonts w:ascii="Times" w:hAnsi="Times"/>
        </w:rPr>
        <w:t xml:space="preserve"> and </w:t>
      </w:r>
      <w:r>
        <w:rPr>
          <w:rFonts w:ascii="Times" w:hAnsi="Times"/>
        </w:rPr>
        <w:t>C3</w:t>
      </w:r>
      <w:r w:rsidRPr="00C34364">
        <w:rPr>
          <w:rFonts w:ascii="Times" w:hAnsi="Times"/>
        </w:rPr>
        <w:t xml:space="preserve"> of -2</w:t>
      </w:r>
      <w:r>
        <w:rPr>
          <w:rFonts w:ascii="Times" w:hAnsi="Times"/>
        </w:rPr>
        <w:t>8</w:t>
      </w:r>
      <w:r w:rsidRPr="005D2D81">
        <w:rPr>
          <w:rFonts w:ascii="Times" w:hAnsi="Times"/>
        </w:rPr>
        <w:t>‰</w:t>
      </w:r>
      <w:r w:rsidRPr="00C34364">
        <w:rPr>
          <w:rFonts w:ascii="Times" w:hAnsi="Times"/>
        </w:rPr>
        <w:t xml:space="preserve"> for the sites where plant isotope values are not available.</w:t>
      </w:r>
      <w:r>
        <w:rPr>
          <w:rFonts w:ascii="Times" w:hAnsi="Times"/>
        </w:rPr>
        <w:t xml:space="preserve"> In other cases, site-specific values were used</w:t>
      </w:r>
      <w:r>
        <w:rPr>
          <w:rFonts w:ascii="Times" w:hAnsi="Times"/>
        </w:rPr>
        <w:fldChar w:fldCharType="begin" w:fldLock="1"/>
      </w:r>
      <w:r>
        <w:rPr>
          <w:rFonts w:ascii="Times" w:hAnsi="Times"/>
        </w:rPr>
        <w:instrText>ADDIN CSL_CITATION {"citationItems":[{"id":"ITEM-1","itemData":{"DOI":"10.1101/2020.07.22.216226","abstract":"Global change has shifted fire regimes, but the long-term consequences for ecosystems are uncertain because of variability in environmental conditions, fire types, and plant composition. We tested how fire-frequency manipulations of 16-64 years affect tree communities and traits using 374 plots from 29 sites on four continents. More frequently burned plots had lower tree basal area and stem densities that compounded over multiple decades: average fire frequencies reduced basal area by only 4% after 16 years but 57% after 64 years, relative to unburned plots. Fire had the largest effects on basal area in sites with strong seasonality and in savanna ecosystems. Tree functional-trait data revealed that frequently burned plots had tree communities dominated by species with low biomass nitrogen and phosphorus content and with more efficient nitrogen acquisition through ectomycorrhizal symbioses. Our data provide broad experimental evidence that altered fire regimes will shift tree community basal area, stem density, and functional composition in a diversity of settings. The responses of tree communities compounded over multiple decades, suggesting short-term observations may substantially underestimate the sensitivity of ecosystems to altered fire regimes. ### Competing Interest Statement The authors have declared no competing interest.","author":[{"dropping-particle":"","family":"Pellegrini","given":"A F A","non-dropping-particle":"","parse-names":false,"suffix":""},{"dropping-particle":"","family":"Refsland","given":"Tyler","non-dropping-particle":"","parse-names":false,"suffix":""},{"dropping-particle":"","family":"Averill","given":"Colin","non-dropping-particle":"","parse-names":false,"suffix":""},{"dropping-particle":"","family":"Terrer","given":"César","non-dropping-particle":"","parse-names":false,"suffix":""},{"dropping-particle":"","family":"Carla Staver","given":"A","non-dropping-particle":"","parse-names":false,"suffix":""},{"dropping-particle":"","family":"Brockway","given":"Dale G","non-dropping-particle":"","parse-names":false,"suffix":""},{"dropping-particle":"","family":"Caprio","given":"Anthony","non-dropping-particle":"","parse-names":false,"suffix":""},{"dropping-particle":"","family":"Clatterbuck","given":"Wayne","non-dropping-particle":"","parse-names":false,"suffix":""},{"dropping-particle":"","family":"Coetsee","given":"Corli","non-dropping-particle":"","parse-names":false,"suffix":""},{"dropping-particle":"","family":"Haywood","given":"James D","non-dropping-particle":"","parse-names":false,"suffix":""},{"dropping-particle":"","family":"Hobbie","given":"Sarah E","non-dropping-particle":"","parse-names":false,"suffix":""},{"dropping-particle":"","family":"Hoffmann","given":"William A","non-dropping-particle":"","parse-names":false,"suffix":""},{"dropping-particle":"","family":"Kush","given":"John","non-dropping-particle":"","parse-names":false,"suffix":""},{"dropping-particle":"","family":"Lewis","given":"Tom","non-dropping-particle":"","parse-names":false,"suffix":""},{"dropping-particle":"","family":"Keith Moser","given":"W","non-dropping-particle":"","parse-names":false,"suffix":""},{"dropping-particle":"","family":"Overby","given":"Steven T","non-dropping-particle":"","parse-names":false,"suffix":""},{"dropping-particle":"","family":"Patterson","given":"Bill","non-dropping-particle":"","parse-names":false,"suffix":""},{"dropping-particle":"","family":"Peay","given":"Kabir G","non-dropping-particle":"","parse-names":false,"suffix":""},{"dropping-particle":"","family":"Reich","given":"Peter B","non-dropping-particle":"","parse-names":false,"suffix":""},{"dropping-particle":"","family":"Ryan","given":"Casey","non-dropping-particle":"","parse-names":false,"suffix":""},{"dropping-particle":"","family":"Anne Sayer","given":"Mary S","non-dropping-particle":"","parse-names":false,"suffix":""},{"dropping-particle":"","family":"Scharenbroch","given":"Bryant C","non-dropping-particle":"","parse-names":false,"suffix":""},{"dropping-particle":"","family":"Schoennagel","given":"Tania","non-dropping-particle":"","parse-names":false,"suffix":""},{"dropping-particle":"","family":"Smith","given":"Gabriel R","non-dropping-particle":"","parse-names":false,"suffix":""},{"dropping-particle":"","family":"Stephan","given":"Kirsten","non-dropping-particle":"","parse-names":false,"suffix":""},{"dropping-particle":"","family":"Swanston","given":"Chris","non-dropping-particle":"","parse-names":false,"suffix":""},{"dropping-particle":"","family":"Turner","given":"Monica G","non-dropping-particle":"","parse-names":false,"suffix":""},{"dropping-particle":"","family":"Morgan Varner","given":"J","non-dropping-particle":"","parse-names":false,"suffix":""},{"dropping-particle":"","family":"Jackson","given":"Robert B","non-dropping-particle":"","parse-names":false,"suffix":""}],"container-title":"Nature Ecology &amp; Evolution","id":"ITEM-1","issued":{"date-parts":[["2021","7","24"]]},"page":"504–512","publisher":"Cold Spring Harbor Laboratory","title":"Decadal changes in fire frequencies shift tree communities and functional traits","type":"article-journal","volume":"5"},"uris":["http://www.mendeley.com/documents/?uuid=2204ae24-78e3-3f52-bb83-db02cd998982"]}],"mendeley":{"formattedCitation":"&lt;sup&gt;21&lt;/sup&gt;","plainTextFormattedCitation":"21","previouslyFormattedCitation":"&lt;sup&gt;21&lt;/sup&gt;"},"properties":{"noteIndex":0},"schema":"https://github.com/citation-style-language/schema/raw/master/csl-citation.json"}</w:instrText>
      </w:r>
      <w:r>
        <w:rPr>
          <w:rFonts w:ascii="Times" w:hAnsi="Times"/>
        </w:rPr>
        <w:fldChar w:fldCharType="separate"/>
      </w:r>
      <w:r w:rsidRPr="008333C1">
        <w:rPr>
          <w:rFonts w:ascii="Times" w:hAnsi="Times"/>
          <w:noProof/>
          <w:vertAlign w:val="superscript"/>
        </w:rPr>
        <w:t>21</w:t>
      </w:r>
      <w:r>
        <w:rPr>
          <w:rFonts w:ascii="Times" w:hAnsi="Times"/>
        </w:rPr>
        <w:fldChar w:fldCharType="end"/>
      </w:r>
      <w:r>
        <w:rPr>
          <w:rFonts w:ascii="Times" w:hAnsi="Times"/>
        </w:rPr>
        <w:t>.</w:t>
      </w:r>
    </w:p>
    <w:p w14:paraId="1FB966B1" w14:textId="77777777" w:rsidR="0030211E" w:rsidRDefault="0030211E" w:rsidP="0030211E">
      <w:pPr>
        <w:spacing w:line="360" w:lineRule="auto"/>
        <w:ind w:firstLine="720"/>
        <w:rPr>
          <w:rFonts w:ascii="Times" w:hAnsi="Times"/>
        </w:rPr>
      </w:pPr>
      <w:r>
        <w:rPr>
          <w:rFonts w:ascii="Times" w:hAnsi="Times"/>
        </w:rPr>
        <w:t>We generated a two end-member mixing model to calculate the relative contribution of trees vs. C</w:t>
      </w:r>
      <w:r w:rsidRPr="005C4ED0">
        <w:rPr>
          <w:rFonts w:ascii="Times" w:hAnsi="Times"/>
          <w:vertAlign w:val="subscript"/>
        </w:rPr>
        <w:t>4</w:t>
      </w:r>
      <w:r>
        <w:rPr>
          <w:rFonts w:ascii="Times" w:hAnsi="Times"/>
        </w:rPr>
        <w:t xml:space="preserve"> grasses, where </w:t>
      </w:r>
      <w:r>
        <w:rPr>
          <w:rFonts w:ascii="Times" w:hAnsi="Times"/>
          <w:i/>
          <w:iCs/>
        </w:rPr>
        <w:t>x</w:t>
      </w:r>
      <w:r>
        <w:rPr>
          <w:rFonts w:ascii="Times" w:hAnsi="Times"/>
        </w:rPr>
        <w:t xml:space="preserve"> denotes the proportion coming from trees.</w:t>
      </w:r>
    </w:p>
    <w:p w14:paraId="26A5600E" w14:textId="77777777" w:rsidR="0030211E" w:rsidRDefault="0030211E" w:rsidP="0030211E">
      <w:pPr>
        <w:spacing w:line="360" w:lineRule="auto"/>
        <w:ind w:firstLine="720"/>
        <w:rPr>
          <w:rFonts w:ascii="Times" w:hAnsi="Times"/>
        </w:rPr>
      </w:pPr>
      <m:oMathPara>
        <m:oMath>
          <m:sSup>
            <m:sSupPr>
              <m:ctrlPr>
                <w:rPr>
                  <w:rFonts w:ascii="Cambria Math" w:hAnsi="Cambria Math"/>
                  <w:i/>
                </w:rPr>
              </m:ctrlPr>
            </m:sSupPr>
            <m:e>
              <m:r>
                <w:rPr>
                  <w:rFonts w:ascii="Cambria Math" w:hAnsi="Cambria Math"/>
                </w:rPr>
                <m:t>δ</m:t>
              </m:r>
            </m:e>
            <m:sup>
              <m:r>
                <w:rPr>
                  <w:rFonts w:ascii="Cambria Math" w:hAnsi="Cambria Math"/>
                </w:rPr>
                <m:t>13</m:t>
              </m:r>
            </m:sup>
          </m:sSup>
          <m:sSub>
            <m:sSubPr>
              <m:ctrlPr>
                <w:rPr>
                  <w:rFonts w:ascii="Cambria Math" w:hAnsi="Cambria Math"/>
                  <w:i/>
                </w:rPr>
              </m:ctrlPr>
            </m:sSubPr>
            <m:e>
              <m:r>
                <w:rPr>
                  <w:rFonts w:ascii="Cambria Math" w:hAnsi="Cambria Math"/>
                </w:rPr>
                <m:t>C</m:t>
              </m:r>
            </m:e>
            <m:sub>
              <m:r>
                <w:rPr>
                  <w:rFonts w:ascii="Cambria Math" w:hAnsi="Cambria Math"/>
                </w:rPr>
                <m:t>BulkSoil</m:t>
              </m:r>
            </m:sub>
          </m:sSub>
          <m:r>
            <w:rPr>
              <w:rFonts w:ascii="Cambria Math" w:hAnsi="Cambria Math"/>
            </w:rPr>
            <m:t>=</m:t>
          </m:r>
          <m:sSup>
            <m:sSupPr>
              <m:ctrlPr>
                <w:rPr>
                  <w:rFonts w:ascii="Cambria Math" w:hAnsi="Cambria Math"/>
                  <w:i/>
                </w:rPr>
              </m:ctrlPr>
            </m:sSupPr>
            <m:e>
              <m:r>
                <w:rPr>
                  <w:rFonts w:ascii="Cambria Math" w:hAnsi="Cambria Math"/>
                </w:rPr>
                <m:t>x*δ</m:t>
              </m:r>
            </m:e>
            <m:sup>
              <m:r>
                <w:rPr>
                  <w:rFonts w:ascii="Cambria Math" w:hAnsi="Cambria Math"/>
                </w:rPr>
                <m:t>13</m:t>
              </m:r>
            </m:sup>
          </m:sSup>
          <m:sSub>
            <m:sSubPr>
              <m:ctrlPr>
                <w:rPr>
                  <w:rFonts w:ascii="Cambria Math" w:hAnsi="Cambria Math"/>
                  <w:i/>
                </w:rPr>
              </m:ctrlPr>
            </m:sSubPr>
            <m:e>
              <m:r>
                <w:rPr>
                  <w:rFonts w:ascii="Cambria Math" w:hAnsi="Cambria Math"/>
                </w:rPr>
                <m:t>C</m:t>
              </m:r>
            </m:e>
            <m:sub>
              <m:r>
                <w:rPr>
                  <w:rFonts w:ascii="Cambria Math" w:hAnsi="Cambria Math"/>
                </w:rPr>
                <m:t>Tree Biomass</m:t>
              </m:r>
            </m:sub>
          </m:sSub>
          <m:r>
            <w:rPr>
              <w:rFonts w:ascii="Cambria Math" w:hAnsi="Cambria Math"/>
            </w:rPr>
            <m:t>+</m:t>
          </m:r>
          <m:sSup>
            <m:sSupPr>
              <m:ctrlPr>
                <w:rPr>
                  <w:rFonts w:ascii="Cambria Math" w:hAnsi="Cambria Math"/>
                  <w:i/>
                </w:rPr>
              </m:ctrlPr>
            </m:sSupPr>
            <m:e>
              <m:r>
                <w:rPr>
                  <w:rFonts w:ascii="Cambria Math" w:hAnsi="Cambria Math"/>
                </w:rPr>
                <m:t>(1-x)*δ</m:t>
              </m:r>
            </m:e>
            <m:sup>
              <m:r>
                <w:rPr>
                  <w:rFonts w:ascii="Cambria Math" w:hAnsi="Cambria Math"/>
                </w:rPr>
                <m:t>13</m:t>
              </m:r>
            </m:sup>
          </m:sSup>
          <m:sSub>
            <m:sSubPr>
              <m:ctrlPr>
                <w:rPr>
                  <w:rFonts w:ascii="Cambria Math" w:hAnsi="Cambria Math"/>
                  <w:i/>
                </w:rPr>
              </m:ctrlPr>
            </m:sSubPr>
            <m:e>
              <m:r>
                <w:rPr>
                  <w:rFonts w:ascii="Cambria Math" w:hAnsi="Cambria Math"/>
                </w:rPr>
                <m:t>C</m:t>
              </m:r>
            </m:e>
            <m:sub>
              <m:r>
                <w:rPr>
                  <w:rFonts w:ascii="Cambria Math" w:hAnsi="Cambria Math"/>
                </w:rPr>
                <m:t>Grass Biomass</m:t>
              </m:r>
            </m:sub>
          </m:sSub>
        </m:oMath>
      </m:oMathPara>
    </w:p>
    <w:p w14:paraId="3162C510" w14:textId="77777777" w:rsidR="0030211E" w:rsidRDefault="0030211E" w:rsidP="0030211E">
      <w:pPr>
        <w:spacing w:line="360" w:lineRule="auto"/>
        <w:ind w:firstLine="720"/>
        <w:rPr>
          <w:rFonts w:ascii="Times" w:hAnsi="Times"/>
        </w:rPr>
      </w:pPr>
      <w:r>
        <w:rPr>
          <w:rFonts w:ascii="Times" w:hAnsi="Times"/>
        </w:rPr>
        <w:t xml:space="preserve">We did not necessarily expect the functional form of the curve between soil </w:t>
      </w:r>
      <m:oMath>
        <m:r>
          <w:rPr>
            <w:rFonts w:ascii="Cambria Math" w:hAnsi="Cambria Math"/>
          </w:rPr>
          <m:t>δ</m:t>
        </m:r>
      </m:oMath>
      <w:r w:rsidRPr="0025460E">
        <w:rPr>
          <w:rFonts w:ascii="Times" w:hAnsi="Times"/>
          <w:vertAlign w:val="superscript"/>
        </w:rPr>
        <w:t>13</w:t>
      </w:r>
      <w:r>
        <w:rPr>
          <w:rFonts w:ascii="Times" w:hAnsi="Times"/>
        </w:rPr>
        <w:t xml:space="preserve">C and total soil C to be linear so we fit generalized additive models with a penalized spline. The </w:t>
      </w:r>
      <w:r>
        <w:rPr>
          <w:rFonts w:ascii="Times" w:hAnsi="Times"/>
        </w:rPr>
        <w:lastRenderedPageBreak/>
        <w:t xml:space="preserve">maximum degrees of freedom was set to k=3. All fitting was done using the </w:t>
      </w:r>
      <w:r>
        <w:rPr>
          <w:rFonts w:ascii="Times" w:hAnsi="Times"/>
          <w:i/>
          <w:iCs/>
        </w:rPr>
        <w:t xml:space="preserve">mgcv </w:t>
      </w:r>
      <w:r>
        <w:rPr>
          <w:rFonts w:ascii="Times" w:hAnsi="Times"/>
        </w:rPr>
        <w:t>package in R</w:t>
      </w:r>
      <w:r>
        <w:rPr>
          <w:rFonts w:ascii="Times" w:hAnsi="Times"/>
        </w:rPr>
        <w:fldChar w:fldCharType="begin" w:fldLock="1"/>
      </w:r>
      <w:r>
        <w:rPr>
          <w:rFonts w:ascii="Times" w:hAnsi="Times"/>
        </w:rPr>
        <w:instrText>ADDIN CSL_CITATION {"citationItems":[{"id":"ITEM-1","itemData":{"DOI":"10.1111/1365-2745.13351","author":[{"dropping-particle":"","family":"Pellegrini","given":"A. F. A.","non-dropping-particle":"","parse-names":false,"suffix":""},{"dropping-particle":"","family":"Hobbie","given":"S. E.","non-dropping-particle":"","parse-names":false,"suffix":""},{"dropping-particle":"","family":"Reich","given":"P. B.","non-dropping-particle":"","parse-names":false,"suffix":""},{"dropping-particle":"","family":"Jumpponen","given":"A.","non-dropping-particle":"","parse-names":false,"suffix":""},{"dropping-particle":"","family":"Brookshire","given":"E. N. J.","non-dropping-particle":"","parse-names":false,"suffix":""},{"dropping-particle":"","family":"Caprio","given":"A. C.","non-dropping-particle":"","parse-names":false,"suffix":""},{"dropping-particle":"","family":"Coetsee","given":"C.","non-dropping-particle":"","parse-names":false,"suffix":""},{"dropping-particle":"","family":"Jackson","given":"R. B.","non-dropping-particle":"","parse-names":false,"suffix":""}],"container-title":"Ecological Monographs","id":"ITEM-1","issue":"4","issued":{"date-parts":[["2020"]]},"page":"e01409","title":"Repeated fire shifts carbon and nitrogen cycling by changing plant inputs and soil decomposition across ecosystems","type":"article-journal","volume":"90"},"uris":["http://www.mendeley.com/documents/?uuid=67c80e92-93b4-47f1-940b-fc2b830d1314"]},{"id":"ITEM-2","itemData":{"DOI":"10.1890/14-1158.1","ISSN":"0012-9658","abstract":"Fire and nutrients interact to influence the global distribution and dynamics of the savanna biome, but the results of these interactions are both complex and poorly known. A critical but unresolved question is whether short-term losses of carbon and nutrients caused by fire can trigger long-term and potentially compensatory responses in the nutrient stoichiometry of plants, or in the abundance of dinitrogen-fixing trees. There is disagreement in the literature about the potential role of fire on savanna nutrients, and, in turn, on plant stoichiometry and composition. A major limitation has been the lack of fire manipulations over time scales sufficiently long for these interactions to emerge. We use a 58-year, replicated, large-scale, fire manipulation experiment in Kruger National Park (South Africa) in savanna to quantify the effect of fire on (1) distributions of carbon, nitrogen, and phosphorus at the ecosystem scale; (2) carbon?:?nitrogen?:?phosphorus stoichiometry of above- and belowground tissues of plant species; and (3) abundance of plant functional groups including nitrogen fixers. Our results show dramatic effects of fire on the relative distribution of nutrients in soils, but that individual plant stoichiometry and plant community composition remained unexpectedly resilient. Moreover, measures of nutrients and carbon stable isotopes allowed us to discount the role of tree cover change in favor of the turnover of herbaceous biomass as the primary mechanism that mediates a transition from low to high soil carbon and nutrients in the absence of fire. We conclude that, in contrast to extra-tropical grasslands or closed-canopy forests, vegetation in the savanna biome may be uniquely adapted to nutrient losses caused by recurring fire.","author":[{"dropping-particle":"","family":"Pellegrini","given":"Adam F A","non-dropping-particle":"","parse-names":false,"suffix":""},{"dropping-particle":"","family":"Hedin","given":"Lars O","non-dropping-particle":"","parse-names":false,"suffix":""},{"dropping-particle":"","family":"Staver","given":"A. Carla","non-dropping-particle":"","parse-names":false,"suffix":""},{"dropping-particle":"","family":"Govender","given":"Navashni","non-dropping-particle":"","parse-names":false,"suffix":""}],"container-title":"Ecology","id":"ITEM-2","issue":"5","issued":{"date-parts":[["2015","5"]]},"page":"1275-1285","publisher":"Ecological Society of America","title":"Fire alters ecosystem carbon and nutrients but not plant nutrient stoichiometry or composition in tropical savanna","type":"article-journal","volume":"96"},"uris":["http://www.mendeley.com/documents/?uuid=0067a245-0a62-4e0e-8185-e0a37723610d"]},{"id":"ITEM-3","itemData":{"DOI":"https://doi.org/10.1111/1365-2745.13351","author":[{"dropping-particle":"","family":"Pellegrini","given":"Adam F. A.","non-dropping-particle":"","parse-names":false,"suffix":""},{"dropping-particle":"","family":"McLauchlan","given":"Kendra K.","non-dropping-particle":"","parse-names":false,"suffix":""},{"dropping-particle":"","family":"Hobbie","given":"Sarah E.","non-dropping-particle":"","parse-names":false,"suffix":""},{"dropping-particle":"","family":"Mack","given":"Michelle C.","non-dropping-particle":"","parse-names":false,"suffix":""},{"dropping-particle":"","family":"Marcotte","given":"Abbey L.","non-dropping-particle":"","parse-names":false,"suffix":""},{"dropping-particle":"","family":"Nelson","given":"David M.","non-dropping-particle":"","parse-names":false,"suffix":""},{"dropping-particle":"","family":"Perakis","given":"Steven S.","non-dropping-particle":"","parse-names":false,"suffix":""},{"dropping-particle":"","family":"Reich","given":"Peter B.","non-dropping-particle":"","parse-names":false,"suffix":""},{"dropping-particle":"","family":"Whittinghill","given":"Kyle","non-dropping-particle":"","parse-names":false,"suffix":""}],"container-title":"Journal of Ecology","id":"ITEM-3","issued":{"date-parts":[["2020"]]},"page":"1426-1441","title":"Frequent burning causes large losses of carbon from deep soil layers in a temperate savanna","type":"article-journal","volume":"108"},"uris":["http://www.mendeley.com/documents/?uuid=f006b9b8-aaf3-473c-9170-c36175201eb4"]}],"mendeley":{"formattedCitation":"&lt;sup&gt;24,76,86&lt;/sup&gt;","plainTextFormattedCitation":"24,76,86","previouslyFormattedCitation":"&lt;sup&gt;24,76,86&lt;/sup&gt;"},"properties":{"noteIndex":0},"schema":"https://github.com/citation-style-language/schema/raw/master/csl-citation.json"}</w:instrText>
      </w:r>
      <w:r>
        <w:rPr>
          <w:rFonts w:ascii="Times" w:hAnsi="Times"/>
        </w:rPr>
        <w:fldChar w:fldCharType="separate"/>
      </w:r>
      <w:r w:rsidRPr="008333C1">
        <w:rPr>
          <w:rFonts w:ascii="Times" w:hAnsi="Times"/>
          <w:noProof/>
          <w:vertAlign w:val="superscript"/>
        </w:rPr>
        <w:t>24,76,86</w:t>
      </w:r>
      <w:r>
        <w:rPr>
          <w:rFonts w:ascii="Times" w:hAnsi="Times"/>
        </w:rPr>
        <w:fldChar w:fldCharType="end"/>
      </w:r>
      <w:r>
        <w:rPr>
          <w:rFonts w:ascii="Times" w:hAnsi="Times"/>
        </w:rPr>
        <w:t>.</w:t>
      </w:r>
    </w:p>
    <w:p w14:paraId="352ED7B2" w14:textId="77777777" w:rsidR="0030211E" w:rsidRDefault="0030211E" w:rsidP="0030211E">
      <w:pPr>
        <w:spacing w:line="360" w:lineRule="auto"/>
        <w:ind w:firstLine="720"/>
        <w:rPr>
          <w:rFonts w:ascii="Times" w:hAnsi="Times"/>
        </w:rPr>
      </w:pPr>
      <w:r>
        <w:rPr>
          <w:rFonts w:ascii="Times" w:hAnsi="Times"/>
        </w:rPr>
        <w:t xml:space="preserve">We tested the overall effect of fire on </w:t>
      </w:r>
      <m:oMath>
        <m:r>
          <w:rPr>
            <w:rFonts w:ascii="Cambria Math" w:hAnsi="Cambria Math"/>
          </w:rPr>
          <m:t>δ</m:t>
        </m:r>
      </m:oMath>
      <w:r w:rsidRPr="00DA1A38">
        <w:rPr>
          <w:rFonts w:ascii="Times" w:hAnsi="Times"/>
          <w:vertAlign w:val="superscript"/>
        </w:rPr>
        <w:t>13</w:t>
      </w:r>
      <w:r>
        <w:rPr>
          <w:rFonts w:ascii="Times" w:hAnsi="Times"/>
        </w:rPr>
        <w:t xml:space="preserve">C values across sites using a mixed-effects model with site as a random effect. Within each site, we tested for significant effects using linear models (Table S3). </w:t>
      </w:r>
    </w:p>
    <w:p w14:paraId="61159C2E" w14:textId="77777777" w:rsidR="0030211E" w:rsidRDefault="0030211E" w:rsidP="0030211E">
      <w:pPr>
        <w:spacing w:line="360" w:lineRule="auto"/>
        <w:rPr>
          <w:rFonts w:ascii="Times" w:hAnsi="Times"/>
          <w:b/>
          <w:bCs/>
          <w:i/>
          <w:iCs/>
        </w:rPr>
      </w:pPr>
    </w:p>
    <w:p w14:paraId="15158CB8" w14:textId="77777777" w:rsidR="0030211E" w:rsidRPr="00874DFB" w:rsidRDefault="0030211E" w:rsidP="0030211E">
      <w:pPr>
        <w:spacing w:line="360" w:lineRule="auto"/>
        <w:rPr>
          <w:rFonts w:ascii="Times" w:hAnsi="Times"/>
          <w:b/>
          <w:bCs/>
          <w:i/>
          <w:iCs/>
          <w:color w:val="000000" w:themeColor="text1"/>
        </w:rPr>
      </w:pPr>
      <w:r>
        <w:rPr>
          <w:rFonts w:ascii="Times" w:hAnsi="Times"/>
          <w:b/>
          <w:bCs/>
          <w:i/>
          <w:iCs/>
          <w:color w:val="000000" w:themeColor="text1"/>
        </w:rPr>
        <w:t>3</w:t>
      </w:r>
      <w:r w:rsidRPr="00874DFB">
        <w:rPr>
          <w:rFonts w:ascii="Times" w:hAnsi="Times"/>
          <w:b/>
          <w:bCs/>
          <w:i/>
          <w:iCs/>
          <w:color w:val="000000" w:themeColor="text1"/>
        </w:rPr>
        <w:t>. Fire Model Intercomparison Project simulations</w:t>
      </w:r>
    </w:p>
    <w:p w14:paraId="76C439EB" w14:textId="77777777" w:rsidR="0030211E" w:rsidRDefault="0030211E" w:rsidP="0030211E">
      <w:pPr>
        <w:spacing w:line="360" w:lineRule="auto"/>
        <w:rPr>
          <w:rFonts w:ascii="Times" w:hAnsi="Times"/>
          <w:color w:val="000000" w:themeColor="text1"/>
        </w:rPr>
      </w:pPr>
      <w:r w:rsidRPr="00874DFB">
        <w:rPr>
          <w:rFonts w:ascii="Times" w:hAnsi="Times"/>
          <w:color w:val="000000" w:themeColor="text1"/>
        </w:rPr>
        <w:t>The empirical spatial pattern and climate relationships of fire’s impact on soil carbon was compared to that simulated by a set of fire-enabled global vegetation models. Simulated global soil carbon output from seven global fire-vegetation models was obtained from a set of standardized simulations provided by the Fire Model Intercomparison Project (FireMIP</w:t>
      </w:r>
      <w:r w:rsidRPr="00874DFB">
        <w:rPr>
          <w:rFonts w:ascii="Times" w:hAnsi="Times"/>
          <w:color w:val="000000" w:themeColor="text1"/>
        </w:rPr>
        <w:fldChar w:fldCharType="begin" w:fldLock="1"/>
      </w:r>
      <w:r>
        <w:rPr>
          <w:rFonts w:ascii="Times" w:hAnsi="Times"/>
          <w:color w:val="000000" w:themeColor="text1"/>
        </w:rPr>
        <w:instrText>ADDIN CSL_CITATION {"citationItems":[{"id":"ITEM-1","itemData":{"DOI":"10.5194/GMD-10-1175-2017","abstract":"The important role of fire in regulating vegetation community composition and contributions to emissions of greenhouse gases and aerosols make it a critical component of dynamic global vegetation models and Earth system models. Over 2 decades of development, a wide variety of model structures and mechanisms have been designed and incorporated into global fire models, which have been linked to different vegetation models. However, there has not yet been a systematic examination of how these different strategies contribute to model performance. Here we describe the structure of the first phase of the Fire Model Intercomparison Project (FireMIP), which for the first time seeks to systematically compare a number of models. By combining a standardized set of input data and model experiments with a rigorous comparison of model outputs to each other and to observations, we will improve the understanding of what drives vegetation fire, how it can best be simulated, and what new or improved observational data could allow better constraints on model behavior. In this paper, we introduce the fire models used in the first phase of FireMIP, the simulation protocols applied, and the benchmarking system used to evaluate the models. We have also created supplementary tables that describe, in thorough mathematical detail, the structure of each model.","author":[{"dropping-particle":"","family":"Rabin","given":"Sam S.","non-dropping-particle":"","parse-names":false,"suffix":""},{"dropping-particle":"","family":"Melton","given":"Joe R.","non-dropping-particle":"","parse-names":false,"suffix":""},{"dropping-particle":"","family":"Lasslop","given":"Gitta","non-dropping-particle":"","parse-names":false,"suffix":""},{"dropping-particle":"","family":"Bachelet","given":"Dominique","non-dropping-particle":"","parse-names":false,"suffix":""},{"dropping-particle":"","family":"Forrest","given":"Matthew","non-dropping-particle":"","parse-names":false,"suffix":""},{"dropping-particle":"","family":"Hantson","given":"Stijn","non-dropping-particle":"","parse-names":false,"suffix":""},{"dropping-particle":"","family":"Kaplan","given":"Jed O.","non-dropping-particle":"","parse-names":false,"suffix":""},{"dropping-particle":"","family":"Li","given":"Fang","non-dropping-particle":"","parse-names":false,"suffix":""},{"dropping-particle":"","family":"Mangeon","given":"Stéphane","non-dropping-particle":"","parse-names":false,"suffix":""},{"dropping-particle":"","family":"Ward","given":"Daniel S.","non-dropping-particle":"","parse-names":false,"suffix":""},{"dropping-particle":"","family":"Yue","given":"Chao","non-dropping-particle":"","parse-names":false,"suffix":""},{"dropping-particle":"","family":"Arora","given":"Vivek K.","non-dropping-particle":"","parse-names":false,"suffix":""},{"dropping-particle":"","family":"Hickler","given":"Thomas","non-dropping-particle":"","parse-names":false,"suffix":""},{"dropping-particle":"","family":"Kloster","given":"Silvia","non-dropping-particle":"","parse-names":false,"suffix":""},{"dropping-particle":"","family":"Knorr","given":"Wolfgang","non-dropping-particle":"","parse-names":false,"suffix":""},{"dropping-particle":"","family":"Nieradzik","given":"Lars","non-dropping-particle":"","parse-names":false,"suffix":""},{"dropping-particle":"","family":"Spessa","given":"Allan","non-dropping-particle":"","parse-names":false,"suffix":""},{"dropping-particle":"","family":"Folberth","given":"Gerd A.","non-dropping-particle":"","parse-names":false,"suffix":""},{"dropping-particle":"","family":"Sheehan","given":"Tim","non-dropping-particle":"","parse-names":false,"suffix":""},{"dropping-particle":"","family":"Voulgarakis","given":"Apostolos","non-dropping-particle":"","parse-names":false,"suffix":""},{"dropping-particle":"","family":"Kelley","given":"Douglas I.","non-dropping-particle":"","parse-names":false,"suffix":""},{"dropping-particle":"","family":"Colin Prentice","given":"I.","non-dropping-particle":"","parse-names":false,"suffix":""},{"dropping-particle":"","family":"Sitch","given":"Stephen","non-dropping-particle":"","parse-names":false,"suffix":""},{"dropping-particle":"","family":"Harrison","given":"Sandy","non-dropping-particle":"","parse-names":false,"suffix":""},{"dropping-particle":"","family":"Arneth","given":"Almut","non-dropping-particle":"","parse-names":false,"suffix":""}],"container-title":"Geoscientific Model Development","id":"ITEM-1","issue":"3","issued":{"date-parts":[["2017","3","17"]]},"page":"1175-1197","publisher":"Copernicus GmbH","title":"The Fire Modeling Intercomparison Project (FireMIP), phase 1: Experimental and analytical protocols with detailed model descriptions","type":"article-journal","volume":"10"},"uris":["http://www.mendeley.com/documents/?uuid=158d190c-1fb5-3f0e-88a1-3b869e660bd1"]},{"id":"ITEM-2","itemData":{"DOI":"10.5194/gmd-13-3299-2020","ISSN":"19919603","abstract":"Global fire-vegetation models are widely used to assess impacts of environmental change on fire regimes and the carbon cycle and to infer relationships between climate, land use and fire. However, differences in model structure and parameterizations, in both the vegetation and fire components of these models, could influence overall model performance, and to date there has been limited evaluation of how well different models represent various aspects of fire regimes. The Fire Model Intercomparison Project (FireMIP) is coordinating the evaluation of state-of-the-art global fire models, in order to improve projections of fire characteristics and fire impacts on ecosystems and human societies in the context of global environmental change. Here we perform a systematic evaluation of historical simulations made by nine FireMIP models to quantify their ability to reproduce a range of fire and vegetation benchmarks. The FireMIP models simulate a wide range in global annual total burnt area (39-536 Mha) and global annual fire carbon emission (0.91-4.75 Pg C yr-1) for modern conditions (2002-2012), but most of the range in burnt area is within observational uncertainty (345-468 Mha). Benchmarking scores indicate that seven out of nine FireMIP models are able to represent the spatial pattern in burnt area. The models also reproduce the seasonality in burnt area reasonably well but struggle to simulate fire season length and are largely unable to represent interannual variations in burnt area. However, models that represent cropland fires see improved simulation of fire seasonality in the Northern Hemisphere. The three FireMIP models which explicitly simulate individual fires are able to reproduce the spatial pattern in number of fires, but fire sizes are too small in key regions, and this results in an underestimation of burnt area. The correct representation of spatial and seasonal patterns in vegetation appears to correlate with a better representation of burnt area. The two older fire models included in the FireMIP ensemble (LPJ-GUESS-GlobFIRM, MC2) clearly perform less well globally than other models, but it is difficult to distinguish between the remaining ensemble members; some of these models are better at representing certain aspects of the fire regime; none clearly outperforms all other models across the full range of variables assessed.","author":[{"dropping-particle":"","family":"Hantson","given":"Stijn","non-dropping-particle":"","parse-names":false,"suffix":""},{"dropping-particle":"","family":"Kelley","given":"Douglas I.","non-dropping-particle":"","parse-names":false,"suffix":""},{"dropping-particle":"","family":"Arneth","given":"Almut","non-dropping-particle":"","parse-names":false,"suffix":""},{"dropping-particle":"","family":"Harrison","given":"Sandy P.","non-dropping-particle":"","parse-names":false,"suffix":""},{"dropping-particle":"","family":"Archibald","given":"Sally","non-dropping-particle":"","parse-names":false,"suffix":""},{"dropping-particle":"","family":"Bachelet","given":"Dominique","non-dropping-particle":"","parse-names":false,"suffix":""},{"dropping-particle":"","family":"Forrest","given":"Matthew","non-dropping-particle":"","parse-names":false,"suffix":""},{"dropping-particle":"","family":"Hickler","given":"Thomas","non-dropping-particle":"","parse-names":false,"suffix":""},{"dropping-particle":"","family":"Lasslop","given":"Gitta","non-dropping-particle":"","parse-names":false,"suffix":""},{"dropping-particle":"","family":"Li","given":"Fang","non-dropping-particle":"","parse-names":false,"suffix":""},{"dropping-particle":"","family":"Mangeon","given":"Stephane","non-dropping-particle":"","parse-names":false,"suffix":""},{"dropping-particle":"","family":"Melton","given":"Joe R.","non-dropping-particle":"","parse-names":false,"suffix":""},{"dropping-particle":"","family":"Nieradzik","given":"Lars","non-dropping-particle":"","parse-names":false,"suffix":""},{"dropping-particle":"","family":"Rabin","given":"Sam S.","non-dropping-particle":"","parse-names":false,"suffix":""},{"dropping-particle":"","family":"Colin Prentice","given":"I.","non-dropping-particle":"","parse-names":false,"suffix":""},{"dropping-particle":"","family":"Sheehan","given":"Tim","non-dropping-particle":"","parse-names":false,"suffix":""},{"dropping-particle":"","family":"Sitch","given":"Stephen","non-dropping-particle":"","parse-names":false,"suffix":""},{"dropping-particle":"","family":"Teckentrup","given":"Lina","non-dropping-particle":"","parse-names":false,"suffix":""},{"dropping-particle":"","family":"Voulgarakis","given":"Apostolos","non-dropping-particle":"","parse-names":false,"suffix":""},{"dropping-particle":"","family":"Yue","given":"Chao","non-dropping-particle":"","parse-names":false,"suffix":""}],"container-title":"Geoscientific Model Development","id":"ITEM-2","issue":"7","issued":{"date-parts":[["2020","7","17"]]},"page":"3299-3318","publisher":"Copernicus GmbH","title":"Quantitative assessment of fire and vegetation properties in simulations with fire-enabled vegetation models from the Fire Model Intercomparison Project","type":"article-journal","volume":"13"},"uris":["http://www.mendeley.com/documents/?uuid=7e7270e2-9b55-3cb9-9b34-73e18caa4df7"]}],"mendeley":{"formattedCitation":"&lt;sup&gt;34,87&lt;/sup&gt;","plainTextFormattedCitation":"34,87","previouslyFormattedCitation":"&lt;sup&gt;34,87&lt;/sup&gt;"},"properties":{"noteIndex":0},"schema":"https://github.com/citation-style-language/schema/raw/master/csl-citation.json"}</w:instrText>
      </w:r>
      <w:r w:rsidRPr="00874DFB">
        <w:rPr>
          <w:rFonts w:ascii="Times" w:hAnsi="Times"/>
          <w:color w:val="000000" w:themeColor="text1"/>
        </w:rPr>
        <w:fldChar w:fldCharType="separate"/>
      </w:r>
      <w:r w:rsidRPr="008333C1">
        <w:rPr>
          <w:rFonts w:ascii="Times" w:hAnsi="Times"/>
          <w:noProof/>
          <w:color w:val="000000" w:themeColor="text1"/>
          <w:vertAlign w:val="superscript"/>
        </w:rPr>
        <w:t>34,87</w:t>
      </w:r>
      <w:r w:rsidRPr="00874DFB">
        <w:rPr>
          <w:rFonts w:ascii="Times" w:hAnsi="Times"/>
          <w:color w:val="000000" w:themeColor="text1"/>
        </w:rPr>
        <w:fldChar w:fldCharType="end"/>
      </w:r>
      <w:r>
        <w:rPr>
          <w:rFonts w:ascii="Times" w:hAnsi="Times"/>
          <w:color w:val="000000" w:themeColor="text1"/>
        </w:rPr>
        <w:t xml:space="preserve">): </w:t>
      </w:r>
      <w:r w:rsidRPr="007F33F6">
        <w:rPr>
          <w:rFonts w:ascii="Times" w:hAnsi="Times"/>
          <w:color w:val="000000" w:themeColor="text1"/>
        </w:rPr>
        <w:t xml:space="preserve"> </w:t>
      </w:r>
    </w:p>
    <w:p w14:paraId="60EEECB9" w14:textId="77777777" w:rsidR="0030211E" w:rsidRDefault="0030211E" w:rsidP="0030211E">
      <w:pPr>
        <w:spacing w:line="360" w:lineRule="auto"/>
        <w:ind w:firstLine="720"/>
        <w:rPr>
          <w:rFonts w:ascii="Times" w:hAnsi="Times"/>
          <w:color w:val="000000" w:themeColor="text1"/>
        </w:rPr>
      </w:pPr>
      <w:r w:rsidRPr="00874DFB">
        <w:rPr>
          <w:rFonts w:ascii="Times" w:hAnsi="Times"/>
          <w:color w:val="000000" w:themeColor="text1"/>
        </w:rPr>
        <w:t>Two sets of simulations were used, first a fully transient simulation with changing climate, population density, land use and [CO</w:t>
      </w:r>
      <w:r w:rsidRPr="00874DFB">
        <w:rPr>
          <w:rFonts w:ascii="Times" w:hAnsi="Times"/>
          <w:color w:val="000000" w:themeColor="text1"/>
          <w:vertAlign w:val="subscript"/>
        </w:rPr>
        <w:t>2</w:t>
      </w:r>
      <w:r w:rsidRPr="00874DFB">
        <w:rPr>
          <w:rFonts w:ascii="Times" w:hAnsi="Times"/>
          <w:color w:val="000000" w:themeColor="text1"/>
        </w:rPr>
        <w:t>] and another identical sensitivity experiment in which fire was switched off. The difference between both runs indicated the long-term impact fire has on soil carbon as simulated by each model. Climate, land use, population density and [CO</w:t>
      </w:r>
      <w:r w:rsidRPr="00874DFB">
        <w:rPr>
          <w:rFonts w:ascii="Times" w:hAnsi="Times"/>
          <w:color w:val="000000" w:themeColor="text1"/>
          <w:vertAlign w:val="subscript"/>
        </w:rPr>
        <w:t>2</w:t>
      </w:r>
      <w:r w:rsidRPr="00874DFB">
        <w:rPr>
          <w:rFonts w:ascii="Times" w:hAnsi="Times"/>
          <w:color w:val="000000" w:themeColor="text1"/>
        </w:rPr>
        <w:t xml:space="preserve">] forcing data was standardized so that inter-model differences can be traced back to differences in model structure and parameterization and not to differences in forcing data. </w:t>
      </w:r>
      <w:r>
        <w:rPr>
          <w:rFonts w:ascii="Times" w:hAnsi="Times"/>
          <w:color w:val="000000" w:themeColor="text1"/>
        </w:rPr>
        <w:t>Of the models we used, CLM-Li and LPJ-GUESS-SIMFIRE-BLAZE had nitrogen cycles.</w:t>
      </w:r>
    </w:p>
    <w:p w14:paraId="48FC54E4" w14:textId="77777777" w:rsidR="0030211E" w:rsidRDefault="0030211E" w:rsidP="0030211E">
      <w:pPr>
        <w:spacing w:line="360" w:lineRule="auto"/>
        <w:ind w:firstLine="720"/>
        <w:rPr>
          <w:rFonts w:ascii="Times" w:hAnsi="Times"/>
          <w:color w:val="000000" w:themeColor="text1"/>
        </w:rPr>
      </w:pPr>
      <w:r w:rsidRPr="00874DFB">
        <w:rPr>
          <w:rFonts w:ascii="Times" w:hAnsi="Times"/>
          <w:color w:val="000000" w:themeColor="text1"/>
        </w:rPr>
        <w:t>A spin-up until the slowest C-pool was in equilibrium was performed for each run, during which climate was recycled over the 1901-1920 period and all other forcing data were kept constant at their initial value. After spin-up the models were</w:t>
      </w:r>
      <w:r>
        <w:rPr>
          <w:rFonts w:ascii="Times" w:hAnsi="Times"/>
          <w:color w:val="000000" w:themeColor="text1"/>
        </w:rPr>
        <w:t xml:space="preserve"> forced by </w:t>
      </w:r>
      <w:r w:rsidRPr="00874DFB">
        <w:rPr>
          <w:rFonts w:ascii="Times" w:hAnsi="Times"/>
          <w:color w:val="000000" w:themeColor="text1"/>
        </w:rPr>
        <w:t>time varying land use, population density and [CO</w:t>
      </w:r>
      <w:r w:rsidRPr="00874DFB">
        <w:rPr>
          <w:rFonts w:ascii="Times" w:hAnsi="Times"/>
          <w:color w:val="000000" w:themeColor="text1"/>
          <w:vertAlign w:val="subscript"/>
        </w:rPr>
        <w:t>2</w:t>
      </w:r>
      <w:r w:rsidRPr="00874DFB">
        <w:rPr>
          <w:rFonts w:ascii="Times" w:hAnsi="Times"/>
          <w:color w:val="000000" w:themeColor="text1"/>
        </w:rPr>
        <w:t>] (1700-2013) and climate (1901-2013). Two models slightly deviated from this protocol by starting their transient simulations later (CLM: 1850 &amp; CTEM: 1861) but this should have minimal impact on the results used here. Soil carbon output averaged over the last two decades of each model’s simulations was used for analysis. More detailed information about the fire on/off simulations can be found in refs</w:t>
      </w:r>
      <w:r>
        <w:rPr>
          <w:rFonts w:ascii="Times" w:hAnsi="Times"/>
          <w:color w:val="000000" w:themeColor="text1"/>
        </w:rPr>
        <w:t xml:space="preserve"> </w:t>
      </w:r>
      <w:r>
        <w:rPr>
          <w:rFonts w:ascii="Times" w:hAnsi="Times"/>
          <w:color w:val="000000" w:themeColor="text1"/>
        </w:rPr>
        <w:fldChar w:fldCharType="begin" w:fldLock="1"/>
      </w:r>
      <w:r>
        <w:rPr>
          <w:rFonts w:ascii="Times" w:hAnsi="Times"/>
          <w:color w:val="000000" w:themeColor="text1"/>
        </w:rPr>
        <w:instrText>ADDIN CSL_CITATION {"citationItems":[{"id":"ITEM-1","itemData":{"DOI":"10.5194/GMD-10-1175-2017","abstract":"The important role of fire in regulating vegetation community composition and contributions to emissions of greenhouse gases and aerosols make it a critical component of dynamic global vegetation models and Earth system models. Over 2 decades of development, a wide variety of model structures and mechanisms have been designed and incorporated into global fire models, which have been linked to different vegetation models. However, there has not yet been a systematic examination of how these different strategies contribute to model performance. Here we describe the structure of the first phase of the Fire Model Intercomparison Project (FireMIP), which for the first time seeks to systematically compare a number of models. By combining a standardized set of input data and model experiments with a rigorous comparison of model outputs to each other and to observations, we will improve the understanding of what drives vegetation fire, how it can best be simulated, and what new or improved observational data could allow better constraints on model behavior. In this paper, we introduce the fire models used in the first phase of FireMIP, the simulation protocols applied, and the benchmarking system used to evaluate the models. We have also created supplementary tables that describe, in thorough mathematical detail, the structure of each model.","author":[{"dropping-particle":"","family":"Rabin","given":"Sam S.","non-dropping-particle":"","parse-names":false,"suffix":""},{"dropping-particle":"","family":"Melton","given":"Joe R.","non-dropping-particle":"","parse-names":false,"suffix":""},{"dropping-particle":"","family":"Lasslop","given":"Gitta","non-dropping-particle":"","parse-names":false,"suffix":""},{"dropping-particle":"","family":"Bachelet","given":"Dominique","non-dropping-particle":"","parse-names":false,"suffix":""},{"dropping-particle":"","family":"Forrest","given":"Matthew","non-dropping-particle":"","parse-names":false,"suffix":""},{"dropping-particle":"","family":"Hantson","given":"Stijn","non-dropping-particle":"","parse-names":false,"suffix":""},{"dropping-particle":"","family":"Kaplan","given":"Jed O.","non-dropping-particle":"","parse-names":false,"suffix":""},{"dropping-particle":"","family":"Li","given":"Fang","non-dropping-particle":"","parse-names":false,"suffix":""},{"dropping-particle":"","family":"Mangeon","given":"Stéphane","non-dropping-particle":"","parse-names":false,"suffix":""},{"dropping-particle":"","family":"Ward","given":"Daniel S.","non-dropping-particle":"","parse-names":false,"suffix":""},{"dropping-particle":"","family":"Yue","given":"Chao","non-dropping-particle":"","parse-names":false,"suffix":""},{"dropping-particle":"","family":"Arora","given":"Vivek K.","non-dropping-particle":"","parse-names":false,"suffix":""},{"dropping-particle":"","family":"Hickler","given":"Thomas","non-dropping-particle":"","parse-names":false,"suffix":""},{"dropping-particle":"","family":"Kloster","given":"Silvia","non-dropping-particle":"","parse-names":false,"suffix":""},{"dropping-particle":"","family":"Knorr","given":"Wolfgang","non-dropping-particle":"","parse-names":false,"suffix":""},{"dropping-particle":"","family":"Nieradzik","given":"Lars","non-dropping-particle":"","parse-names":false,"suffix":""},{"dropping-particle":"","family":"Spessa","given":"Allan","non-dropping-particle":"","parse-names":false,"suffix":""},{"dropping-particle":"","family":"Folberth","given":"Gerd A.","non-dropping-particle":"","parse-names":false,"suffix":""},{"dropping-particle":"","family":"Sheehan","given":"Tim","non-dropping-particle":"","parse-names":false,"suffix":""},{"dropping-particle":"","family":"Voulgarakis","given":"Apostolos","non-dropping-particle":"","parse-names":false,"suffix":""},{"dropping-particle":"","family":"Kelley","given":"Douglas I.","non-dropping-particle":"","parse-names":false,"suffix":""},{"dropping-particle":"","family":"Colin Prentice","given":"I.","non-dropping-particle":"","parse-names":false,"suffix":""},{"dropping-particle":"","family":"Sitch","given":"Stephen","non-dropping-particle":"","parse-names":false,"suffix":""},{"dropping-particle":"","family":"Harrison","given":"Sandy","non-dropping-particle":"","parse-names":false,"suffix":""},{"dropping-particle":"","family":"Arneth","given":"Almut","non-dropping-particle":"","parse-names":false,"suffix":""}],"container-title":"Geoscientific Model Development","id":"ITEM-1","issue":"3","issued":{"date-parts":[["2017","3","17"]]},"page":"1175-1197","publisher":"Copernicus GmbH","title":"The Fire Modeling Intercomparison Project (FireMIP), phase 1: Experimental and analytical protocols with detailed model descriptions","type":"article-journal","volume":"10"},"uris":["http://www.mendeley.com/documents/?uuid=158d190c-1fb5-3f0e-88a1-3b869e660bd1"]},{"id":"ITEM-2","itemData":{"DOI":"10.1111/gcb.15160","ISSN":"1354-1013","abstract":"In this study, we use simulations from seven global vegetation models to provide the first multi-model estimate of fire impacts on global tree cover and the carbon cycle under current climate and anthropogenic land use conditions, averaged for the years 2001–2012. Fire globally reduces the tree covered area and vegetation carbon storage by 10%. Regionally, the effects are much stronger, up to 20% for certain latitudinal bands, and 17% in savanna regions. Global fire effects on total carbon storage and carbon turnover times are lower with the effect on gross primary productivity (GPP) close to 0. We find the strongest impacts of fire in savanna regions. Climatic conditions in regions with the highest burned area differ from regions with highest absolute fire impact, which are characterized by higher precipitation. Our estimates of fire-induced vegetation change are lower than previous studies. We attribute these differences to different definitions of vegetation change and effects of anthropogenic land use, which were not considered in previous studies and decreases the impact of fire on tree cover. Accounting for fires significantly improves the spatial patterns of simulated tree cover, which demonstrates the need to represent fire in dynamic vegetation models. Based upon comparisons between models and observations, process understanding and representation in models, we assess a higher confidence in the fire impact on tree cover and vegetation carbon compared to GPP, total carbon storage and turnover times. We have higher confidence in the spatial patterns compared to the global totals of the simulated fire impact. As we used an ensemble of state-of-the-art fire models, including effects of land use and the ensemble median or mean compares better to observational datasets than any individual model, we consider the here presented results to be the current best estimate of global fire effects on ecosystems.","author":[{"dropping-particle":"","family":"Lasslop","given":"Gitta","non-dropping-particle":"","parse-names":false,"suffix":""},{"dropping-particle":"","family":"Hantson","given":"Stijn","non-dropping-particle":"","parse-names":false,"suffix":""},{"dropping-particle":"","family":"Harrison","given":"Sandy P.","non-dropping-particle":"","parse-names":false,"suffix":""},{"dropping-particle":"","family":"Bachelet","given":"Dominique","non-dropping-particle":"","parse-names":false,"suffix":""},{"dropping-particle":"","family":"Burton","given":"Chantelle","non-dropping-particle":"","parse-names":false,"suffix":""},{"dropping-particle":"","family":"Forkel","given":"Matthias","non-dropping-particle":"","parse-names":false,"suffix":""},{"dropping-particle":"","family":"Forrest","given":"Matthew","non-dropping-particle":"","parse-names":false,"suffix":""},{"dropping-particle":"","family":"Li","given":"Fang","non-dropping-particle":"","parse-names":false,"suffix":""},{"dropping-particle":"","family":"Melton","given":"Joe R.","non-dropping-particle":"","parse-names":false,"suffix":""},{"dropping-particle":"","family":"Yue","given":"Chao","non-dropping-particle":"","parse-names":false,"suffix":""},{"dropping-particle":"","family":"Archibald","given":"Sally","non-dropping-particle":"","parse-names":false,"suffix":""},{"dropping-particle":"","family":"Scheiter","given":"Simon","non-dropping-particle":"","parse-names":false,"suffix":""},{"dropping-particle":"","family":"Arneth","given":"Almut","non-dropping-particle":"","parse-names":false,"suffix":""},{"dropping-particle":"","family":"Hickler","given":"Thomas","non-dropping-particle":"","parse-names":false,"suffix":""},{"dropping-particle":"","family":"Sitch","given":"Stephen","non-dropping-particle":"","parse-names":false,"suffix":""}],"container-title":"Global Change Biology","id":"ITEM-2","issue":"9","issued":{"date-parts":[["2020","9","27"]]},"page":"5027-5041","publisher":"Blackwell Publishing Ltd","title":"Global ecosystems and fire: multi‐model assessment of fire‐induced tree cover and carbon storage reduction","type":"article-journal","volume":"26"},"uris":["http://www.mendeley.com/documents/?uuid=5657997f-e4d6-4870-8d53-7d9390895285"]}],"mendeley":{"formattedCitation":"&lt;sup&gt;7,87&lt;/sup&gt;","plainTextFormattedCitation":"7,87","previouslyFormattedCitation":"&lt;sup&gt;7,87&lt;/sup&gt;"},"properties":{"noteIndex":0},"schema":"https://github.com/citation-style-language/schema/raw/master/csl-citation.json"}</w:instrText>
      </w:r>
      <w:r>
        <w:rPr>
          <w:rFonts w:ascii="Times" w:hAnsi="Times"/>
          <w:color w:val="000000" w:themeColor="text1"/>
        </w:rPr>
        <w:fldChar w:fldCharType="separate"/>
      </w:r>
      <w:r w:rsidRPr="008333C1">
        <w:rPr>
          <w:rFonts w:ascii="Times" w:hAnsi="Times"/>
          <w:noProof/>
          <w:color w:val="000000" w:themeColor="text1"/>
          <w:vertAlign w:val="superscript"/>
        </w:rPr>
        <w:t>7,87</w:t>
      </w:r>
      <w:r>
        <w:rPr>
          <w:rFonts w:ascii="Times" w:hAnsi="Times"/>
          <w:color w:val="000000" w:themeColor="text1"/>
        </w:rPr>
        <w:fldChar w:fldCharType="end"/>
      </w:r>
      <w:r w:rsidRPr="00874DFB">
        <w:rPr>
          <w:rFonts w:ascii="Times" w:hAnsi="Times"/>
          <w:color w:val="000000" w:themeColor="text1"/>
        </w:rPr>
        <w:t>. For our statistical analyses, we merged the WorldClim dataset with the model output for direct comparability between the spatial trends in our empirical data. Because we are interested in the factors that determine the impact of fire on soil C, we filtered the data to only include gridcells that had non-zero burned area.</w:t>
      </w:r>
    </w:p>
    <w:p w14:paraId="135186F2" w14:textId="77777777" w:rsidR="0030211E" w:rsidRDefault="0030211E" w:rsidP="0030211E">
      <w:pPr>
        <w:spacing w:line="360" w:lineRule="auto"/>
        <w:rPr>
          <w:rFonts w:ascii="Times" w:hAnsi="Times"/>
          <w:color w:val="000000" w:themeColor="text1"/>
        </w:rPr>
      </w:pPr>
      <w:r>
        <w:rPr>
          <w:rFonts w:ascii="Times" w:hAnsi="Times"/>
          <w:color w:val="000000" w:themeColor="text1"/>
        </w:rPr>
        <w:lastRenderedPageBreak/>
        <w:tab/>
        <w:t>All t</w:t>
      </w:r>
      <w:r w:rsidRPr="00734D7C">
        <w:rPr>
          <w:rFonts w:ascii="Times" w:hAnsi="Times"/>
          <w:color w:val="000000" w:themeColor="text1"/>
        </w:rPr>
        <w:t xml:space="preserve">he DGVMs </w:t>
      </w:r>
      <w:r>
        <w:rPr>
          <w:rFonts w:ascii="Times" w:hAnsi="Times"/>
          <w:color w:val="000000" w:themeColor="text1"/>
        </w:rPr>
        <w:t>we</w:t>
      </w:r>
      <w:r w:rsidRPr="00734D7C">
        <w:rPr>
          <w:rFonts w:ascii="Times" w:hAnsi="Times"/>
          <w:color w:val="000000" w:themeColor="text1"/>
        </w:rPr>
        <w:t xml:space="preserve"> used in this study explicitly simulate litter burning. The models </w:t>
      </w:r>
      <w:r>
        <w:rPr>
          <w:rFonts w:ascii="Times" w:hAnsi="Times"/>
          <w:color w:val="000000" w:themeColor="text1"/>
        </w:rPr>
        <w:t xml:space="preserve">do not simulate SOC burning </w:t>
      </w:r>
      <w:r w:rsidRPr="00734D7C">
        <w:rPr>
          <w:rFonts w:ascii="Times" w:hAnsi="Times"/>
          <w:color w:val="000000" w:themeColor="text1"/>
        </w:rPr>
        <w:t>except for CLM-Li.</w:t>
      </w:r>
      <w:r>
        <w:rPr>
          <w:rFonts w:ascii="Times" w:hAnsi="Times"/>
          <w:color w:val="000000" w:themeColor="text1"/>
        </w:rPr>
        <w:t xml:space="preserve"> </w:t>
      </w:r>
      <w:r w:rsidRPr="00734D7C">
        <w:rPr>
          <w:rFonts w:ascii="Times" w:hAnsi="Times"/>
          <w:color w:val="000000" w:themeColor="text1"/>
        </w:rPr>
        <w:t xml:space="preserve">CLM-Li </w:t>
      </w:r>
      <w:r>
        <w:rPr>
          <w:rFonts w:ascii="Times" w:hAnsi="Times"/>
          <w:color w:val="000000" w:themeColor="text1"/>
        </w:rPr>
        <w:t>simulates SOC burning</w:t>
      </w:r>
      <w:r w:rsidRPr="00734D7C">
        <w:rPr>
          <w:rFonts w:ascii="Times" w:hAnsi="Times"/>
          <w:color w:val="000000" w:themeColor="text1"/>
        </w:rPr>
        <w:t xml:space="preserve"> only over peatlands</w:t>
      </w:r>
      <w:r>
        <w:rPr>
          <w:rFonts w:ascii="Times" w:hAnsi="Times"/>
          <w:color w:val="000000" w:themeColor="text1"/>
        </w:rPr>
        <w:t>. However, for consistency with the other models</w:t>
      </w:r>
      <w:r w:rsidRPr="00734D7C">
        <w:rPr>
          <w:rFonts w:ascii="Times" w:hAnsi="Times"/>
          <w:color w:val="000000" w:themeColor="text1"/>
        </w:rPr>
        <w:t xml:space="preserve">, </w:t>
      </w:r>
      <w:r>
        <w:rPr>
          <w:rFonts w:ascii="Times" w:hAnsi="Times"/>
          <w:color w:val="000000" w:themeColor="text1"/>
        </w:rPr>
        <w:t>we did not</w:t>
      </w:r>
      <w:r w:rsidRPr="00734D7C">
        <w:rPr>
          <w:rFonts w:ascii="Times" w:hAnsi="Times"/>
          <w:color w:val="000000" w:themeColor="text1"/>
        </w:rPr>
        <w:t xml:space="preserve"> consider its impact on SOC in </w:t>
      </w:r>
      <w:r>
        <w:rPr>
          <w:rFonts w:ascii="Times" w:hAnsi="Times"/>
          <w:color w:val="000000" w:themeColor="text1"/>
        </w:rPr>
        <w:t xml:space="preserve">the </w:t>
      </w:r>
      <w:r w:rsidRPr="00734D7C">
        <w:rPr>
          <w:rFonts w:ascii="Times" w:hAnsi="Times"/>
          <w:color w:val="000000" w:themeColor="text1"/>
        </w:rPr>
        <w:t>FireMIP</w:t>
      </w:r>
      <w:r>
        <w:rPr>
          <w:rFonts w:ascii="Times" w:hAnsi="Times"/>
          <w:color w:val="000000" w:themeColor="text1"/>
        </w:rPr>
        <w:t xml:space="preserve"> simulations</w:t>
      </w:r>
      <w:r w:rsidRPr="00734D7C">
        <w:rPr>
          <w:rFonts w:ascii="Times" w:hAnsi="Times"/>
          <w:color w:val="000000" w:themeColor="text1"/>
        </w:rPr>
        <w:t>.</w:t>
      </w:r>
    </w:p>
    <w:p w14:paraId="39B2BCC5" w14:textId="77777777" w:rsidR="0030211E" w:rsidRDefault="0030211E" w:rsidP="0030211E">
      <w:pPr>
        <w:spacing w:line="360" w:lineRule="auto"/>
        <w:rPr>
          <w:rFonts w:ascii="Times" w:hAnsi="Times"/>
          <w:color w:val="000000" w:themeColor="text1"/>
        </w:rPr>
      </w:pPr>
    </w:p>
    <w:p w14:paraId="190096A7" w14:textId="77777777" w:rsidR="0030211E" w:rsidRDefault="0030211E" w:rsidP="0030211E">
      <w:pPr>
        <w:spacing w:line="360" w:lineRule="auto"/>
        <w:rPr>
          <w:rFonts w:ascii="Times" w:hAnsi="Times"/>
          <w:b/>
          <w:bCs/>
          <w:i/>
          <w:iCs/>
        </w:rPr>
      </w:pPr>
      <w:r>
        <w:rPr>
          <w:rFonts w:ascii="Times" w:hAnsi="Times"/>
          <w:b/>
          <w:bCs/>
          <w:i/>
          <w:iCs/>
        </w:rPr>
        <w:t>4. Upscaling calculations</w:t>
      </w:r>
    </w:p>
    <w:p w14:paraId="46A04A47" w14:textId="77777777" w:rsidR="0030211E" w:rsidRDefault="0030211E" w:rsidP="0030211E">
      <w:pPr>
        <w:spacing w:line="360" w:lineRule="auto"/>
        <w:rPr>
          <w:rFonts w:ascii="Times" w:hAnsi="Times"/>
        </w:rPr>
      </w:pPr>
      <w:r>
        <w:rPr>
          <w:rFonts w:ascii="Times" w:hAnsi="Times"/>
        </w:rPr>
        <w:t xml:space="preserve">We determined the distribution of savanna-grasslands using the WWF ecoregions but excluded the </w:t>
      </w:r>
      <w:r w:rsidRPr="001405BA">
        <w:rPr>
          <w:rFonts w:ascii="Times" w:hAnsi="Times"/>
        </w:rPr>
        <w:t xml:space="preserve">Montane Grasslands &amp; Shrublands </w:t>
      </w:r>
      <w:r>
        <w:rPr>
          <w:rFonts w:ascii="Times" w:hAnsi="Times"/>
        </w:rPr>
        <w:t>category because this included steppe (</w:t>
      </w:r>
      <w:hyperlink r:id="rId13" w:history="1">
        <w:r>
          <w:rPr>
            <w:rStyle w:val="Hyperlink"/>
          </w:rPr>
          <w:t>https://www.worldwildlife.org/biomes/montane-grasslands-and-shrublands</w:t>
        </w:r>
      </w:hyperlink>
      <w:r>
        <w:rPr>
          <w:rFonts w:ascii="Times" w:hAnsi="Times"/>
        </w:rPr>
        <w:t>). Maps were downloaded on 1/1/2023.</w:t>
      </w:r>
    </w:p>
    <w:p w14:paraId="0E4E55D2" w14:textId="77777777" w:rsidR="0030211E" w:rsidRPr="00CA7C66" w:rsidRDefault="0030211E" w:rsidP="0030211E">
      <w:pPr>
        <w:spacing w:line="360" w:lineRule="auto"/>
        <w:rPr>
          <w:rFonts w:ascii="Times" w:hAnsi="Times"/>
        </w:rPr>
      </w:pPr>
      <w:r>
        <w:rPr>
          <w:rFonts w:ascii="Times" w:hAnsi="Times"/>
          <w:b/>
          <w:bCs/>
        </w:rPr>
        <w:tab/>
      </w:r>
      <w:r w:rsidRPr="00CA7C66">
        <w:rPr>
          <w:rFonts w:ascii="Times" w:hAnsi="Times"/>
        </w:rPr>
        <w:t>We included the main environmental variables determined in our main meta-regression: percent silt, precipitation seasonality, mean annual temperature, mean annual precipitation, and aridity</w:t>
      </w:r>
      <w:r>
        <w:rPr>
          <w:rFonts w:ascii="Times" w:hAnsi="Times"/>
        </w:rPr>
        <w:t xml:space="preserve">. Climate data were acquired from the same sources as we described above. Percent silt data were taken from the Harmonized World Soils Database v.1.2 (accessed 5/20/2020). We used a 17-year duration of fire treatments based on the 1998-2015 GFED4 records. </w:t>
      </w:r>
    </w:p>
    <w:p w14:paraId="6E3F0C76" w14:textId="77777777" w:rsidR="0030211E" w:rsidRPr="00CA7C66" w:rsidRDefault="0030211E" w:rsidP="0030211E">
      <w:pPr>
        <w:spacing w:line="360" w:lineRule="auto"/>
        <w:ind w:firstLine="720"/>
        <w:rPr>
          <w:rFonts w:ascii="Times" w:hAnsi="Times"/>
        </w:rPr>
      </w:pPr>
      <w:r>
        <w:rPr>
          <w:rFonts w:ascii="Times" w:hAnsi="Times"/>
        </w:rPr>
        <w:t>We then applied our statistical model to each gridcell across savanna-grasslands. We determined the potential significance of cells using the 95% confidence intervals of the model fit. We present a comparison between global data extrapolated over and data used to fit the statistical model in Figure S10.</w:t>
      </w:r>
      <w:r w:rsidRPr="00FF2A06">
        <w:rPr>
          <w:rFonts w:ascii="Times" w:hAnsi="Times"/>
        </w:rPr>
        <w:t xml:space="preserve"> </w:t>
      </w:r>
      <w:r>
        <w:rPr>
          <w:rFonts w:ascii="Times" w:hAnsi="Times"/>
        </w:rPr>
        <w:t>For our calculations, we restricted our analysis to only include environmental conditions covered by our dataset used to build the statistical model.</w:t>
      </w:r>
    </w:p>
    <w:p w14:paraId="03CE0D65" w14:textId="77777777" w:rsidR="0030211E" w:rsidRPr="002E2EE8" w:rsidRDefault="0030211E" w:rsidP="0030211E">
      <w:pPr>
        <w:spacing w:line="360" w:lineRule="auto"/>
        <w:ind w:firstLine="720"/>
        <w:rPr>
          <w:rFonts w:ascii="Times" w:hAnsi="Times"/>
        </w:rPr>
      </w:pPr>
      <w:r>
        <w:rPr>
          <w:rFonts w:ascii="Times" w:hAnsi="Times"/>
        </w:rPr>
        <w:t>Areas that were experiencing either gains or declines in burned area were determined using remote sensing data on fire occurrences from 1998-2015 from a previously published dataset</w:t>
      </w:r>
      <w:r>
        <w:rPr>
          <w:rFonts w:ascii="Times" w:hAnsi="Times"/>
        </w:rPr>
        <w:fldChar w:fldCharType="begin" w:fldLock="1"/>
      </w:r>
      <w:r>
        <w:rPr>
          <w:rFonts w:ascii="Times" w:hAnsi="Times"/>
        </w:rPr>
        <w:instrText>ADDIN CSL_CITATION {"citationItems":[{"id":"ITEM-1","itemData":{"DOI":"10.3334/ORNLDAAC/1247","author":[{"dropping-particle":"","family":"Wieder","given":"W.R.","non-dropping-particle":"","parse-names":false,"suffix":""},{"dropping-particle":"","family":"Boehnert","given":"J.","non-dropping-particle":"","parse-names":false,"suffix":""},{"dropping-particle":"","family":"Bonan","given":"G.B.","non-dropping-particle":"","parse-names":false,"suffix":""},{"dropping-particle":"","family":"Langseth","given":"M.","non-dropping-particle":"","parse-names":false,"suffix":""}],"id":"ITEM-1","issued":{"date-parts":[["2014"]]},"number-of-pages":"v1.2","title":"Regridded Harmonized World Soil Database v1.2.","type":"report"},"uris":["http://www.mendeley.com/documents/?uuid=0f0e72cb-d39b-45ba-a9e1-45f533dd5d84"]}],"mendeley":{"formattedCitation":"&lt;sup&gt;88&lt;/sup&gt;","plainTextFormattedCitation":"88","previouslyFormattedCitation":"&lt;sup&gt;37&lt;/sup&gt;"},"properties":{"noteIndex":0},"schema":"https://github.com/citation-style-language/schema/raw/master/csl-citation.json"}</w:instrText>
      </w:r>
      <w:r>
        <w:rPr>
          <w:rFonts w:ascii="Times" w:hAnsi="Times"/>
        </w:rPr>
        <w:fldChar w:fldCharType="separate"/>
      </w:r>
      <w:r w:rsidRPr="001315B6">
        <w:rPr>
          <w:rFonts w:ascii="Times" w:hAnsi="Times"/>
          <w:noProof/>
          <w:vertAlign w:val="superscript"/>
        </w:rPr>
        <w:t>88</w:t>
      </w:r>
      <w:r>
        <w:rPr>
          <w:rFonts w:ascii="Times" w:hAnsi="Times"/>
        </w:rPr>
        <w:fldChar w:fldCharType="end"/>
      </w:r>
      <w:r>
        <w:rPr>
          <w:rFonts w:ascii="Times" w:hAnsi="Times"/>
        </w:rPr>
        <w:t>. For the declines in burned area we re-calculated the response ratios in terms of fire exclusion/high frequency to illustrate the potential gain in soil C and transformed them to percent differences; this was repeated for the cases where fire frequency increased. These were then multiplied to the total SOC stocks in each gridcell calculated from the Harmonized World Soils Database v.1.2</w:t>
      </w:r>
      <w:r>
        <w:rPr>
          <w:rFonts w:ascii="Times" w:hAnsi="Times"/>
        </w:rPr>
        <w:fldChar w:fldCharType="begin" w:fldLock="1"/>
      </w:r>
      <w:r>
        <w:rPr>
          <w:rFonts w:ascii="Times" w:hAnsi="Times"/>
        </w:rPr>
        <w:instrText>ADDIN CSL_CITATION {"citationItems":[{"id":"ITEM-1","itemData":{"DOI":"10.3334/ORNLDAAC/1247","author":[{"dropping-particle":"","family":"Wieder","given":"W.R.","non-dropping-particle":"","parse-names":false,"suffix":""},{"dropping-particle":"","family":"Boehnert","given":"J.","non-dropping-particle":"","parse-names":false,"suffix":""},{"dropping-particle":"","family":"Bonan","given":"G.B.","non-dropping-particle":"","parse-names":false,"suffix":""},{"dropping-particle":"","family":"Langseth","given":"M.","non-dropping-particle":"","parse-names":false,"suffix":""}],"id":"ITEM-1","issued":{"date-parts":[["2014"]]},"number-of-pages":"v1.2","title":"Regridded Harmonized World Soil Database v1.2.","type":"report"},"uris":["http://www.mendeley.com/documents/?uuid=0f0e72cb-d39b-45ba-a9e1-45f533dd5d84"]}],"mendeley":{"formattedCitation":"&lt;sup&gt;88&lt;/sup&gt;","plainTextFormattedCitation":"88","previouslyFormattedCitation":"&lt;sup&gt;37&lt;/sup&gt;"},"properties":{"noteIndex":0},"schema":"https://github.com/citation-style-language/schema/raw/master/csl-citation.json"}</w:instrText>
      </w:r>
      <w:r>
        <w:rPr>
          <w:rFonts w:ascii="Times" w:hAnsi="Times"/>
        </w:rPr>
        <w:fldChar w:fldCharType="separate"/>
      </w:r>
      <w:r w:rsidRPr="001315B6">
        <w:rPr>
          <w:rFonts w:ascii="Times" w:hAnsi="Times"/>
          <w:noProof/>
          <w:vertAlign w:val="superscript"/>
        </w:rPr>
        <w:t>88</w:t>
      </w:r>
      <w:r>
        <w:rPr>
          <w:rFonts w:ascii="Times" w:hAnsi="Times"/>
        </w:rPr>
        <w:fldChar w:fldCharType="end"/>
      </w:r>
      <w:r>
        <w:rPr>
          <w:rFonts w:ascii="Times" w:hAnsi="Times"/>
        </w:rPr>
        <w:t xml:space="preserve"> to transport a percentage to a stock change. </w:t>
      </w:r>
    </w:p>
    <w:p w14:paraId="69DF9FD9" w14:textId="77777777" w:rsidR="001760E5" w:rsidRDefault="0030211E"/>
    <w:sectPr w:rsidR="001760E5" w:rsidSect="00EA72C3">
      <w:headerReference w:type="even" r:id="rId14"/>
      <w:headerReference w:type="default" r:id="rId15"/>
      <w:pgSz w:w="12240" w:h="15840"/>
      <w:pgMar w:top="1440" w:right="1440" w:bottom="1440" w:left="1440" w:header="720" w:footer="720" w:gutter="0"/>
      <w:lnNumType w:countBy="1" w:restart="continuous"/>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92173981"/>
      <w:docPartObj>
        <w:docPartGallery w:val="Page Numbers (Top of Page)"/>
        <w:docPartUnique/>
      </w:docPartObj>
    </w:sdtPr>
    <w:sdtEndPr>
      <w:rPr>
        <w:rStyle w:val="PageNumber"/>
      </w:rPr>
    </w:sdtEndPr>
    <w:sdtContent>
      <w:p w14:paraId="79C5DB6C" w14:textId="77777777" w:rsidR="00140951" w:rsidRDefault="0030211E" w:rsidP="00AB4008">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67FB7FE" w14:textId="77777777" w:rsidR="00140951" w:rsidRDefault="0030211E">
    <w:pPr>
      <w:pStyle w:val="Header"/>
      <w:ind w:right="360"/>
      <w:pPrChange w:id="2" w:author="Adam Pellegrini" w:date="2020-07-16T18:42:00Z">
        <w:pPr>
          <w:pStyle w:val="Header"/>
        </w:pPr>
      </w:pPrChang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Fonts w:ascii="Times" w:hAnsi="Times"/>
      </w:rPr>
      <w:id w:val="-1472510023"/>
      <w:docPartObj>
        <w:docPartGallery w:val="Page Numbers (Top of Page)"/>
        <w:docPartUnique/>
      </w:docPartObj>
    </w:sdtPr>
    <w:sdtEndPr>
      <w:rPr>
        <w:rStyle w:val="PageNumber"/>
      </w:rPr>
    </w:sdtEndPr>
    <w:sdtContent>
      <w:p w14:paraId="29A51016" w14:textId="77777777" w:rsidR="00140951" w:rsidRPr="00AB4008" w:rsidRDefault="0030211E" w:rsidP="00AB4008">
        <w:pPr>
          <w:pStyle w:val="Header"/>
          <w:framePr w:wrap="none" w:vAnchor="text" w:hAnchor="margin" w:xAlign="right" w:y="1"/>
          <w:rPr>
            <w:rStyle w:val="PageNumber"/>
            <w:rFonts w:ascii="Times" w:hAnsi="Times"/>
          </w:rPr>
        </w:pPr>
        <w:r w:rsidRPr="00AB4008">
          <w:rPr>
            <w:rStyle w:val="PageNumber"/>
            <w:rFonts w:ascii="Times" w:hAnsi="Times"/>
          </w:rPr>
          <w:fldChar w:fldCharType="begin"/>
        </w:r>
        <w:r w:rsidRPr="00AB4008">
          <w:rPr>
            <w:rStyle w:val="PageNumber"/>
            <w:rFonts w:ascii="Times" w:hAnsi="Times"/>
          </w:rPr>
          <w:instrText xml:space="preserve"> PAGE </w:instrText>
        </w:r>
        <w:r w:rsidRPr="00AB4008">
          <w:rPr>
            <w:rStyle w:val="PageNumber"/>
            <w:rFonts w:ascii="Times" w:hAnsi="Times"/>
          </w:rPr>
          <w:fldChar w:fldCharType="separate"/>
        </w:r>
        <w:r>
          <w:rPr>
            <w:rStyle w:val="PageNumber"/>
            <w:rFonts w:ascii="Times" w:hAnsi="Times"/>
            <w:noProof/>
          </w:rPr>
          <w:t>52</w:t>
        </w:r>
        <w:r w:rsidRPr="00AB4008">
          <w:rPr>
            <w:rStyle w:val="PageNumber"/>
            <w:rFonts w:ascii="Times" w:hAnsi="Times"/>
          </w:rPr>
          <w:fldChar w:fldCharType="end"/>
        </w:r>
      </w:p>
    </w:sdtContent>
  </w:sdt>
  <w:p w14:paraId="3C66EC3E" w14:textId="77777777" w:rsidR="00140951" w:rsidRDefault="0030211E" w:rsidP="00AB4008">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8B76943"/>
    <w:multiLevelType w:val="hybridMultilevel"/>
    <w:tmpl w:val="F7C4A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8F07FE"/>
    <w:multiLevelType w:val="hybridMultilevel"/>
    <w:tmpl w:val="8DE88A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dam Pellegrini">
    <w15:presenceInfo w15:providerId="Windows Live" w15:userId="d7c5861b9581e2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11E"/>
    <w:rsid w:val="0030211E"/>
    <w:rsid w:val="006E225C"/>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212B0"/>
  <w15:chartTrackingRefBased/>
  <w15:docId w15:val="{CAFD3E94-255D-4326-ADBF-27D2AAAA4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211E"/>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30211E"/>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211E"/>
    <w:rPr>
      <w:rFonts w:ascii="Times New Roman" w:eastAsia="Times New Roman" w:hAnsi="Times New Roman" w:cs="Times New Roman"/>
      <w:b/>
      <w:bCs/>
      <w:kern w:val="36"/>
      <w:sz w:val="48"/>
      <w:szCs w:val="48"/>
    </w:rPr>
  </w:style>
  <w:style w:type="paragraph" w:styleId="BalloonText">
    <w:name w:val="Balloon Text"/>
    <w:basedOn w:val="Normal"/>
    <w:link w:val="BalloonTextChar"/>
    <w:uiPriority w:val="99"/>
    <w:semiHidden/>
    <w:unhideWhenUsed/>
    <w:rsid w:val="0030211E"/>
    <w:rPr>
      <w:rFonts w:eastAsiaTheme="minorHAnsi"/>
      <w:sz w:val="18"/>
      <w:szCs w:val="18"/>
    </w:rPr>
  </w:style>
  <w:style w:type="character" w:customStyle="1" w:styleId="BalloonTextChar">
    <w:name w:val="Balloon Text Char"/>
    <w:basedOn w:val="DefaultParagraphFont"/>
    <w:link w:val="BalloonText"/>
    <w:uiPriority w:val="99"/>
    <w:semiHidden/>
    <w:rsid w:val="0030211E"/>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30211E"/>
    <w:rPr>
      <w:sz w:val="16"/>
      <w:szCs w:val="16"/>
    </w:rPr>
  </w:style>
  <w:style w:type="paragraph" w:styleId="CommentText">
    <w:name w:val="annotation text"/>
    <w:basedOn w:val="Normal"/>
    <w:link w:val="CommentTextChar"/>
    <w:uiPriority w:val="99"/>
    <w:semiHidden/>
    <w:unhideWhenUsed/>
    <w:rsid w:val="0030211E"/>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30211E"/>
    <w:rPr>
      <w:sz w:val="20"/>
      <w:szCs w:val="20"/>
    </w:rPr>
  </w:style>
  <w:style w:type="paragraph" w:styleId="CommentSubject">
    <w:name w:val="annotation subject"/>
    <w:basedOn w:val="CommentText"/>
    <w:next w:val="CommentText"/>
    <w:link w:val="CommentSubjectChar"/>
    <w:uiPriority w:val="99"/>
    <w:semiHidden/>
    <w:unhideWhenUsed/>
    <w:rsid w:val="0030211E"/>
    <w:rPr>
      <w:b/>
      <w:bCs/>
    </w:rPr>
  </w:style>
  <w:style w:type="character" w:customStyle="1" w:styleId="CommentSubjectChar">
    <w:name w:val="Comment Subject Char"/>
    <w:basedOn w:val="CommentTextChar"/>
    <w:link w:val="CommentSubject"/>
    <w:uiPriority w:val="99"/>
    <w:semiHidden/>
    <w:rsid w:val="0030211E"/>
    <w:rPr>
      <w:b/>
      <w:bCs/>
      <w:sz w:val="20"/>
      <w:szCs w:val="20"/>
    </w:rPr>
  </w:style>
  <w:style w:type="paragraph" w:styleId="Revision">
    <w:name w:val="Revision"/>
    <w:hidden/>
    <w:uiPriority w:val="99"/>
    <w:semiHidden/>
    <w:rsid w:val="0030211E"/>
    <w:pPr>
      <w:spacing w:after="0" w:line="240" w:lineRule="auto"/>
    </w:pPr>
    <w:rPr>
      <w:sz w:val="24"/>
      <w:szCs w:val="24"/>
    </w:rPr>
  </w:style>
  <w:style w:type="character" w:styleId="Hyperlink">
    <w:name w:val="Hyperlink"/>
    <w:basedOn w:val="DefaultParagraphFont"/>
    <w:uiPriority w:val="99"/>
    <w:unhideWhenUsed/>
    <w:rsid w:val="0030211E"/>
    <w:rPr>
      <w:color w:val="0000FF"/>
      <w:u w:val="single"/>
    </w:rPr>
  </w:style>
  <w:style w:type="character" w:styleId="PlaceholderText">
    <w:name w:val="Placeholder Text"/>
    <w:basedOn w:val="DefaultParagraphFont"/>
    <w:uiPriority w:val="99"/>
    <w:semiHidden/>
    <w:rsid w:val="0030211E"/>
    <w:rPr>
      <w:color w:val="808080"/>
    </w:rPr>
  </w:style>
  <w:style w:type="paragraph" w:styleId="Header">
    <w:name w:val="header"/>
    <w:basedOn w:val="Normal"/>
    <w:link w:val="HeaderChar"/>
    <w:uiPriority w:val="99"/>
    <w:unhideWhenUsed/>
    <w:rsid w:val="0030211E"/>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30211E"/>
    <w:rPr>
      <w:sz w:val="24"/>
      <w:szCs w:val="24"/>
    </w:rPr>
  </w:style>
  <w:style w:type="paragraph" w:styleId="Footer">
    <w:name w:val="footer"/>
    <w:basedOn w:val="Normal"/>
    <w:link w:val="FooterChar"/>
    <w:uiPriority w:val="99"/>
    <w:unhideWhenUsed/>
    <w:rsid w:val="0030211E"/>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30211E"/>
    <w:rPr>
      <w:sz w:val="24"/>
      <w:szCs w:val="24"/>
    </w:rPr>
  </w:style>
  <w:style w:type="character" w:styleId="LineNumber">
    <w:name w:val="line number"/>
    <w:basedOn w:val="DefaultParagraphFont"/>
    <w:uiPriority w:val="99"/>
    <w:semiHidden/>
    <w:unhideWhenUsed/>
    <w:rsid w:val="0030211E"/>
  </w:style>
  <w:style w:type="character" w:styleId="PageNumber">
    <w:name w:val="page number"/>
    <w:basedOn w:val="DefaultParagraphFont"/>
    <w:uiPriority w:val="99"/>
    <w:semiHidden/>
    <w:unhideWhenUsed/>
    <w:rsid w:val="0030211E"/>
  </w:style>
  <w:style w:type="paragraph" w:styleId="ListParagraph">
    <w:name w:val="List Paragraph"/>
    <w:basedOn w:val="Normal"/>
    <w:uiPriority w:val="34"/>
    <w:qFormat/>
    <w:rsid w:val="0030211E"/>
    <w:pPr>
      <w:ind w:left="720"/>
      <w:contextualSpacing/>
    </w:pPr>
  </w:style>
  <w:style w:type="character" w:customStyle="1" w:styleId="UnresolvedMention1">
    <w:name w:val="Unresolved Mention1"/>
    <w:basedOn w:val="DefaultParagraphFont"/>
    <w:uiPriority w:val="99"/>
    <w:semiHidden/>
    <w:unhideWhenUsed/>
    <w:rsid w:val="0030211E"/>
    <w:rPr>
      <w:color w:val="605E5C"/>
      <w:shd w:val="clear" w:color="auto" w:fill="E1DFDD"/>
    </w:rPr>
  </w:style>
  <w:style w:type="paragraph" w:customStyle="1" w:styleId="IOPAff">
    <w:name w:val="IOPAff"/>
    <w:basedOn w:val="Normal"/>
    <w:link w:val="IOPAffChar"/>
    <w:qFormat/>
    <w:rsid w:val="0030211E"/>
    <w:pPr>
      <w:spacing w:line="259" w:lineRule="auto"/>
      <w:ind w:right="2552"/>
    </w:pPr>
    <w:rPr>
      <w:rFonts w:eastAsiaTheme="minorEastAsia"/>
      <w:sz w:val="18"/>
      <w:szCs w:val="18"/>
      <w:lang w:val="en-GB"/>
    </w:rPr>
  </w:style>
  <w:style w:type="character" w:customStyle="1" w:styleId="IOPAffChar">
    <w:name w:val="IOPAff Char"/>
    <w:link w:val="IOPAff"/>
    <w:qFormat/>
    <w:rsid w:val="0030211E"/>
    <w:rPr>
      <w:rFonts w:ascii="Times New Roman" w:eastAsiaTheme="minorEastAsia" w:hAnsi="Times New Roman" w:cs="Times New Roman"/>
      <w:sz w:val="18"/>
      <w:szCs w:val="18"/>
      <w:lang w:val="en-GB"/>
    </w:rPr>
  </w:style>
  <w:style w:type="character" w:styleId="UnresolvedMention">
    <w:name w:val="Unresolved Mention"/>
    <w:basedOn w:val="DefaultParagraphFont"/>
    <w:uiPriority w:val="99"/>
    <w:semiHidden/>
    <w:unhideWhenUsed/>
    <w:rsid w:val="003021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hyperlink" Target="https://www.worldwildlife.org/biomes/montane-grasslands-and-shrublands"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image" Target="media/image7.png"/><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worldwildlife.org/biomes/montane-grasslands-and-shrublands" TargetMode="External"/><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header" Target="header2.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em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30746</Words>
  <Characters>175258</Characters>
  <Application>Microsoft Office Word</Application>
  <DocSecurity>0</DocSecurity>
  <Lines>1460</Lines>
  <Paragraphs>411</Paragraphs>
  <ScaleCrop>false</ScaleCrop>
  <Company>Springer Nature</Company>
  <LinksUpToDate>false</LinksUpToDate>
  <CharactersWithSpaces>205593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2023-02-27T10:03:00Z</dcterms:created>
  <dcterms:modified xsi:type="dcterms:W3CDTF">2023-02-27T10:03:00Z</dcterms:modified>
</cp:coreProperties>
</file>