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jc w:val="center"/>
        <w:rPr>
          <w:rFonts w:ascii="Times New Roman" w:hAnsi="Times New Roman" w:cs="Times New Roman"/>
          <w:kern w:val="0"/>
          <w:sz w:val="24"/>
          <w:szCs w:val="24"/>
        </w:rPr>
      </w:pPr>
      <w:bookmarkStart w:id="0" w:name="_GoBack"/>
      <w:r>
        <w:rPr>
          <w:rFonts w:hint="eastAsia" w:ascii="Times New Roman" w:hAnsi="Times New Roman" w:eastAsia="Arial Unicode MS" w:cs="Times New Roman"/>
          <w:kern w:val="0"/>
          <w:sz w:val="24"/>
          <w:szCs w:val="24"/>
        </w:rPr>
        <w:t>Supplemental T</w:t>
      </w:r>
      <w:r>
        <w:rPr>
          <w:rFonts w:hint="eastAsia" w:ascii="Times New Roman" w:hAnsi="Times New Roman" w:cs="Times New Roman"/>
          <w:kern w:val="0"/>
          <w:sz w:val="24"/>
          <w:szCs w:val="24"/>
        </w:rPr>
        <w:t>able</w:t>
      </w:r>
      <w:r>
        <w:rPr>
          <w:rFonts w:hint="eastAsia" w:ascii="Times New Roman" w:hAnsi="Times New Roman" w:eastAsia="Arial Unicode MS" w:cs="Times New Roman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kern w:val="0"/>
          <w:sz w:val="24"/>
          <w:szCs w:val="24"/>
        </w:rPr>
        <w:t>1</w:t>
      </w:r>
      <w:bookmarkEnd w:id="0"/>
      <w:r>
        <w:rPr>
          <w:rFonts w:hint="eastAsia" w:ascii="Times New Roman" w:hAnsi="Times New Roman" w:cs="Times New Roman"/>
          <w:kern w:val="0"/>
          <w:sz w:val="24"/>
          <w:szCs w:val="24"/>
        </w:rPr>
        <w:t>.</w:t>
      </w:r>
    </w:p>
    <w:p>
      <w:pPr>
        <w:keepNext/>
        <w:jc w:val="left"/>
        <w:rPr>
          <w:rFonts w:ascii="Times New Roman" w:hAnsi="Times New Roman" w:eastAsia="Arial Unicode MS" w:cs="Times New Roman"/>
          <w:kern w:val="0"/>
          <w:sz w:val="24"/>
          <w:szCs w:val="24"/>
        </w:rPr>
      </w:pPr>
    </w:p>
    <w:tbl>
      <w:tblPr>
        <w:tblStyle w:val="4"/>
        <w:tblW w:w="9180" w:type="dxa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5130"/>
        <w:gridCol w:w="3065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</w:tcBorders>
          </w:tcPr>
          <w:p>
            <w:pPr>
              <w:keepNext/>
              <w:spacing w:before="0" w:after="0" w:line="240" w:lineRule="auto"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Patient No.</w:t>
            </w:r>
          </w:p>
        </w:tc>
        <w:tc>
          <w:tcPr>
            <w:tcW w:w="5130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</w:tcBorders>
          </w:tcPr>
          <w:p>
            <w:pPr>
              <w:keepNext/>
              <w:spacing w:before="0" w:after="0" w:line="240" w:lineRule="auto"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Patient Characteristics</w:t>
            </w:r>
          </w:p>
        </w:tc>
        <w:tc>
          <w:tcPr>
            <w:tcW w:w="3065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</w:tcBorders>
          </w:tcPr>
          <w:p>
            <w:pPr>
              <w:keepNext/>
              <w:spacing w:before="0" w:after="0" w:line="240" w:lineRule="auto"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Injection Site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tcBorders>
              <w:left w:val="nil"/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30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adduction limitation, mild/moderate blepharoptosis</w:t>
            </w:r>
          </w:p>
        </w:tc>
        <w:tc>
          <w:tcPr>
            <w:tcW w:w="3065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medial rectus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130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adduction limitation, mild/moderate blepharoptosis</w:t>
            </w:r>
          </w:p>
        </w:tc>
        <w:tc>
          <w:tcPr>
            <w:tcW w:w="306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medial rectus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tcBorders>
              <w:left w:val="nil"/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130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adduction limitation, mild/moderate blepharoptosis</w:t>
            </w:r>
          </w:p>
        </w:tc>
        <w:tc>
          <w:tcPr>
            <w:tcW w:w="3065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medial rectus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130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Exotropia, no duction limitation</w:t>
            </w:r>
          </w:p>
        </w:tc>
        <w:tc>
          <w:tcPr>
            <w:tcW w:w="306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Bilateral medial rectus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tcBorders>
              <w:left w:val="nil"/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130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adduction limitation, mild/moderate blepharoptosis</w:t>
            </w:r>
          </w:p>
        </w:tc>
        <w:tc>
          <w:tcPr>
            <w:tcW w:w="3065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medial rectus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130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limitation in adduction and supraduction, mild/moderate blepharoptosis</w:t>
            </w:r>
          </w:p>
        </w:tc>
        <w:tc>
          <w:tcPr>
            <w:tcW w:w="306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medial rectus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tcBorders>
              <w:left w:val="nil"/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130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Limitation of left ocular adduction and supraduction, severe left eyelid droop</w:t>
            </w:r>
          </w:p>
        </w:tc>
        <w:tc>
          <w:tcPr>
            <w:tcW w:w="3065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medial rectus and superior rectus injection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130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adduction limitation, mild/moderate blepharoptosis</w:t>
            </w:r>
          </w:p>
        </w:tc>
        <w:tc>
          <w:tcPr>
            <w:tcW w:w="306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medial rectus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tcBorders>
              <w:left w:val="nil"/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130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Exotropia, no duction limitation</w:t>
            </w:r>
          </w:p>
        </w:tc>
        <w:tc>
          <w:tcPr>
            <w:tcW w:w="3065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Bilateral medial rectus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130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adduction limitation, mild/moderate blepharoptosis</w:t>
            </w:r>
          </w:p>
        </w:tc>
        <w:tc>
          <w:tcPr>
            <w:tcW w:w="306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medial rectus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tcBorders>
              <w:left w:val="nil"/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130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limitation in adduction and supraduction, mild/moderate blepharoptosis</w:t>
            </w:r>
          </w:p>
        </w:tc>
        <w:tc>
          <w:tcPr>
            <w:tcW w:w="3065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medial rectus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130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adduction limitation, mild/moderate blepharoptosis</w:t>
            </w:r>
          </w:p>
        </w:tc>
        <w:tc>
          <w:tcPr>
            <w:tcW w:w="306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medial rectus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tcBorders>
              <w:left w:val="nil"/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5130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No duction limitation, severe right ptosis, mild exotropia</w:t>
            </w:r>
          </w:p>
        </w:tc>
        <w:tc>
          <w:tcPr>
            <w:tcW w:w="3065" w:type="dxa"/>
            <w:tcBorders>
              <w:right w:val="nil"/>
            </w:tcBorders>
            <w:shd w:val="clear" w:color="auto" w:fill="C0C0C0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Peribulbar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5130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abduction limitation, mild/moderate blepharoptosis</w:t>
            </w:r>
          </w:p>
        </w:tc>
        <w:tc>
          <w:tcPr>
            <w:tcW w:w="3065" w:type="dxa"/>
          </w:tcPr>
          <w:p>
            <w:pPr>
              <w:keepNext/>
              <w:jc w:val="left"/>
              <w:rPr>
                <w:rFonts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rial Unicode MS" w:cs="Times New Roman"/>
                <w:color w:val="000000"/>
                <w:kern w:val="0"/>
                <w:sz w:val="24"/>
                <w:szCs w:val="24"/>
              </w:rPr>
              <w:t>Unilateral medial rectus; unilateral peribulbar</w:t>
            </w:r>
          </w:p>
        </w:tc>
      </w:tr>
    </w:tbl>
    <w:p>
      <w:pPr>
        <w:rPr>
          <w:rFonts w:ascii="HGMaruGothicMPRO" w:hAnsi="HGMaruGothicMPRO" w:eastAsia="HGMaruGothicMPR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GMaruGothicMPRO">
    <w:altName w:val="MS Gothic"/>
    <w:panose1 w:val="00000000000000000000"/>
    <w:charset w:val="80"/>
    <w:family w:val="swiss"/>
    <w:pitch w:val="default"/>
    <w:sig w:usb0="00000000" w:usb1="00000000" w:usb2="00000012" w:usb3="00000000" w:csb0="0002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13B81"/>
    <w:rsid w:val="10313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浅色底纹1"/>
    <w:basedOn w:val="2"/>
    <w:uiPriority w:val="60"/>
    <w:rPr>
      <w:rFonts w:ascii="Times New Roman" w:hAnsi="Times New Roman" w:cs="Times New Roman"/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2020-03-16T08:11:00Z</dcterms:created>
  <dc:creator>石明华</dc:creator>
  <cp:lastModifiedBy>石明华</cp:lastModifiedBy>
  <dcterms:modified xsi:type="dcterms:W3CDTF">2020-03-16T08:18:24Z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