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3A46B" w14:textId="77777777" w:rsidR="00491F49" w:rsidRPr="00C4287A" w:rsidRDefault="00491F49" w:rsidP="00491F49">
      <w:pPr>
        <w:jc w:val="both"/>
        <w:rPr>
          <w:rFonts w:ascii="Times New Roman" w:hAnsi="Times New Roman" w:cs="Times New Roman"/>
          <w:sz w:val="24"/>
          <w:szCs w:val="24"/>
          <w:lang w:val="en-GB"/>
        </w:rPr>
      </w:pPr>
      <w:bookmarkStart w:id="0" w:name="_Ref70019272"/>
      <w:bookmarkStart w:id="1" w:name="_Ref145249395"/>
      <w:r w:rsidRPr="00C4287A">
        <w:rPr>
          <w:rFonts w:ascii="Times New Roman" w:hAnsi="Times New Roman" w:cs="Times New Roman"/>
          <w:sz w:val="24"/>
          <w:szCs w:val="24"/>
          <w:lang w:val="en-GB"/>
        </w:rPr>
        <w:t xml:space="preserve">Table </w:t>
      </w:r>
      <w:r w:rsidRPr="00C4287A">
        <w:rPr>
          <w:rFonts w:ascii="Times New Roman" w:hAnsi="Times New Roman" w:cs="Times New Roman"/>
          <w:sz w:val="24"/>
          <w:szCs w:val="24"/>
          <w:lang w:val="en-GB"/>
        </w:rPr>
        <w:fldChar w:fldCharType="begin"/>
      </w:r>
      <w:r w:rsidRPr="00C4287A">
        <w:rPr>
          <w:rFonts w:ascii="Times New Roman" w:hAnsi="Times New Roman" w:cs="Times New Roman"/>
          <w:sz w:val="24"/>
          <w:szCs w:val="24"/>
          <w:lang w:val="en-GB"/>
        </w:rPr>
        <w:instrText xml:space="preserve"> SEQ Table \* ARABIC </w:instrText>
      </w:r>
      <w:r w:rsidRPr="00C4287A">
        <w:rPr>
          <w:rFonts w:ascii="Times New Roman" w:hAnsi="Times New Roman" w:cs="Times New Roman"/>
          <w:sz w:val="24"/>
          <w:szCs w:val="24"/>
          <w:lang w:val="en-GB"/>
        </w:rPr>
        <w:fldChar w:fldCharType="separate"/>
      </w:r>
      <w:r w:rsidRPr="00C4287A">
        <w:rPr>
          <w:rFonts w:ascii="Times New Roman" w:hAnsi="Times New Roman" w:cs="Times New Roman"/>
          <w:sz w:val="24"/>
          <w:szCs w:val="24"/>
          <w:lang w:val="en-GB"/>
        </w:rPr>
        <w:t>1</w:t>
      </w:r>
      <w:r w:rsidRPr="00C4287A">
        <w:rPr>
          <w:rFonts w:ascii="Times New Roman" w:hAnsi="Times New Roman" w:cs="Times New Roman"/>
          <w:sz w:val="24"/>
          <w:szCs w:val="24"/>
          <w:lang w:val="en-GB"/>
        </w:rPr>
        <w:fldChar w:fldCharType="end"/>
      </w:r>
      <w:bookmarkEnd w:id="0"/>
      <w:r w:rsidRPr="00C4287A">
        <w:rPr>
          <w:rFonts w:ascii="Times New Roman" w:hAnsi="Times New Roman" w:cs="Times New Roman"/>
          <w:sz w:val="24"/>
          <w:szCs w:val="24"/>
          <w:lang w:val="en-GB"/>
        </w:rPr>
        <w:t>. Pyrolysis technology review - feedstock composition</w:t>
      </w:r>
      <w:bookmarkEnd w:id="1"/>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851"/>
        <w:gridCol w:w="438"/>
        <w:gridCol w:w="438"/>
        <w:gridCol w:w="438"/>
        <w:gridCol w:w="438"/>
        <w:gridCol w:w="438"/>
        <w:gridCol w:w="438"/>
        <w:gridCol w:w="438"/>
        <w:gridCol w:w="438"/>
        <w:gridCol w:w="438"/>
        <w:gridCol w:w="438"/>
        <w:gridCol w:w="439"/>
        <w:gridCol w:w="1843"/>
        <w:gridCol w:w="1276"/>
      </w:tblGrid>
      <w:tr w:rsidR="00491F49" w:rsidRPr="00C4287A" w14:paraId="680E1171" w14:textId="77777777" w:rsidTr="00012FBD">
        <w:trPr>
          <w:cantSplit/>
          <w:trHeight w:val="1134"/>
          <w:jc w:val="center"/>
        </w:trPr>
        <w:tc>
          <w:tcPr>
            <w:tcW w:w="1413" w:type="dxa"/>
            <w:gridSpan w:val="2"/>
            <w:shd w:val="clear" w:color="auto" w:fill="A8D08D" w:themeFill="accent6" w:themeFillTint="99"/>
            <w:vAlign w:val="center"/>
            <w:hideMark/>
          </w:tcPr>
          <w:p w14:paraId="1FA7551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Pyrolysis plant number and supplier</w:t>
            </w:r>
          </w:p>
        </w:tc>
        <w:tc>
          <w:tcPr>
            <w:tcW w:w="438" w:type="dxa"/>
            <w:shd w:val="clear" w:color="auto" w:fill="A8D08D" w:themeFill="accent6" w:themeFillTint="99"/>
            <w:noWrap/>
            <w:textDirection w:val="btLr"/>
            <w:vAlign w:val="center"/>
            <w:hideMark/>
          </w:tcPr>
          <w:p w14:paraId="71774FDB"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PET </w:t>
            </w:r>
          </w:p>
        </w:tc>
        <w:tc>
          <w:tcPr>
            <w:tcW w:w="438" w:type="dxa"/>
            <w:shd w:val="clear" w:color="auto" w:fill="A8D08D" w:themeFill="accent6" w:themeFillTint="99"/>
            <w:noWrap/>
            <w:textDirection w:val="btLr"/>
            <w:vAlign w:val="center"/>
            <w:hideMark/>
          </w:tcPr>
          <w:p w14:paraId="093F66DE"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HDPE </w:t>
            </w:r>
          </w:p>
        </w:tc>
        <w:tc>
          <w:tcPr>
            <w:tcW w:w="438" w:type="dxa"/>
            <w:shd w:val="clear" w:color="auto" w:fill="A8D08D" w:themeFill="accent6" w:themeFillTint="99"/>
            <w:noWrap/>
            <w:textDirection w:val="btLr"/>
            <w:vAlign w:val="center"/>
            <w:hideMark/>
          </w:tcPr>
          <w:p w14:paraId="605A121C"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PVC </w:t>
            </w:r>
          </w:p>
        </w:tc>
        <w:tc>
          <w:tcPr>
            <w:tcW w:w="438" w:type="dxa"/>
            <w:shd w:val="clear" w:color="auto" w:fill="A8D08D" w:themeFill="accent6" w:themeFillTint="99"/>
            <w:noWrap/>
            <w:textDirection w:val="btLr"/>
            <w:vAlign w:val="center"/>
            <w:hideMark/>
          </w:tcPr>
          <w:p w14:paraId="7A75B69A"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LDPE</w:t>
            </w:r>
          </w:p>
        </w:tc>
        <w:tc>
          <w:tcPr>
            <w:tcW w:w="438" w:type="dxa"/>
            <w:shd w:val="clear" w:color="auto" w:fill="A8D08D" w:themeFill="accent6" w:themeFillTint="99"/>
            <w:noWrap/>
            <w:textDirection w:val="btLr"/>
            <w:vAlign w:val="center"/>
            <w:hideMark/>
          </w:tcPr>
          <w:p w14:paraId="10EB2A82"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PP </w:t>
            </w:r>
          </w:p>
        </w:tc>
        <w:tc>
          <w:tcPr>
            <w:tcW w:w="438" w:type="dxa"/>
            <w:shd w:val="clear" w:color="auto" w:fill="A8D08D" w:themeFill="accent6" w:themeFillTint="99"/>
            <w:noWrap/>
            <w:textDirection w:val="btLr"/>
            <w:vAlign w:val="center"/>
            <w:hideMark/>
          </w:tcPr>
          <w:p w14:paraId="28CA7ABF"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PS </w:t>
            </w:r>
          </w:p>
        </w:tc>
        <w:tc>
          <w:tcPr>
            <w:tcW w:w="438" w:type="dxa"/>
            <w:shd w:val="clear" w:color="auto" w:fill="A8D08D" w:themeFill="accent6" w:themeFillTint="99"/>
            <w:noWrap/>
            <w:textDirection w:val="btLr"/>
            <w:vAlign w:val="center"/>
            <w:hideMark/>
          </w:tcPr>
          <w:p w14:paraId="7AD3A9BB"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Other (7)</w:t>
            </w:r>
          </w:p>
        </w:tc>
        <w:tc>
          <w:tcPr>
            <w:tcW w:w="438" w:type="dxa"/>
            <w:shd w:val="clear" w:color="auto" w:fill="A8D08D" w:themeFill="accent6" w:themeFillTint="99"/>
            <w:textDirection w:val="btLr"/>
            <w:vAlign w:val="center"/>
          </w:tcPr>
          <w:p w14:paraId="25235B8E"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Polyamide</w:t>
            </w:r>
          </w:p>
        </w:tc>
        <w:tc>
          <w:tcPr>
            <w:tcW w:w="438" w:type="dxa"/>
            <w:shd w:val="clear" w:color="auto" w:fill="A8D08D" w:themeFill="accent6" w:themeFillTint="99"/>
            <w:textDirection w:val="btLr"/>
            <w:vAlign w:val="center"/>
          </w:tcPr>
          <w:p w14:paraId="587C0A5C"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Rubber</w:t>
            </w:r>
          </w:p>
        </w:tc>
        <w:tc>
          <w:tcPr>
            <w:tcW w:w="438" w:type="dxa"/>
            <w:shd w:val="clear" w:color="auto" w:fill="A8D08D" w:themeFill="accent6" w:themeFillTint="99"/>
            <w:textDirection w:val="btLr"/>
            <w:vAlign w:val="center"/>
          </w:tcPr>
          <w:p w14:paraId="29A658F8"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ABS</w:t>
            </w:r>
          </w:p>
        </w:tc>
        <w:tc>
          <w:tcPr>
            <w:tcW w:w="439" w:type="dxa"/>
            <w:shd w:val="clear" w:color="auto" w:fill="A8D08D" w:themeFill="accent6" w:themeFillTint="99"/>
            <w:tcMar>
              <w:left w:w="0" w:type="dxa"/>
              <w:right w:w="0" w:type="dxa"/>
            </w:tcMar>
            <w:textDirection w:val="btLr"/>
            <w:vAlign w:val="center"/>
          </w:tcPr>
          <w:p w14:paraId="6DAFEAFF"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Other materials</w:t>
            </w:r>
          </w:p>
        </w:tc>
        <w:tc>
          <w:tcPr>
            <w:tcW w:w="1843" w:type="dxa"/>
            <w:shd w:val="clear" w:color="auto" w:fill="A8D08D" w:themeFill="accent6" w:themeFillTint="99"/>
            <w:vAlign w:val="center"/>
            <w:hideMark/>
          </w:tcPr>
          <w:p w14:paraId="10D72EB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Additional requirements/ explanations</w:t>
            </w:r>
          </w:p>
        </w:tc>
        <w:tc>
          <w:tcPr>
            <w:tcW w:w="1276" w:type="dxa"/>
            <w:shd w:val="clear" w:color="auto" w:fill="A8D08D" w:themeFill="accent6" w:themeFillTint="99"/>
            <w:textDirection w:val="btLr"/>
            <w:vAlign w:val="center"/>
          </w:tcPr>
          <w:p w14:paraId="2A28533D"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Reference</w:t>
            </w:r>
          </w:p>
        </w:tc>
      </w:tr>
      <w:tr w:rsidR="00491F49" w:rsidRPr="00C4287A" w14:paraId="685BB96F" w14:textId="77777777" w:rsidTr="00012FBD">
        <w:trPr>
          <w:trHeight w:val="510"/>
          <w:jc w:val="center"/>
        </w:trPr>
        <w:tc>
          <w:tcPr>
            <w:tcW w:w="562" w:type="dxa"/>
            <w:shd w:val="clear" w:color="auto" w:fill="A8D08D" w:themeFill="accent6" w:themeFillTint="99"/>
            <w:noWrap/>
            <w:vAlign w:val="center"/>
            <w:hideMark/>
          </w:tcPr>
          <w:p w14:paraId="7EC0046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2776A46A" w14:textId="77777777" w:rsidR="00491F49" w:rsidRPr="00C4287A" w:rsidRDefault="00491F49" w:rsidP="00012FBD">
            <w:pPr>
              <w:spacing w:after="0" w:line="240" w:lineRule="auto"/>
              <w:ind w:left="113" w:right="113"/>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Envion</w:t>
            </w:r>
          </w:p>
        </w:tc>
        <w:tc>
          <w:tcPr>
            <w:tcW w:w="438" w:type="dxa"/>
            <w:shd w:val="clear" w:color="auto" w:fill="FF0000"/>
            <w:noWrap/>
            <w:vAlign w:val="center"/>
            <w:hideMark/>
          </w:tcPr>
          <w:p w14:paraId="0D8E2FA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w:t>
            </w:r>
          </w:p>
        </w:tc>
        <w:tc>
          <w:tcPr>
            <w:tcW w:w="438" w:type="dxa"/>
            <w:shd w:val="clear" w:color="auto" w:fill="70AD47" w:themeFill="accent6"/>
            <w:noWrap/>
            <w:vAlign w:val="center"/>
            <w:hideMark/>
          </w:tcPr>
          <w:p w14:paraId="22C7F06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C000"/>
            <w:noWrap/>
            <w:vAlign w:val="center"/>
            <w:hideMark/>
          </w:tcPr>
          <w:p w14:paraId="6B5DFF6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w:t>
            </w:r>
          </w:p>
        </w:tc>
        <w:tc>
          <w:tcPr>
            <w:tcW w:w="438" w:type="dxa"/>
            <w:shd w:val="clear" w:color="auto" w:fill="70AD47" w:themeFill="accent6"/>
            <w:noWrap/>
            <w:vAlign w:val="center"/>
            <w:hideMark/>
          </w:tcPr>
          <w:p w14:paraId="101CBCE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988E97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C5E0B3" w:themeFill="accent6" w:themeFillTint="66"/>
            <w:noWrap/>
            <w:vAlign w:val="center"/>
            <w:hideMark/>
          </w:tcPr>
          <w:p w14:paraId="5471C031" w14:textId="77777777" w:rsidR="00491F49" w:rsidRPr="00C4287A" w:rsidRDefault="00491F49" w:rsidP="00012FBD">
            <w:pPr>
              <w:spacing w:after="0" w:line="240" w:lineRule="auto"/>
              <w:jc w:val="center"/>
              <w:rPr>
                <w:rFonts w:ascii="Times New Roman" w:hAnsi="Times New Roman" w:cs="Times New Roman"/>
                <w:b/>
                <w:bCs/>
                <w:color w:val="FF0000"/>
                <w:sz w:val="18"/>
                <w:szCs w:val="18"/>
                <w:lang w:val="en-GB"/>
              </w:rPr>
            </w:pPr>
          </w:p>
        </w:tc>
        <w:tc>
          <w:tcPr>
            <w:tcW w:w="438" w:type="dxa"/>
            <w:shd w:val="clear" w:color="auto" w:fill="70AD47" w:themeFill="accent6"/>
            <w:noWrap/>
            <w:vAlign w:val="center"/>
            <w:hideMark/>
          </w:tcPr>
          <w:p w14:paraId="2AE6ED98" w14:textId="77777777" w:rsidR="00491F49" w:rsidRPr="00C4287A" w:rsidRDefault="00491F49" w:rsidP="00012FBD">
            <w:pPr>
              <w:spacing w:after="0" w:line="240" w:lineRule="auto"/>
              <w:jc w:val="center"/>
              <w:rPr>
                <w:rFonts w:ascii="Times New Roman" w:hAnsi="Times New Roman" w:cs="Times New Roman"/>
                <w:b/>
                <w:bCs/>
                <w:sz w:val="18"/>
                <w:szCs w:val="18"/>
                <w:lang w:val="en-GB"/>
              </w:rPr>
            </w:pPr>
            <w:r w:rsidRPr="00C4287A">
              <w:rPr>
                <w:rFonts w:ascii="Times New Roman" w:hAnsi="Times New Roman" w:cs="Times New Roman"/>
                <w:b/>
                <w:bCs/>
                <w:sz w:val="18"/>
                <w:szCs w:val="18"/>
                <w:lang w:val="en-GB"/>
              </w:rPr>
              <w:t>+</w:t>
            </w:r>
          </w:p>
        </w:tc>
        <w:tc>
          <w:tcPr>
            <w:tcW w:w="438" w:type="dxa"/>
            <w:shd w:val="clear" w:color="auto" w:fill="FFFFFF" w:themeFill="background1"/>
            <w:vAlign w:val="center"/>
          </w:tcPr>
          <w:p w14:paraId="7835B93B" w14:textId="77777777" w:rsidR="00491F49" w:rsidRPr="00C4287A" w:rsidRDefault="00491F49" w:rsidP="00012FBD">
            <w:pPr>
              <w:spacing w:after="0" w:line="240" w:lineRule="auto"/>
              <w:jc w:val="center"/>
              <w:rPr>
                <w:rFonts w:ascii="Times New Roman" w:hAnsi="Times New Roman" w:cs="Times New Roman"/>
                <w:color w:val="FF0000"/>
                <w:sz w:val="18"/>
                <w:szCs w:val="18"/>
                <w:lang w:val="en-GB"/>
              </w:rPr>
            </w:pPr>
          </w:p>
        </w:tc>
        <w:tc>
          <w:tcPr>
            <w:tcW w:w="438" w:type="dxa"/>
            <w:vAlign w:val="center"/>
          </w:tcPr>
          <w:p w14:paraId="4010048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418B28E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12AE038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vAlign w:val="center"/>
            <w:hideMark/>
          </w:tcPr>
          <w:p w14:paraId="38CA66C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Particle size &lt; 4 cm and melted plastic</w:t>
            </w:r>
          </w:p>
          <w:p w14:paraId="47D5A92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w:t>
            </w:r>
            <w:r w:rsidRPr="00C4287A">
              <w:rPr>
                <w:rFonts w:ascii="Times New Roman" w:hAnsi="Times New Roman" w:cs="Times New Roman"/>
                <w:color w:val="000000"/>
                <w:sz w:val="18"/>
                <w:szCs w:val="18"/>
                <w:lang w:val="en-GB"/>
              </w:rPr>
              <w:t>PET in small quantities</w:t>
            </w:r>
          </w:p>
          <w:p w14:paraId="6AC5F96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w:t>
            </w:r>
            <w:r w:rsidRPr="00C4287A">
              <w:rPr>
                <w:rFonts w:ascii="Times New Roman" w:hAnsi="Times New Roman" w:cs="Times New Roman"/>
                <w:color w:val="000000"/>
                <w:sz w:val="18"/>
                <w:szCs w:val="18"/>
                <w:lang w:val="en-GB"/>
              </w:rPr>
              <w:t>PVC &lt; 10 %</w:t>
            </w:r>
          </w:p>
          <w:p w14:paraId="47FCE66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2% moisture</w:t>
            </w:r>
          </w:p>
        </w:tc>
        <w:tc>
          <w:tcPr>
            <w:tcW w:w="1276" w:type="dxa"/>
            <w:vAlign w:val="center"/>
          </w:tcPr>
          <w:p w14:paraId="4C1F506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(American Chemistry Council and RTI International 2012)</w:t>
            </w:r>
            <w:r w:rsidRPr="00C4287A">
              <w:rPr>
                <w:rFonts w:ascii="Times New Roman" w:hAnsi="Times New Roman" w:cs="Times New Roman"/>
                <w:color w:val="000000"/>
                <w:sz w:val="18"/>
                <w:szCs w:val="18"/>
                <w:lang w:val="en-GB"/>
              </w:rPr>
              <w:fldChar w:fldCharType="end"/>
            </w:r>
          </w:p>
        </w:tc>
      </w:tr>
      <w:tr w:rsidR="00491F49" w:rsidRPr="00C4287A" w14:paraId="69554858" w14:textId="77777777" w:rsidTr="00012FBD">
        <w:trPr>
          <w:trHeight w:val="510"/>
          <w:jc w:val="center"/>
        </w:trPr>
        <w:tc>
          <w:tcPr>
            <w:tcW w:w="562" w:type="dxa"/>
            <w:shd w:val="clear" w:color="auto" w:fill="A8D08D" w:themeFill="accent6" w:themeFillTint="99"/>
            <w:noWrap/>
            <w:vAlign w:val="center"/>
            <w:hideMark/>
          </w:tcPr>
          <w:p w14:paraId="21E5BE8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05CA12E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Agilyx</w:t>
            </w:r>
          </w:p>
        </w:tc>
        <w:tc>
          <w:tcPr>
            <w:tcW w:w="438" w:type="dxa"/>
            <w:shd w:val="clear" w:color="auto" w:fill="FFC000"/>
            <w:noWrap/>
            <w:vAlign w:val="center"/>
            <w:hideMark/>
          </w:tcPr>
          <w:p w14:paraId="3444496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AC0458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C000"/>
            <w:noWrap/>
            <w:vAlign w:val="center"/>
            <w:hideMark/>
          </w:tcPr>
          <w:p w14:paraId="7D3797A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8C2563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27310D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0359E82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auto"/>
            <w:noWrap/>
            <w:vAlign w:val="center"/>
            <w:hideMark/>
          </w:tcPr>
          <w:p w14:paraId="2B2C67DA" w14:textId="77777777" w:rsidR="00491F49" w:rsidRPr="00C4287A" w:rsidRDefault="00491F49" w:rsidP="00012FBD">
            <w:pPr>
              <w:spacing w:after="0" w:line="240" w:lineRule="auto"/>
              <w:jc w:val="center"/>
              <w:rPr>
                <w:rFonts w:ascii="Times New Roman" w:hAnsi="Times New Roman" w:cs="Times New Roman"/>
                <w:b/>
                <w:bCs/>
                <w:sz w:val="18"/>
                <w:szCs w:val="18"/>
                <w:lang w:val="en-GB"/>
              </w:rPr>
            </w:pPr>
          </w:p>
        </w:tc>
        <w:tc>
          <w:tcPr>
            <w:tcW w:w="438" w:type="dxa"/>
            <w:shd w:val="clear" w:color="auto" w:fill="FFFFFF" w:themeFill="background1"/>
            <w:vAlign w:val="center"/>
          </w:tcPr>
          <w:p w14:paraId="6198F2C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43A7B62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1403F6E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77238B4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29A305B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Ground plastic</w:t>
            </w:r>
          </w:p>
          <w:p w14:paraId="6E1E74D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shd w:val="clear" w:color="auto" w:fill="FFFFFF" w:themeFill="background1"/>
                <w:lang w:val="en-GB"/>
              </w:rPr>
              <w:t>PVC + PET &lt; 10%</w:t>
            </w:r>
          </w:p>
        </w:tc>
        <w:tc>
          <w:tcPr>
            <w:tcW w:w="1276" w:type="dxa"/>
            <w:vAlign w:val="center"/>
          </w:tcPr>
          <w:p w14:paraId="21768ED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w:t>
            </w:r>
          </w:p>
          <w:p w14:paraId="5C52A37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(American Chemistry Council and RTI International 2012)</w:t>
            </w:r>
            <w:r w:rsidRPr="00C4287A">
              <w:rPr>
                <w:rFonts w:ascii="Times New Roman" w:hAnsi="Times New Roman" w:cs="Times New Roman"/>
                <w:color w:val="000000"/>
                <w:sz w:val="18"/>
                <w:szCs w:val="18"/>
                <w:lang w:val="en-GB"/>
              </w:rPr>
              <w:fldChar w:fldCharType="end"/>
            </w:r>
          </w:p>
        </w:tc>
      </w:tr>
      <w:tr w:rsidR="00491F49" w:rsidRPr="00C4287A" w14:paraId="5F2FD419" w14:textId="77777777" w:rsidTr="00012FBD">
        <w:trPr>
          <w:trHeight w:val="510"/>
          <w:jc w:val="center"/>
        </w:trPr>
        <w:tc>
          <w:tcPr>
            <w:tcW w:w="562" w:type="dxa"/>
            <w:shd w:val="clear" w:color="auto" w:fill="A8D08D" w:themeFill="accent6" w:themeFillTint="99"/>
            <w:noWrap/>
            <w:vAlign w:val="center"/>
            <w:hideMark/>
          </w:tcPr>
          <w:p w14:paraId="07C5427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P3</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3592C72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Climax </w:t>
            </w:r>
          </w:p>
        </w:tc>
        <w:tc>
          <w:tcPr>
            <w:tcW w:w="438" w:type="dxa"/>
            <w:shd w:val="clear" w:color="auto" w:fill="70AD47" w:themeFill="accent6"/>
            <w:noWrap/>
            <w:vAlign w:val="center"/>
          </w:tcPr>
          <w:p w14:paraId="5AEF4F2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shd w:val="clear" w:color="auto" w:fill="70AD47" w:themeFill="accent6"/>
            <w:noWrap/>
            <w:vAlign w:val="center"/>
          </w:tcPr>
          <w:p w14:paraId="29BB79A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shd w:val="clear" w:color="auto" w:fill="70AD47" w:themeFill="accent6"/>
            <w:noWrap/>
            <w:vAlign w:val="center"/>
          </w:tcPr>
          <w:p w14:paraId="1837059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shd w:val="clear" w:color="auto" w:fill="70AD47" w:themeFill="accent6"/>
            <w:noWrap/>
            <w:vAlign w:val="center"/>
          </w:tcPr>
          <w:p w14:paraId="11DF1AE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shd w:val="clear" w:color="auto" w:fill="70AD47" w:themeFill="accent6"/>
            <w:noWrap/>
            <w:vAlign w:val="center"/>
          </w:tcPr>
          <w:p w14:paraId="3716B7C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shd w:val="clear" w:color="auto" w:fill="70AD47" w:themeFill="accent6"/>
            <w:noWrap/>
            <w:vAlign w:val="center"/>
          </w:tcPr>
          <w:p w14:paraId="7D94195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shd w:val="clear" w:color="auto" w:fill="70AD47" w:themeFill="accent6"/>
            <w:noWrap/>
            <w:vAlign w:val="center"/>
          </w:tcPr>
          <w:p w14:paraId="359C06B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shd w:val="clear" w:color="auto" w:fill="70AD47" w:themeFill="accent6"/>
            <w:vAlign w:val="center"/>
          </w:tcPr>
          <w:p w14:paraId="3DBAE05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8" w:type="dxa"/>
            <w:vAlign w:val="center"/>
          </w:tcPr>
          <w:p w14:paraId="453E44F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70AD47" w:themeFill="accent6"/>
            <w:vAlign w:val="center"/>
          </w:tcPr>
          <w:p w14:paraId="00E8E19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439" w:type="dxa"/>
            <w:shd w:val="clear" w:color="auto" w:fill="FF0000"/>
            <w:vAlign w:val="center"/>
          </w:tcPr>
          <w:p w14:paraId="0123559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1843" w:type="dxa"/>
            <w:shd w:val="clear" w:color="auto" w:fill="FFFFFF" w:themeFill="background1"/>
            <w:noWrap/>
            <w:vAlign w:val="center"/>
          </w:tcPr>
          <w:p w14:paraId="439765B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Ground plastic</w:t>
            </w:r>
          </w:p>
          <w:p w14:paraId="2226C78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w:t>
            </w:r>
            <w:r w:rsidRPr="00C4287A">
              <w:rPr>
                <w:rFonts w:ascii="Times New Roman" w:hAnsi="Times New Roman" w:cs="Times New Roman"/>
                <w:color w:val="000000"/>
                <w:sz w:val="18"/>
                <w:szCs w:val="18"/>
                <w:lang w:val="en-GB"/>
              </w:rPr>
              <w:t>100% plastic</w:t>
            </w:r>
          </w:p>
          <w:p w14:paraId="44C0882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1276" w:type="dxa"/>
            <w:vAlign w:val="center"/>
          </w:tcPr>
          <w:p w14:paraId="2934871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(American Chemistry Council and RTI International 2012)</w:t>
            </w:r>
            <w:r w:rsidRPr="00C4287A">
              <w:rPr>
                <w:rFonts w:ascii="Times New Roman" w:hAnsi="Times New Roman" w:cs="Times New Roman"/>
                <w:color w:val="000000"/>
                <w:sz w:val="18"/>
                <w:szCs w:val="18"/>
                <w:lang w:val="en-GB"/>
              </w:rPr>
              <w:fldChar w:fldCharType="end"/>
            </w:r>
          </w:p>
        </w:tc>
      </w:tr>
      <w:tr w:rsidR="00491F49" w:rsidRPr="00C4287A" w14:paraId="5E5D1D49" w14:textId="77777777" w:rsidTr="00012FBD">
        <w:trPr>
          <w:trHeight w:val="510"/>
          <w:jc w:val="center"/>
        </w:trPr>
        <w:tc>
          <w:tcPr>
            <w:tcW w:w="562" w:type="dxa"/>
            <w:shd w:val="clear" w:color="auto" w:fill="A8D08D" w:themeFill="accent6" w:themeFillTint="99"/>
            <w:noWrap/>
            <w:vAlign w:val="center"/>
            <w:hideMark/>
          </w:tcPr>
          <w:p w14:paraId="48E8B34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P4</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223174D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Veba</w:t>
            </w:r>
          </w:p>
        </w:tc>
        <w:tc>
          <w:tcPr>
            <w:tcW w:w="438" w:type="dxa"/>
            <w:shd w:val="clear" w:color="000000" w:fill="FFFFFF"/>
            <w:noWrap/>
            <w:vAlign w:val="center"/>
            <w:hideMark/>
          </w:tcPr>
          <w:p w14:paraId="5E5D419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3AAA08A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281A135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w:t>
            </w:r>
          </w:p>
        </w:tc>
        <w:tc>
          <w:tcPr>
            <w:tcW w:w="438" w:type="dxa"/>
            <w:shd w:val="clear" w:color="auto" w:fill="70AD47" w:themeFill="accent6"/>
            <w:noWrap/>
            <w:vAlign w:val="center"/>
            <w:hideMark/>
          </w:tcPr>
          <w:p w14:paraId="0B646D9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26CDC95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3FB12BD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000000" w:fill="FFFFFF"/>
            <w:noWrap/>
            <w:vAlign w:val="center"/>
            <w:hideMark/>
          </w:tcPr>
          <w:p w14:paraId="0AEC149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1DDF199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12E5477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00F36E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15D00B0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6944169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Particle size &lt; 1 cm</w:t>
            </w:r>
          </w:p>
          <w:p w14:paraId="742448C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4</w:t>
            </w:r>
            <w:r w:rsidRPr="00C4287A">
              <w:rPr>
                <w:rFonts w:ascii="Times New Roman" w:hAnsi="Times New Roman" w:cs="Times New Roman"/>
                <w:color w:val="000000"/>
                <w:sz w:val="18"/>
                <w:szCs w:val="18"/>
                <w:lang w:val="en-GB"/>
              </w:rPr>
              <w:t>PVC &lt; 4 %</w:t>
            </w:r>
          </w:p>
          <w:p w14:paraId="2F09FF2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of inorganic material</w:t>
            </w:r>
          </w:p>
          <w:p w14:paraId="2D8F0A0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1% moisture</w:t>
            </w:r>
          </w:p>
        </w:tc>
        <w:tc>
          <w:tcPr>
            <w:tcW w:w="1276" w:type="dxa"/>
            <w:vAlign w:val="center"/>
          </w:tcPr>
          <w:p w14:paraId="6380C6F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(American Chemistry Council and RTI International 2012)</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 xml:space="preserve">, </w:t>
            </w: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{"citationItems":[{"id":"ITEM-1","itemData":{"URL":"https://www.benefits-of-recycling.com/plastics/veba-oil-bottrop-germany.html","author":[{"dropping-particle":"","family":"Veba Oil Bottrop Germany","given":"","non-dropping-particle":"","parse-names":false,"suffix":""}],"id":"ITEM-1","issued":{"date-parts":[["2023"]]},"title":"Feedstock Recycling","type":"webpage"},"uris":["http://www.mendeley.com/documents/?uuid=85cbfb14-a1e4-44fe-9cd1-63bab83e3b93"]}],"mendeley":{"formattedCitation":"(Veba Oil Bottrop Germany 2023)","plainTextFormattedCitation":"(Veba Oil Bottrop Germany 2023)","previouslyFormattedCitation":"(Veba Oil Bottrop Germany 2023)"},"properties":{"noteIndex":0},"schema":"https://github.com/citation-style-language/schema/raw/master/csl-citation.json"}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(Veba Oil Bottrop Germany 2023)</w:t>
            </w:r>
            <w:r w:rsidRPr="00C4287A">
              <w:rPr>
                <w:rFonts w:ascii="Times New Roman" w:hAnsi="Times New Roman" w:cs="Times New Roman"/>
                <w:color w:val="000000"/>
                <w:sz w:val="18"/>
                <w:szCs w:val="18"/>
                <w:lang w:val="en-GB"/>
              </w:rPr>
              <w:fldChar w:fldCharType="end"/>
            </w:r>
          </w:p>
        </w:tc>
      </w:tr>
      <w:tr w:rsidR="00491F49" w:rsidRPr="00C4287A" w14:paraId="61013EC5" w14:textId="77777777" w:rsidTr="00012FBD">
        <w:trPr>
          <w:trHeight w:val="510"/>
          <w:jc w:val="center"/>
        </w:trPr>
        <w:tc>
          <w:tcPr>
            <w:tcW w:w="562" w:type="dxa"/>
            <w:shd w:val="clear" w:color="auto" w:fill="A8D08D" w:themeFill="accent6" w:themeFillTint="99"/>
            <w:noWrap/>
            <w:vAlign w:val="center"/>
            <w:hideMark/>
          </w:tcPr>
          <w:p w14:paraId="35395E8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P5</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74EC0ED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BP Chem.</w:t>
            </w:r>
          </w:p>
        </w:tc>
        <w:tc>
          <w:tcPr>
            <w:tcW w:w="438" w:type="dxa"/>
            <w:shd w:val="clear" w:color="000000" w:fill="FFFFFF"/>
            <w:noWrap/>
            <w:vAlign w:val="center"/>
            <w:hideMark/>
          </w:tcPr>
          <w:p w14:paraId="1F018DD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19AA6AC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39CE7A8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413F760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A9F63A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0FBEBC3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234816F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1FA62BB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44E8F75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3865538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2241CE6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51987BB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p>
        </w:tc>
        <w:tc>
          <w:tcPr>
            <w:tcW w:w="1276" w:type="dxa"/>
            <w:vAlign w:val="center"/>
          </w:tcPr>
          <w:p w14:paraId="61CF190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10.1002/ese3.271","ISSN":"20500505","author":[{"dropping-particle":"","family":"Thunman","given":"Henrik","non-dropping-particle":"","parse-names":false,"suffix":""},{"dropping-particle":"","family":"Gustavsson","given":"Christer","non-dropping-particle":"","parse-names":false,"suffix":""},{"dropping-particle":"","family":"Larsson","given":"Anton","non-dropping-particle":"","parse-names":false,"suffix":""},{"dropping-particle":"","family":"Gunnarsson","given":"Ingemar","non-dropping-particle":"","parse-names":false,"suffix":""},{"dropping-particle":"","family":"Tengberg","given":"Freddy","non-dropping-particle":"","parse-names":false,"suffix":""}],"container-title":"Energy Science &amp; Engineering","id":"ITEM-1","issue":"1","issued":{"date-parts":[["2019","2"]]},"page":"217-229","title":"Economic assessment of advanced biofuel production via gasification using cost data from the GoBiGas plant","type":"article-journal","volume":"7"},"uris":["http://www.mendeley.com/documents/?uuid=32aa8175-e678-463e-8e8a-cd413f35c334"]}],"mendeley":{"formattedCitation":"(Thunman et al. 2019)","plainTextFormattedCitation":"(Thunman et al. 2019)","previouslyFormattedCitation":"(Thunman et al. 2019)"},"properties":{"noteIndex":0},"schema":"https://github.com/citation-style-language/schema/raw/master/csl-citation.json"}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(Thunman et al. 2019)</w:t>
            </w:r>
            <w:r w:rsidRPr="00C4287A">
              <w:rPr>
                <w:rFonts w:ascii="Times New Roman" w:hAnsi="Times New Roman" w:cs="Times New Roman"/>
                <w:color w:val="000000"/>
                <w:sz w:val="18"/>
                <w:szCs w:val="18"/>
                <w:lang w:val="en-GB"/>
              </w:rPr>
              <w:fldChar w:fldCharType="end"/>
            </w:r>
          </w:p>
        </w:tc>
      </w:tr>
      <w:tr w:rsidR="00491F49" w:rsidRPr="00C4287A" w14:paraId="671F86F6" w14:textId="77777777" w:rsidTr="00012FBD">
        <w:trPr>
          <w:trHeight w:val="510"/>
          <w:jc w:val="center"/>
        </w:trPr>
        <w:tc>
          <w:tcPr>
            <w:tcW w:w="562" w:type="dxa"/>
            <w:shd w:val="clear" w:color="auto" w:fill="A8D08D" w:themeFill="accent6" w:themeFillTint="99"/>
            <w:noWrap/>
            <w:vAlign w:val="center"/>
            <w:hideMark/>
          </w:tcPr>
          <w:p w14:paraId="07D2021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P6</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1EA786E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BP Chem.</w:t>
            </w:r>
          </w:p>
        </w:tc>
        <w:tc>
          <w:tcPr>
            <w:tcW w:w="438" w:type="dxa"/>
            <w:shd w:val="clear" w:color="auto" w:fill="FF0000"/>
            <w:noWrap/>
            <w:vAlign w:val="center"/>
            <w:hideMark/>
          </w:tcPr>
          <w:p w14:paraId="1BEFDFA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5</w:t>
            </w:r>
          </w:p>
        </w:tc>
        <w:tc>
          <w:tcPr>
            <w:tcW w:w="438" w:type="dxa"/>
            <w:shd w:val="clear" w:color="auto" w:fill="70AD47" w:themeFill="accent6"/>
            <w:noWrap/>
            <w:vAlign w:val="center"/>
            <w:hideMark/>
          </w:tcPr>
          <w:p w14:paraId="5C63F44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019FA6E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6</w:t>
            </w:r>
          </w:p>
        </w:tc>
        <w:tc>
          <w:tcPr>
            <w:tcW w:w="438" w:type="dxa"/>
            <w:shd w:val="clear" w:color="auto" w:fill="70AD47" w:themeFill="accent6"/>
            <w:noWrap/>
            <w:vAlign w:val="center"/>
            <w:hideMark/>
          </w:tcPr>
          <w:p w14:paraId="64D3CF7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2CCA6A9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C5E0B3" w:themeFill="accent6" w:themeFillTint="66"/>
            <w:noWrap/>
            <w:vAlign w:val="center"/>
            <w:hideMark/>
          </w:tcPr>
          <w:p w14:paraId="6C66D7F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7</w:t>
            </w:r>
          </w:p>
        </w:tc>
        <w:tc>
          <w:tcPr>
            <w:tcW w:w="438" w:type="dxa"/>
            <w:shd w:val="clear" w:color="000000" w:fill="FFFFFF"/>
            <w:noWrap/>
            <w:vAlign w:val="center"/>
            <w:hideMark/>
          </w:tcPr>
          <w:p w14:paraId="4077639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3F354BE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7AAD12BC"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p>
        </w:tc>
        <w:tc>
          <w:tcPr>
            <w:tcW w:w="438" w:type="dxa"/>
            <w:vAlign w:val="center"/>
          </w:tcPr>
          <w:p w14:paraId="5CB4BD3E"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p>
        </w:tc>
        <w:tc>
          <w:tcPr>
            <w:tcW w:w="439" w:type="dxa"/>
            <w:shd w:val="clear" w:color="auto" w:fill="FF0000"/>
            <w:vAlign w:val="center"/>
          </w:tcPr>
          <w:p w14:paraId="1CCCD29C"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color w:val="000000"/>
                <w:sz w:val="18"/>
                <w:szCs w:val="18"/>
                <w:vertAlign w:val="superscript"/>
                <w:lang w:val="en-GB"/>
              </w:rPr>
              <w:t>8</w:t>
            </w:r>
          </w:p>
        </w:tc>
        <w:tc>
          <w:tcPr>
            <w:tcW w:w="1843" w:type="dxa"/>
            <w:shd w:val="clear" w:color="auto" w:fill="FFFFFF" w:themeFill="background1"/>
            <w:vAlign w:val="center"/>
            <w:hideMark/>
          </w:tcPr>
          <w:p w14:paraId="78B87167"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r w:rsidRPr="00C4287A">
              <w:rPr>
                <w:rFonts w:ascii="Times New Roman" w:hAnsi="Times New Roman" w:cs="Times New Roman"/>
                <w:color w:val="000000"/>
                <w:sz w:val="18"/>
                <w:szCs w:val="18"/>
                <w:lang w:val="en-GB"/>
              </w:rPr>
              <w:t>Ground plastic</w:t>
            </w:r>
            <w:r w:rsidRPr="00C4287A">
              <w:rPr>
                <w:rFonts w:ascii="Times New Roman" w:hAnsi="Times New Roman" w:cs="Times New Roman"/>
                <w:color w:val="000000"/>
                <w:sz w:val="18"/>
                <w:szCs w:val="18"/>
                <w:vertAlign w:val="superscript"/>
                <w:lang w:val="en-GB"/>
              </w:rPr>
              <w:t xml:space="preserve"> </w:t>
            </w:r>
          </w:p>
          <w:p w14:paraId="56E3683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8</w:t>
            </w:r>
            <w:r w:rsidRPr="00C4287A">
              <w:rPr>
                <w:rFonts w:ascii="Times New Roman" w:hAnsi="Times New Roman" w:cs="Times New Roman"/>
                <w:color w:val="000000"/>
                <w:sz w:val="18"/>
                <w:szCs w:val="18"/>
                <w:lang w:val="en-GB"/>
              </w:rPr>
              <w:t>Separation of contaminants</w:t>
            </w:r>
          </w:p>
          <w:p w14:paraId="6D22D4A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5</w:t>
            </w:r>
            <w:r w:rsidRPr="00C4287A">
              <w:rPr>
                <w:rFonts w:ascii="Times New Roman" w:hAnsi="Times New Roman" w:cs="Times New Roman"/>
                <w:color w:val="000000"/>
                <w:sz w:val="18"/>
                <w:szCs w:val="18"/>
                <w:lang w:val="en-GB"/>
              </w:rPr>
              <w:t>PET &lt; 3-5 %</w:t>
            </w:r>
          </w:p>
          <w:p w14:paraId="6C462652"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r w:rsidRPr="00C4287A">
              <w:rPr>
                <w:rFonts w:ascii="Times New Roman" w:hAnsi="Times New Roman" w:cs="Times New Roman"/>
                <w:color w:val="000000"/>
                <w:sz w:val="18"/>
                <w:szCs w:val="18"/>
                <w:vertAlign w:val="superscript"/>
                <w:lang w:val="en-GB"/>
              </w:rPr>
              <w:t>6</w:t>
            </w:r>
            <w:r w:rsidRPr="00C4287A">
              <w:rPr>
                <w:rFonts w:ascii="Times New Roman" w:hAnsi="Times New Roman" w:cs="Times New Roman"/>
                <w:color w:val="000000"/>
                <w:sz w:val="18"/>
                <w:szCs w:val="18"/>
                <w:lang w:val="en-GB"/>
              </w:rPr>
              <w:t>PVC &lt; 2-4 %</w:t>
            </w:r>
          </w:p>
          <w:p w14:paraId="5A39159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7</w:t>
            </w:r>
            <w:r w:rsidRPr="00C4287A">
              <w:rPr>
                <w:rFonts w:ascii="Times New Roman" w:hAnsi="Times New Roman" w:cs="Times New Roman"/>
                <w:color w:val="000000"/>
                <w:sz w:val="18"/>
                <w:szCs w:val="18"/>
                <w:lang w:val="en-GB"/>
              </w:rPr>
              <w:t>PS 15-30 %</w:t>
            </w:r>
          </w:p>
          <w:p w14:paraId="5AFE412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1% moisture</w:t>
            </w:r>
          </w:p>
        </w:tc>
        <w:tc>
          <w:tcPr>
            <w:tcW w:w="1276" w:type="dxa"/>
            <w:vAlign w:val="center"/>
          </w:tcPr>
          <w:p w14:paraId="67168CA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{"citationItems":[{"id":"ITEM-1","itemData":{"abstract":"This chapter contains sections titled: Introduction Different Stages in the Fluidized-bed Pyrolysis of a Plastic Waste Operability Range of Fluidized-bed Pyrolysers The Effect of the Main Process Variables on the Yield and Composition of Pyrolysis Products Operating Experience with Industrial Fluidized-bed Pyrolysers References.","author":[{"dropping-particle":"","family":"Arena","given":"Umberto","non-dropping-particle":"","parse-names":false,"suffix":""},{"dropping-particle":"","family":"Mastellone","given":"Maria Laura","non-dropping-particle":"","parse-names":false,"suffix":""}],"container-title":"Feedstock Recycling and Pyrolysis of Waste Plastics: Converting Waste Plastics into Diesel and Other Fuels","id":"ITEM-1","issued":{"date-parts":[["2006"]]},"number-of-pages":"435-474","title":"Fluidized Bed Pyrolysis of Plastic Wastes","type":"book"},"uris":["http://www.mendeley.com/documents/?uuid=9d1dc57d-6cb0-4fad-8bf8-7a83babc6efb","http://www.mendeley.com/documents/?uuid=81c8311f-6fac-4a53-a5a6-939b3488e944"]}],"mendeley":{"formattedCitation":"(Arena and Mastellone 2006)","plainTextFormattedCitation":"(Arena and Mastellone 2006)","previouslyFormattedCitation":"(Arena and Mastellone 2006)"},"properties":{"noteIndex":0},"schema":"https://github.com/citation-style-language/schema/raw/master/csl-citation.json"}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(Arena and Mastellone 2006)</w:t>
            </w:r>
            <w:r w:rsidRPr="00C4287A">
              <w:rPr>
                <w:rFonts w:ascii="Times New Roman" w:hAnsi="Times New Roman" w:cs="Times New Roman"/>
                <w:color w:val="000000"/>
                <w:sz w:val="18"/>
                <w:szCs w:val="18"/>
                <w:lang w:val="en-GB"/>
              </w:rPr>
              <w:fldChar w:fldCharType="end"/>
            </w:r>
          </w:p>
        </w:tc>
      </w:tr>
      <w:tr w:rsidR="00491F49" w:rsidRPr="00C4287A" w14:paraId="5E57FA2B" w14:textId="77777777" w:rsidTr="00012FBD">
        <w:trPr>
          <w:trHeight w:val="510"/>
          <w:jc w:val="center"/>
        </w:trPr>
        <w:tc>
          <w:tcPr>
            <w:tcW w:w="562" w:type="dxa"/>
            <w:shd w:val="clear" w:color="auto" w:fill="A8D08D" w:themeFill="accent6" w:themeFillTint="99"/>
            <w:noWrap/>
            <w:vAlign w:val="center"/>
            <w:hideMark/>
          </w:tcPr>
          <w:p w14:paraId="3F897B7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P7</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18522D8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BP Chem.</w:t>
            </w:r>
          </w:p>
        </w:tc>
        <w:tc>
          <w:tcPr>
            <w:tcW w:w="438" w:type="dxa"/>
            <w:shd w:val="clear" w:color="000000" w:fill="FFFFFF"/>
            <w:noWrap/>
            <w:vAlign w:val="center"/>
            <w:hideMark/>
          </w:tcPr>
          <w:p w14:paraId="23A8FE0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2525A9D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30F21E8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9</w:t>
            </w:r>
          </w:p>
        </w:tc>
        <w:tc>
          <w:tcPr>
            <w:tcW w:w="438" w:type="dxa"/>
            <w:shd w:val="clear" w:color="auto" w:fill="70AD47" w:themeFill="accent6"/>
            <w:noWrap/>
            <w:vAlign w:val="center"/>
            <w:hideMark/>
          </w:tcPr>
          <w:p w14:paraId="538B324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1E14E84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232073E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000000" w:fill="FFFFFF"/>
            <w:noWrap/>
            <w:vAlign w:val="center"/>
            <w:hideMark/>
          </w:tcPr>
          <w:p w14:paraId="2F0BBCB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FFFFFF" w:themeFill="background1"/>
            <w:vAlign w:val="center"/>
          </w:tcPr>
          <w:p w14:paraId="705370C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auto"/>
            <w:vAlign w:val="center"/>
          </w:tcPr>
          <w:p w14:paraId="4C195F6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046DAA6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9" w:type="dxa"/>
            <w:shd w:val="clear" w:color="auto" w:fill="FF0000"/>
            <w:vAlign w:val="center"/>
          </w:tcPr>
          <w:p w14:paraId="7E2E8C1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color w:val="000000"/>
                <w:sz w:val="18"/>
                <w:szCs w:val="18"/>
                <w:vertAlign w:val="superscript"/>
                <w:lang w:val="en-GB"/>
              </w:rPr>
              <w:t>10</w:t>
            </w:r>
          </w:p>
        </w:tc>
        <w:tc>
          <w:tcPr>
            <w:tcW w:w="1843" w:type="dxa"/>
            <w:shd w:val="clear" w:color="auto" w:fill="FFFFFF" w:themeFill="background1"/>
            <w:vAlign w:val="center"/>
            <w:hideMark/>
          </w:tcPr>
          <w:p w14:paraId="5AC1B01D"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r w:rsidRPr="00C4287A">
              <w:rPr>
                <w:rFonts w:ascii="Times New Roman" w:hAnsi="Times New Roman" w:cs="Times New Roman"/>
                <w:color w:val="000000"/>
                <w:sz w:val="18"/>
                <w:szCs w:val="18"/>
                <w:vertAlign w:val="superscript"/>
                <w:lang w:val="en-GB"/>
              </w:rPr>
              <w:t>9</w:t>
            </w:r>
            <w:r w:rsidRPr="00C4287A">
              <w:rPr>
                <w:rFonts w:ascii="Times New Roman" w:hAnsi="Times New Roman" w:cs="Times New Roman"/>
                <w:color w:val="000000"/>
                <w:sz w:val="18"/>
                <w:szCs w:val="18"/>
                <w:lang w:val="en-GB"/>
              </w:rPr>
              <w:t>Chlorine &lt; 2,5 %</w:t>
            </w:r>
          </w:p>
          <w:p w14:paraId="538E2D5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10</w:t>
            </w:r>
            <w:r w:rsidRPr="00C4287A">
              <w:rPr>
                <w:rFonts w:ascii="Times New Roman" w:hAnsi="Times New Roman" w:cs="Times New Roman"/>
                <w:color w:val="000000"/>
                <w:sz w:val="18"/>
                <w:szCs w:val="18"/>
                <w:lang w:val="en-GB"/>
              </w:rPr>
              <w:t xml:space="preserve">Contaminations &lt; 4 % </w:t>
            </w:r>
          </w:p>
          <w:p w14:paraId="106D3BA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Ash &lt; 4,5 %</w:t>
            </w:r>
          </w:p>
          <w:p w14:paraId="4996CE4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1% moisture</w:t>
            </w:r>
          </w:p>
          <w:p w14:paraId="3974A51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276" w:type="dxa"/>
            <w:vAlign w:val="center"/>
          </w:tcPr>
          <w:p w14:paraId="4AEDD2F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{"citationItems":[{"id":"ITEM-1","itemData":{"DOI":"10.1002/ep.10078","ISSN":"02784491","abstract":"Life cycle assessment (LCA) methodology is generally considered one of the best environmental management tools that can be used to compare alternative eco-performances of recycling or disposal systems. It considers the environment as a whole, including indirect releases, energy and material consumption, emissions in the environment, and waste disposal and follows each activity from the extraction of raw materials to the return of wastes to the ground (cradle-to-grave approach). The study refers to the whole Italian system for recycling of household plastic packaging wastes. The aim was to quantify the overall environmental performances of mechanical recycling of plastic containers in Italy and to compare them with those of conventional options of landfilling or incineration and of a couple of innovative processes of feedstock recycling, low-temperature fluidized bedpyrolysis, and high-pressure hydrogenation. The results confirm that recycling scenarios are always preferable to those of nonrecycling. They also highlight the good environmental performance of new plastic waste management schemes that couple feedstock and mechanical recycling processes. © 2005 American Institute of Chemical Engineers Environ Prog,.","author":[{"dropping-particle":"","family":"Perugini","given":"Floriane","non-dropping-particle":"","parse-names":false,"suffix":""},{"dropping-particle":"","family":"Mastellone","given":"Maria Laura","non-dropping-particle":"","parse-names":false,"suffix":""},{"dropping-particle":"","family":"Arena","given":"Umberto","non-dropping-particle":"","parse-names":false,"suffix":""}],"container-title":"Environmental Progress","id":"ITEM-1","issue":"2","issued":{"date-parts":[["2005"]]},"page":"137-154","title":"A life cycle assessment of mechanical and feedstock recycling options for management of plastic packaging wastes","type":"article-journal","volume":"24"},"uris":["http://www.mendeley.com/documents/?uuid=7ac6456c-5562-4a7c-9b8e-af4d26b1830d"]}],"mendeley":{"formattedCitation":"(Perugini et al. 2005)","plainTextFormattedCitation":"(Perugini et al. 2005)","previouslyFormattedCitation":"(Perugini et al. 2005)"},"properties":{"noteIndex":0},"schema":"https://github.com/citation-style-language/schema/raw/master/csl-citation.json"}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(Perugini et al. 2005)</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w:t>
            </w:r>
          </w:p>
          <w:p w14:paraId="20C2703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{"citationItems":[{"id":"ITEM-1","itemData":{"DOI":"10.1016/j.enconman.2016.02.037","ISSN":"01968904","abstract":"The global plastic production increased over years due to the vast applications of plastics in many sectors. The continuous demand of plastics caused the plastic wastes accumulation in the landfill consumed a lot of spaces that contributed to the environmental problem. The rising in plastics demand led to the depletion of petroleum as part of non-renewable fossil fuel since plastics were the petroleum-based material. Some alternatives that have been developed to manage plastic wastes were recycling and energy recovery method. However, there were some drawbacks of the recycling method as it required high labor cost for the separation process and caused water contamination that reduced the process sustainability. Due to these drawbacks, the researchers have diverted their attentions to the energy recovery method to compensate the high energy demand. Through extensive research and technology development, the plastic waste conversion to energy was developed. As petroleum was the main source of plastic manufacturing, the recovery of plastic to liquid oil through pyrolysis process had a great potential since the oil produced had high calorific value comparable with the commercial fuel. This paper reviewed the pyrolysis process for each type of plastics and the main process parameters that influenced the final end product such as oil, gaseous and char. The key parameters that were reviewed in this paper included temperatures, type of reactors, residence time, pressure, catalysts, type of fluidizing gas and its flow rate. In addition, several viewpoints to optimize the liquid oil production for each plastic were also discussed in this paper.","author":[{"dropping-particle":"","family":"Anuar Sharuddin","given":"Shafferina Dayana","non-dropping-particle":"","parse-names":false,"suffix":""},{"dropping-particle":"","family":"Abnisa","given":"Faisal","non-dropping-particle":"","parse-names":false,"suffix":""},{"dropping-particle":"","family":"Wan Daud","given":"Wan Mohd Ashri","non-dropping-particle":"","parse-names":false,"suffix":""},{"dropping-particle":"","family":"Aroua","given":"Mohamed Kheireddine","non-dropping-particle":"","parse-names":false,"suffix":""}],"container-title":"Energy Conversion and Management","id":"ITEM-1","issued":{"date-parts":[["2016","5"]]},"page":"308-326","title":"A review on pyrolysis of plastic wastes","type":"article-journal","volume":"115"},"uris":["http://www.mendeley.com/documents/?uuid=8ff44c63-8bd0-492a-9440-1186449e75fb"]}],"mendeley":{"formattedCitation":"(Anuar Sharuddin et al. 2016)","plainTextFormattedCitation":"(Anuar Sharuddin et al. 2016)","previouslyFormattedCitation":"(Anuar Sharuddin et al. 2016)"},"properties":{"noteIndex":0},"schema":"https://github.com/citation-style-language/schema/raw/master/csl-citation.json"}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(Anuar Sharuddin et al. 2016)</w:t>
            </w:r>
            <w:r w:rsidRPr="00C4287A">
              <w:rPr>
                <w:rFonts w:ascii="Times New Roman" w:hAnsi="Times New Roman" w:cs="Times New Roman"/>
                <w:color w:val="000000"/>
                <w:sz w:val="18"/>
                <w:szCs w:val="18"/>
                <w:lang w:val="en-GB"/>
              </w:rPr>
              <w:fldChar w:fldCharType="end"/>
            </w:r>
          </w:p>
        </w:tc>
      </w:tr>
      <w:tr w:rsidR="00491F49" w:rsidRPr="00C4287A" w14:paraId="3FC34208" w14:textId="77777777" w:rsidTr="00012FBD">
        <w:trPr>
          <w:trHeight w:val="510"/>
          <w:jc w:val="center"/>
        </w:trPr>
        <w:tc>
          <w:tcPr>
            <w:tcW w:w="562" w:type="dxa"/>
            <w:shd w:val="clear" w:color="auto" w:fill="A8D08D" w:themeFill="accent6" w:themeFillTint="99"/>
            <w:noWrap/>
            <w:vAlign w:val="center"/>
            <w:hideMark/>
          </w:tcPr>
          <w:p w14:paraId="70253E0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P8</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5FCA714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Veba</w:t>
            </w:r>
          </w:p>
        </w:tc>
        <w:tc>
          <w:tcPr>
            <w:tcW w:w="438" w:type="dxa"/>
            <w:shd w:val="clear" w:color="auto" w:fill="FFFFFF" w:themeFill="background1"/>
            <w:noWrap/>
            <w:vAlign w:val="center"/>
            <w:hideMark/>
          </w:tcPr>
          <w:p w14:paraId="7468BB0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70DC26F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noWrap/>
            <w:vAlign w:val="center"/>
            <w:hideMark/>
          </w:tcPr>
          <w:p w14:paraId="48D0357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769EE3D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4897033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noWrap/>
            <w:vAlign w:val="center"/>
            <w:hideMark/>
          </w:tcPr>
          <w:p w14:paraId="6462849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FFFFFF" w:themeFill="background1"/>
            <w:noWrap/>
            <w:vAlign w:val="center"/>
            <w:hideMark/>
          </w:tcPr>
          <w:p w14:paraId="328525C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FFFFFF" w:themeFill="background1"/>
            <w:vAlign w:val="center"/>
          </w:tcPr>
          <w:p w14:paraId="3907922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727F69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1CEC9FC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3CBABA1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6280BBB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p>
        </w:tc>
        <w:tc>
          <w:tcPr>
            <w:tcW w:w="1276" w:type="dxa"/>
            <w:vAlign w:val="center"/>
          </w:tcPr>
          <w:p w14:paraId="7FAD8B3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{"citationItems":[{"id":"ITEM-1","itemData":{"DOI":"10.1002/ep.10078","ISSN":"02784491","abstract":"Life cycle assessment (LCA) methodology is generally considered one of the best environmental management tools that can be used to compare alternative eco-performances of recycling or disposal systems. It considers the environment as a whole, including indirect releases, energy and material consumption, emissions in the environment, and waste disposal and follows each activity from the extraction of raw materials to the return of wastes to the ground (cradle-to-grave approach). The study refers to the whole Italian system for recycling of household plastic packaging wastes. The aim was to quantify the overall environmental performances of mechanical recycling of plastic containers in Italy and to compare them with those of conventional options of landfilling or incineration and of a couple of innovative processes of feedstock recycling, low-temperature fluidized bedpyrolysis, and high-pressure hydrogenation. The results confirm that recycling scenarios are always preferable to those of nonrecycling. They also highlight the good environmental performance of new plastic waste management schemes that couple feedstock and mechanical recycling processes. © 2005 American Institute of Chemical Engineers Environ Prog,.","author":[{"dropping-particle":"","family":"Perugini","given":"Floriane","non-dropping-particle":"","parse-names":false,"suffix":""},{"dropping-particle":"","family":"Mastellone","given":"Maria Laura","non-dropping-particle":"","parse-names":false,"suffix":""},{"dropping-particle":"","family":"Arena","given":"Umberto","non-dropping-particle":"","parse-names":false,"suffix":""}],"container-title":"Environmental Progress","id":"ITEM-1","issue":"2","issued":{"date-parts":[["2005"]]},"page":"137-154","title":"A life cycle assessment of mechanical and feedstock recycling options for management of plastic packaging wastes","type":"article-journal","volume":"24"},"uris":["http://www.mendeley.com/documents/?uuid=7ac6456c-5562-4a7c-9b8e-af4d26b1830d"]}],"mendeley":{"formattedCitation":"(Perugini et al. 2005)","plainTextFormattedCitation":"(Perugini et al. 2005)","previouslyFormattedCitation":"(Perugini et al. 2005)"},"properties":{"noteIndex":0},"schema":"https://github.com/citation-style-language/schema/raw/master/csl-citation.json"}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(Perugini et al. 2005)</w:t>
            </w:r>
            <w:r w:rsidRPr="00C4287A">
              <w:rPr>
                <w:rFonts w:ascii="Times New Roman" w:hAnsi="Times New Roman" w:cs="Times New Roman"/>
                <w:color w:val="000000"/>
                <w:sz w:val="18"/>
                <w:szCs w:val="18"/>
                <w:lang w:val="en-GB"/>
              </w:rPr>
              <w:fldChar w:fldCharType="end"/>
            </w:r>
          </w:p>
        </w:tc>
      </w:tr>
      <w:tr w:rsidR="00491F49" w:rsidRPr="00C4287A" w14:paraId="3C478C97" w14:textId="77777777" w:rsidTr="00012FBD">
        <w:trPr>
          <w:trHeight w:val="510"/>
          <w:jc w:val="center"/>
        </w:trPr>
        <w:tc>
          <w:tcPr>
            <w:tcW w:w="562" w:type="dxa"/>
            <w:shd w:val="clear" w:color="auto" w:fill="A8D08D" w:themeFill="accent6" w:themeFillTint="99"/>
            <w:noWrap/>
            <w:vAlign w:val="center"/>
            <w:hideMark/>
          </w:tcPr>
          <w:p w14:paraId="40C9007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P9</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7A2329E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Agilyx</w:t>
            </w:r>
          </w:p>
        </w:tc>
        <w:tc>
          <w:tcPr>
            <w:tcW w:w="438" w:type="dxa"/>
            <w:shd w:val="clear" w:color="auto" w:fill="70AD47" w:themeFill="accent6"/>
            <w:noWrap/>
            <w:vAlign w:val="center"/>
            <w:hideMark/>
          </w:tcPr>
          <w:p w14:paraId="320C1D0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15C2446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8C5DE8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9F5ED9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2AA8242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0F7EC5E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0D7B067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vAlign w:val="center"/>
          </w:tcPr>
          <w:p w14:paraId="43B2B02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391CD49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2214411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7E126EA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242B6E82"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r w:rsidRPr="00C4287A">
              <w:rPr>
                <w:rFonts w:ascii="Times New Roman" w:hAnsi="Times New Roman" w:cs="Times New Roman"/>
                <w:color w:val="000000"/>
                <w:sz w:val="18"/>
                <w:szCs w:val="18"/>
                <w:lang w:val="en-GB"/>
              </w:rPr>
              <w:t>Ground plastic, plastic granulates of pallets</w:t>
            </w:r>
          </w:p>
          <w:p w14:paraId="313B3E7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276" w:type="dxa"/>
            <w:vAlign w:val="center"/>
          </w:tcPr>
          <w:p w14:paraId="48D8B29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{"citationItems":[{"id":"ITEM-1","itemData":{"DOI":"10.1115/NAWTEC21-2727","ISBN":"9780791855447","abstract":"New York City (NYC) annually generates an estimated 750,000 short tons of municipal plastic waste (MPW), 84% of which is landfilled. This study examined the potential of using NYC's non-recycled plastics (NRP) as feedstock for three pyrolysis processes developed in North America: The P2O process of JBI Inc., the Agilyx process, and the Climax Global Energy process. All three processes decompose plastic waste by heating to a temperature range of 300-500°C by means of an external energy source. The P2O process requires the least amount of electricity per ton of MPW because it uses the gas product of pyrolysis to heat the continuous flow reactor. The P2O technology appears to be suitable for application in NYC and is discussed in detail in this paper. Copyright © 2013 by ASME.","author":[{"dropping-particle":"","family":"Tsiamis","given":"Demetra A.","non-dropping-particle":"","parse-names":false,"suffix":""},{"dropping-particle":"","family":"Themelis","given":"Nickolas J.","non-dropping-particle":"","parse-names":false,"suffix":""}],"container-title":"2013 21st Annual North American Waste-to-Energy Conference, NAWTEC 2013","id":"ITEM-1","issued":{"date-parts":[["2013"]]},"title":"Transforming the non-recycled plastics of New York city to synthetic oil","type":"article-journal"},"uris":["http://www.mendeley.com/documents/?uuid=e699f51e-a83b-4265-b98b-d208cc0a8da6"]}],"mendeley":{"formattedCitation":"(Tsiamis and Themelis 2013)","plainTextFormattedCitation":"(Tsiamis and Themelis 2013)","previouslyFormattedCitation":"(Tsiamis and Themelis 2013)"},"properties":{"noteIndex":0},"schema":"https://github.com/citation-style-language/schema/raw/master/csl-citation.json"}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(Tsiamis and Themelis 2013)</w:t>
            </w:r>
            <w:r w:rsidRPr="00C4287A">
              <w:rPr>
                <w:rFonts w:ascii="Times New Roman" w:hAnsi="Times New Roman" w:cs="Times New Roman"/>
                <w:color w:val="000000"/>
                <w:sz w:val="18"/>
                <w:szCs w:val="18"/>
                <w:lang w:val="en-GB"/>
              </w:rPr>
              <w:fldChar w:fldCharType="end"/>
            </w:r>
          </w:p>
        </w:tc>
      </w:tr>
      <w:tr w:rsidR="00491F49" w:rsidRPr="00C4287A" w14:paraId="13492651" w14:textId="77777777" w:rsidTr="00012FBD">
        <w:trPr>
          <w:trHeight w:val="510"/>
          <w:jc w:val="center"/>
        </w:trPr>
        <w:tc>
          <w:tcPr>
            <w:tcW w:w="562" w:type="dxa"/>
            <w:shd w:val="clear" w:color="auto" w:fill="A8D08D" w:themeFill="accent6" w:themeFillTint="99"/>
            <w:noWrap/>
            <w:vAlign w:val="center"/>
            <w:hideMark/>
          </w:tcPr>
          <w:p w14:paraId="1FE958D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P10</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5603189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Climax </w:t>
            </w:r>
          </w:p>
        </w:tc>
        <w:tc>
          <w:tcPr>
            <w:tcW w:w="438" w:type="dxa"/>
            <w:shd w:val="clear" w:color="auto" w:fill="C5E0B3" w:themeFill="accent6" w:themeFillTint="66"/>
            <w:noWrap/>
            <w:vAlign w:val="center"/>
            <w:hideMark/>
          </w:tcPr>
          <w:p w14:paraId="4FD3077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11</w:t>
            </w:r>
          </w:p>
        </w:tc>
        <w:tc>
          <w:tcPr>
            <w:tcW w:w="438" w:type="dxa"/>
            <w:shd w:val="clear" w:color="auto" w:fill="C5E0B3" w:themeFill="accent6" w:themeFillTint="66"/>
            <w:noWrap/>
            <w:vAlign w:val="center"/>
            <w:hideMark/>
          </w:tcPr>
          <w:p w14:paraId="6DD212F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11</w:t>
            </w:r>
          </w:p>
        </w:tc>
        <w:tc>
          <w:tcPr>
            <w:tcW w:w="438" w:type="dxa"/>
            <w:shd w:val="clear" w:color="auto" w:fill="70AD47" w:themeFill="accent6"/>
            <w:noWrap/>
            <w:vAlign w:val="center"/>
            <w:hideMark/>
          </w:tcPr>
          <w:p w14:paraId="2F2E19B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169D841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3E0E41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59BCEC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558828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vAlign w:val="center"/>
          </w:tcPr>
          <w:p w14:paraId="3F93836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1923E50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1115E74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10566F4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5EF8B5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Ground plastic</w:t>
            </w:r>
          </w:p>
          <w:p w14:paraId="06451E5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11</w:t>
            </w:r>
            <w:r w:rsidRPr="00C4287A">
              <w:rPr>
                <w:rFonts w:ascii="Times New Roman" w:hAnsi="Times New Roman" w:cs="Times New Roman"/>
                <w:color w:val="000000"/>
                <w:sz w:val="18"/>
                <w:szCs w:val="18"/>
                <w:lang w:val="en-GB"/>
              </w:rPr>
              <w:t>Municipal plastic waste</w:t>
            </w:r>
          </w:p>
          <w:p w14:paraId="24A9B8D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(preferred #3-7 per RIC)</w:t>
            </w:r>
          </w:p>
          <w:p w14:paraId="1E23C8CC"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p>
        </w:tc>
        <w:tc>
          <w:tcPr>
            <w:tcW w:w="1276" w:type="dxa"/>
            <w:vAlign w:val="center"/>
          </w:tcPr>
          <w:p w14:paraId="5DDB0DA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{"citationItems":[{"id":"ITEM-1","itemData":{"DOI":"10.1115/NAWTEC21-2727","ISBN":"9780791855447","abstract":"New York City (NYC) annually generates an estimated 750,000 short tons of municipal plastic waste (MPW), 84% of which is landfilled. This study examined the potential of using NYC's non-recycled plastics (NRP) as feedstock for three pyrolysis processes developed in North America: The P2O process of JBI Inc., the Agilyx process, and the Climax Global Energy process. All three processes decompose plastic waste by heating to a temperature range of 300-500°C by means of an external energy source. The P2O process requires the least amount of electricity per ton of MPW because it uses the gas product of pyrolysis to heat the continuous flow reactor. The P2O technology appears to be suitable for application in NYC and is discussed in detail in this paper. Copyright © 2013 by ASME.","author":[{"dropping-particle":"","family":"Tsiamis","given":"Demetra A.","non-dropping-particle":"","parse-names":false,"suffix":""},{"dropping-particle":"","family":"Themelis","given":"Nickolas J.","non-dropping-particle":"","parse-names":false,"suffix":""}],"container-title":"2013 21st Annual North American Waste-to-Energy Conference, NAWTEC 2013","id":"ITEM-1","issued":{"date-parts":[["2013"]]},"title":"Transforming the non-recycled plastics of New York city to synthetic oil","type":"article-journal"},"uris":["http://www.mendeley.com/documents/?uuid=e699f51e-a83b-4265-b98b-d208cc0a8da6"]}],"mendeley":{"formattedCitation":"(Tsiamis and Themelis 2013)","plainTextFormattedCitation":"(Tsiamis and Themelis 2013)","previouslyFormattedCitation":"(Tsiamis and Themelis 2013)"},"properties":{"noteIndex":0},"schema":"https://github.com/citation-style-language/schema/raw/master/csl-citation.json"}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(Tsiamis and Themelis 2013)</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w:t>
            </w:r>
          </w:p>
          <w:p w14:paraId="37A7ADD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{"citationItems":[{"id":"ITEM-1","itemData":{"abstract":"The Plastic Packaging Evaluation and Assessment law (Chapter 70.380 RCW) directs the Department of Ecology (Ecology) to submit, by October 31, 2020, a report on the evaluation and assessment of plastic packaging in Washington. Ecology has hired Cascadia Consulting Group and a team of subcontractors to produce this report, which must include: 1. Findings regarding the amount and types of plastic packaging sold in the state, as well as the management and disposal of plastic packaging. 2. Recommendations to meet the goals of reducing plastic packaging, including through industry initiative or plastic packaging product stewardship, to: a. Achieve 100 percent recyclable, reusable, or compostable packaging in all goods sold in Washington by January 1, 2025. b. Achieve at least 20 percent postconsumer recycled content in packaging by January 1, 2025. c. Reduce plastic packaging when possible, optimizing use to meet the need. 3. Options to meet plastic packaging reduction goals that are capable of being established and implemented by January 1, 2022, for the purposes of legislative consideration. For proposed options, Ecology must identify expected costs and benefits of the proposal to state and local government agencies to administer and enforce the rule, and to private persons or businesses, by category of type of person or business affected. In order to make informed recommendations within the final report, this Task 3 sub-report: • Uses a geographical scan to detail policies, programs, and technologies which are available to manage plastic packaging in line with: a) the waste management hierarchy, and b) the circular economy. Commentary is provided on how each is leading to the reduction, reuse, and recycling of plastic packaging. A qualitative assessment of the applicability of the option to Washington is also provided (Task 3A). Sets out the comparative costs and savings to different stakeholders of packaging stewardship programs in other jurisdictions. This enables parallels to be drawn as to the potential impact to Washington stakeholders should a similar program, potentially just for plastics, be implemented in the state (Task 3B). • Identifies existing organizations and organization types that could play a role in the management of a plastics stewardship program in Washington (Task 3C). • Identifies existing databases of plastic packaging producers that were used in other programs (Task 3D)","author":[{"dropping-particle":"","family":"Edwards","given":"Sarah","non-dropping-particle":"","parse-names":false,"suffix":""},{"dropping-particle":"","family":"Kelleher","given":"Maria","non-dropping-particle":"","parse-names":false,"suffix":""},{"dropping-particle":"","family":"Valiante","given":"Usman","non-dropping-particle":"","parse-names":false,"suffix":""},{"dropping-particle":"","family":"Love","given":"Geoff","non-dropping-particle":"","parse-names":false,"suffix":""},{"dropping-particle":"","family":"Grushack","given":"Sydnee","non-dropping-particle":"","parse-names":false,"suffix":""}],"id":"ITEM-1","issued":{"date-parts":[["2020"]]},"title":"Successful Plastic Packaging Management Programs and Innovations","type":"article"},"uris":["http://www.mendeley.com/documents/?uuid=bfdfd287-4418-4ae2-a8f8-bcde23efaa1c"]}],"mendeley":{"formattedCitation":"(Edwards et al. 2020)","plainTextFormattedCitation":"(Edwards et al. 2020)","previouslyFormattedCitation":"(Edwards et al. 2020)"},"properties":{"noteIndex":0},"schema":"https://github.com/citation-style-language/schema/raw/master/csl-citation.json"}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(Edwards et al. 2020)</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w:t>
            </w:r>
          </w:p>
          <w:p w14:paraId="36C3DED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{"citationItems":[{"id":"ITEM-1","itemData":{"abstract":"Closed Loop Partners undertook this project to learn more about technologies and their potential role in scaling circular supply chains, transforming markets, and stopping plastics waste in the US and Canada. The goal of this report is to reflect the current landscape of technology providers focused on converting waste plastics into a variety of safe and high-quality materials, as well as the scale of opportunity for these providers to meet demand.","author":[{"dropping-particle":"","family":"Closed Loop Partners","given":"","non-dropping-particle":"","parse-names":false,"suffix":""}],"id":"ITEM-1","issued":{"date-parts":[["2019"]]},"title":"Accelerating Circular Supply Chains for Plastics: Keep Materials in Play and Grow Markets","type":"article-journal"},"uris":["http://www.mendeley.com/documents/?uuid=fb6a6f10-3f32-4c89-ab7c-b1774505535c","http://www.mendeley.com/documents/?uuid=f07d3566-e1dc-4054-81e1-87d9e0b1460b"]}],"mendeley":{"formattedCitation":"(Closed Loop Partners 2019)","plainTextFormattedCitation":"(Closed Loop Partners 2019)","previouslyFormattedCitation":"(Closed Loop Partners 2019)"},"properties":{"noteIndex":0},"schema":"https://github.com/citation-style-language/schema/raw/master/csl-citation.json"}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(Closed Loop Partners 2019)</w:t>
            </w:r>
            <w:r w:rsidRPr="00C4287A">
              <w:rPr>
                <w:rFonts w:ascii="Times New Roman" w:hAnsi="Times New Roman" w:cs="Times New Roman"/>
                <w:color w:val="000000"/>
                <w:sz w:val="18"/>
                <w:szCs w:val="18"/>
                <w:lang w:val="en-GB"/>
              </w:rPr>
              <w:fldChar w:fldCharType="end"/>
            </w:r>
          </w:p>
        </w:tc>
      </w:tr>
      <w:tr w:rsidR="00491F49" w:rsidRPr="00C4287A" w14:paraId="1E8CD97A" w14:textId="77777777" w:rsidTr="00012FBD">
        <w:trPr>
          <w:trHeight w:val="510"/>
          <w:jc w:val="center"/>
        </w:trPr>
        <w:tc>
          <w:tcPr>
            <w:tcW w:w="562" w:type="dxa"/>
            <w:shd w:val="clear" w:color="auto" w:fill="A8D08D" w:themeFill="accent6" w:themeFillTint="99"/>
            <w:noWrap/>
            <w:vAlign w:val="center"/>
            <w:hideMark/>
          </w:tcPr>
          <w:p w14:paraId="784FB21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P11</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246FECD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Pyrolysis</w:t>
            </w:r>
          </w:p>
        </w:tc>
        <w:tc>
          <w:tcPr>
            <w:tcW w:w="438" w:type="dxa"/>
            <w:shd w:val="clear" w:color="auto" w:fill="70AD47" w:themeFill="accent6"/>
            <w:noWrap/>
            <w:vAlign w:val="center"/>
          </w:tcPr>
          <w:p w14:paraId="74DD5E2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438" w:type="dxa"/>
            <w:shd w:val="clear" w:color="auto" w:fill="70AD47" w:themeFill="accent6"/>
            <w:noWrap/>
            <w:vAlign w:val="center"/>
          </w:tcPr>
          <w:p w14:paraId="6B71CF8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438" w:type="dxa"/>
            <w:shd w:val="clear" w:color="auto" w:fill="70AD47" w:themeFill="accent6"/>
            <w:noWrap/>
            <w:vAlign w:val="center"/>
          </w:tcPr>
          <w:p w14:paraId="0833C52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438" w:type="dxa"/>
            <w:shd w:val="clear" w:color="auto" w:fill="70AD47" w:themeFill="accent6"/>
            <w:noWrap/>
            <w:vAlign w:val="center"/>
          </w:tcPr>
          <w:p w14:paraId="451FA29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438" w:type="dxa"/>
            <w:shd w:val="clear" w:color="auto" w:fill="70AD47" w:themeFill="accent6"/>
            <w:noWrap/>
            <w:vAlign w:val="center"/>
          </w:tcPr>
          <w:p w14:paraId="69AE506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438" w:type="dxa"/>
            <w:shd w:val="clear" w:color="auto" w:fill="70AD47" w:themeFill="accent6"/>
            <w:noWrap/>
            <w:vAlign w:val="center"/>
          </w:tcPr>
          <w:p w14:paraId="5F4E6FE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438" w:type="dxa"/>
            <w:shd w:val="clear" w:color="auto" w:fill="70AD47" w:themeFill="accent6"/>
            <w:noWrap/>
            <w:vAlign w:val="center"/>
          </w:tcPr>
          <w:p w14:paraId="5F28DD5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438" w:type="dxa"/>
            <w:shd w:val="clear" w:color="auto" w:fill="FFFFFF" w:themeFill="background1"/>
            <w:vAlign w:val="center"/>
          </w:tcPr>
          <w:p w14:paraId="3DC14C2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3B93F27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35C9F88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2050347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3FF8FEB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12</w:t>
            </w:r>
            <w:r w:rsidRPr="00C4287A">
              <w:rPr>
                <w:rFonts w:ascii="Times New Roman" w:hAnsi="Times New Roman" w:cs="Times New Roman"/>
                <w:color w:val="000000"/>
                <w:sz w:val="18"/>
                <w:szCs w:val="18"/>
                <w:lang w:val="en-GB"/>
              </w:rPr>
              <w:t>Municipal plastic waste</w:t>
            </w:r>
          </w:p>
          <w:p w14:paraId="4E506B4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1276" w:type="dxa"/>
            <w:vAlign w:val="center"/>
          </w:tcPr>
          <w:p w14:paraId="7E30507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{"citationItems":[{"id":"ITEM-1","itemData":{"abstract":"The Zero Waste Plan published by the Scottish Government in 2010 sets targets of 70% of all waste to be recycled and 5% to be landfilled by 2025. In order to help deliver this plan, The Waste (Scotland) Regulations 2012 require that all dry recyclables are collected separately and that disposal of separately collected dry recyclables to landfill or incineration is banned from 1 January 2014. Plastic items that enter the waste stream are made in a wide range of formats and from a variety of polymer types. According to the market research of material recovery facilities (MRFs), and other waste-processing facilities, conducted as part of this project, there is currently around 18,000–27,000 tonnes per annum (tpa) of low-quality mixed waste plastic film in Scotland which cannot be recovered by current mechanical recycling techniques. The bulk of this material is plastic film from commercial and domestic packaging sources, and arises from municipal MRFs, with the remainder from composting and anaerobic digestion facilities. It is estimated that this volume will increase to up to 50,000tpa as the Zero Waste Plan is implemented. There is the potential to use chemical and thermal processing methods to recover these low-grade mixed waste plastics as useful materials. The purpose of this report is to review the current state of development of processes for conversion of mixed waste plastic to oil and to compare the technical, commercial and environmental potential of the leading process options for implementation in Scotland. The report also reviews the regulatory and fiscal issues relating to implementation of these technologies in Scotland and makes recommendations for changes which could encourage uptake of these technologies.","author":[{"dropping-particle":"","family":"Haig","given":"Sam","non-dropping-particle":"","parse-names":false,"suffix":""},{"dropping-particle":"","family":"Morrish","given":"Liz","non-dropping-particle":"","parse-names":false,"suffix":""},{"dropping-particle":"","family":"Morton","given":"Roger","non-dropping-particle":"","parse-names":false,"suffix":""},{"dropping-particle":"","family":"Onwuamaegbu","given":"Uchenna","non-dropping-particle":"","parse-names":false,"suffix":""},{"dropping-particle":"","family":"Speller","given":"Peter","non-dropping-particle":"","parse-names":false,"suffix":""},{"dropping-particle":"","family":"Wilkinson","given":"Simon","non-dropping-particle":"","parse-names":false,"suffix":""}],"container-title":"Xionconsulting","id":"ITEM-1","issued":{"date-parts":[["2013"]]},"number-of-pages":"155","title":"Plastics to oil products: Final report","type":"report"},"uris":["http://www.mendeley.com/documents/?uuid=1107e736-f1ef-4f03-b7e4-0186b9d77afd"]}],"mendeley":{"formattedCitation":"(Haig et al. 2013)","plainTextFormattedCitation":"(Haig et al. 2013)","previouslyFormattedCitation":"(Haig et al. 2013)"},"properties":{"noteIndex":0},"schema":"https://github.com/citation-style-language/schema/raw/master/csl-citation.json"}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(Haig et al. 2013)</w:t>
            </w:r>
            <w:r w:rsidRPr="00C4287A">
              <w:rPr>
                <w:rFonts w:ascii="Times New Roman" w:hAnsi="Times New Roman" w:cs="Times New Roman"/>
                <w:color w:val="000000"/>
                <w:sz w:val="18"/>
                <w:szCs w:val="18"/>
                <w:lang w:val="en-GB"/>
              </w:rPr>
              <w:fldChar w:fldCharType="end"/>
            </w:r>
          </w:p>
        </w:tc>
      </w:tr>
      <w:tr w:rsidR="00491F49" w:rsidRPr="00C4287A" w14:paraId="015DDA6E" w14:textId="77777777" w:rsidTr="00012FBD">
        <w:trPr>
          <w:trHeight w:val="510"/>
          <w:jc w:val="center"/>
        </w:trPr>
        <w:tc>
          <w:tcPr>
            <w:tcW w:w="562" w:type="dxa"/>
            <w:shd w:val="clear" w:color="auto" w:fill="A8D08D" w:themeFill="accent6" w:themeFillTint="99"/>
            <w:noWrap/>
            <w:vAlign w:val="center"/>
            <w:hideMark/>
          </w:tcPr>
          <w:p w14:paraId="1C7FDFC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lastRenderedPageBreak/>
              <w:t>P12</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70B8D9E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Cynar</w:t>
            </w:r>
          </w:p>
        </w:tc>
        <w:tc>
          <w:tcPr>
            <w:tcW w:w="438" w:type="dxa"/>
            <w:shd w:val="clear" w:color="auto" w:fill="FF0000"/>
            <w:noWrap/>
            <w:vAlign w:val="center"/>
            <w:hideMark/>
          </w:tcPr>
          <w:p w14:paraId="7E8CD32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13</w:t>
            </w:r>
          </w:p>
        </w:tc>
        <w:tc>
          <w:tcPr>
            <w:tcW w:w="438" w:type="dxa"/>
            <w:shd w:val="clear" w:color="auto" w:fill="70AD47" w:themeFill="accent6"/>
            <w:noWrap/>
            <w:vAlign w:val="center"/>
            <w:hideMark/>
          </w:tcPr>
          <w:p w14:paraId="7B8E583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1EDAFAF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14</w:t>
            </w:r>
          </w:p>
        </w:tc>
        <w:tc>
          <w:tcPr>
            <w:tcW w:w="438" w:type="dxa"/>
            <w:shd w:val="clear" w:color="auto" w:fill="70AD47" w:themeFill="accent6"/>
            <w:noWrap/>
            <w:vAlign w:val="center"/>
            <w:hideMark/>
          </w:tcPr>
          <w:p w14:paraId="51DBA0F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71BBE50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04DEC3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586C26D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FFFFFF" w:themeFill="background1"/>
            <w:vAlign w:val="center"/>
          </w:tcPr>
          <w:p w14:paraId="481AE1A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4A50359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02258F5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auto" w:fill="FF0000"/>
            <w:vAlign w:val="center"/>
          </w:tcPr>
          <w:p w14:paraId="75F9DFF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color w:val="000000"/>
                <w:sz w:val="18"/>
                <w:szCs w:val="18"/>
                <w:vertAlign w:val="superscript"/>
                <w:lang w:val="en-GB"/>
              </w:rPr>
              <w:t>15</w:t>
            </w:r>
          </w:p>
        </w:tc>
        <w:tc>
          <w:tcPr>
            <w:tcW w:w="1843" w:type="dxa"/>
            <w:shd w:val="clear" w:color="auto" w:fill="FFFFFF" w:themeFill="background1"/>
            <w:noWrap/>
            <w:vAlign w:val="center"/>
            <w:hideMark/>
          </w:tcPr>
          <w:p w14:paraId="0E12DAC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Particle size &lt; 1 cm</w:t>
            </w:r>
          </w:p>
          <w:p w14:paraId="045F19F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13</w:t>
            </w:r>
            <w:r w:rsidRPr="00C4287A">
              <w:rPr>
                <w:rFonts w:ascii="Times New Roman" w:hAnsi="Times New Roman" w:cs="Times New Roman"/>
                <w:color w:val="000000"/>
                <w:sz w:val="18"/>
                <w:szCs w:val="18"/>
                <w:lang w:val="en-GB"/>
              </w:rPr>
              <w:t>PET &lt; 2 %</w:t>
            </w:r>
          </w:p>
          <w:p w14:paraId="4F74229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14</w:t>
            </w:r>
            <w:r w:rsidRPr="00C4287A">
              <w:rPr>
                <w:rFonts w:ascii="Times New Roman" w:hAnsi="Times New Roman" w:cs="Times New Roman"/>
                <w:color w:val="000000"/>
                <w:sz w:val="18"/>
                <w:szCs w:val="18"/>
                <w:lang w:val="en-GB"/>
              </w:rPr>
              <w:t xml:space="preserve">PVC ~ 0 % </w:t>
            </w:r>
          </w:p>
          <w:p w14:paraId="356029D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15</w:t>
            </w:r>
            <w:r w:rsidRPr="00C4287A">
              <w:rPr>
                <w:rFonts w:ascii="Times New Roman" w:hAnsi="Times New Roman" w:cs="Times New Roman"/>
                <w:color w:val="000000"/>
                <w:sz w:val="18"/>
                <w:szCs w:val="18"/>
                <w:lang w:val="en-GB"/>
              </w:rPr>
              <w:t>Separation of contaminants</w:t>
            </w:r>
          </w:p>
        </w:tc>
        <w:tc>
          <w:tcPr>
            <w:tcW w:w="1276" w:type="dxa"/>
            <w:vAlign w:val="center"/>
          </w:tcPr>
          <w:p w14:paraId="4530EF6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2133AE06" w14:textId="77777777" w:rsidTr="00012FBD">
        <w:trPr>
          <w:trHeight w:val="510"/>
          <w:jc w:val="center"/>
        </w:trPr>
        <w:tc>
          <w:tcPr>
            <w:tcW w:w="562" w:type="dxa"/>
            <w:shd w:val="clear" w:color="auto" w:fill="A8D08D" w:themeFill="accent6" w:themeFillTint="99"/>
            <w:noWrap/>
            <w:vAlign w:val="center"/>
            <w:hideMark/>
          </w:tcPr>
          <w:p w14:paraId="0891596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P13</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4B20453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Golden Renew.</w:t>
            </w:r>
          </w:p>
        </w:tc>
        <w:tc>
          <w:tcPr>
            <w:tcW w:w="438" w:type="dxa"/>
            <w:shd w:val="clear" w:color="auto" w:fill="FFFFFF" w:themeFill="background1"/>
            <w:noWrap/>
            <w:vAlign w:val="center"/>
            <w:hideMark/>
          </w:tcPr>
          <w:p w14:paraId="300B870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4547593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D35F4E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7A0254E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467F36B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1962275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658C759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vAlign w:val="center"/>
          </w:tcPr>
          <w:p w14:paraId="58892B0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2143A1D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3AA3FB0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auto" w:fill="FF0000"/>
            <w:vAlign w:val="center"/>
          </w:tcPr>
          <w:p w14:paraId="3FE26AE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color w:val="000000"/>
                <w:sz w:val="18"/>
                <w:szCs w:val="18"/>
                <w:vertAlign w:val="superscript"/>
                <w:lang w:val="en-GB"/>
              </w:rPr>
              <w:t>16</w:t>
            </w:r>
          </w:p>
        </w:tc>
        <w:tc>
          <w:tcPr>
            <w:tcW w:w="1843" w:type="dxa"/>
            <w:shd w:val="clear" w:color="auto" w:fill="FFFFFF" w:themeFill="background1"/>
            <w:noWrap/>
            <w:vAlign w:val="center"/>
            <w:hideMark/>
          </w:tcPr>
          <w:p w14:paraId="6C2AEEB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16</w:t>
            </w:r>
            <w:r w:rsidRPr="00C4287A">
              <w:rPr>
                <w:rFonts w:ascii="Times New Roman" w:hAnsi="Times New Roman" w:cs="Times New Roman"/>
                <w:color w:val="000000"/>
                <w:sz w:val="18"/>
                <w:szCs w:val="18"/>
                <w:lang w:val="en-GB"/>
              </w:rPr>
              <w:t>Cleaned, dried, and ground plastics</w:t>
            </w:r>
          </w:p>
        </w:tc>
        <w:tc>
          <w:tcPr>
            <w:tcW w:w="1276" w:type="dxa"/>
            <w:vAlign w:val="center"/>
          </w:tcPr>
          <w:p w14:paraId="4614A61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0E13FB68" w14:textId="77777777" w:rsidTr="00012FBD">
        <w:trPr>
          <w:trHeight w:val="510"/>
          <w:jc w:val="center"/>
        </w:trPr>
        <w:tc>
          <w:tcPr>
            <w:tcW w:w="562" w:type="dxa"/>
            <w:shd w:val="clear" w:color="auto" w:fill="A8D08D" w:themeFill="accent6" w:themeFillTint="99"/>
            <w:noWrap/>
            <w:vAlign w:val="center"/>
            <w:hideMark/>
          </w:tcPr>
          <w:p w14:paraId="56A7D97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P14</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004EC0C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Sustane</w:t>
            </w:r>
            <w:r w:rsidRPr="00C4287A">
              <w:rPr>
                <w:rFonts w:ascii="Times New Roman" w:hAnsi="Times New Roman" w:cs="Times New Roman"/>
                <w:color w:val="000000"/>
                <w:sz w:val="18"/>
                <w:szCs w:val="18"/>
                <w:lang w:val="en-GB"/>
              </w:rPr>
              <w:br/>
              <w:t>Tech.</w:t>
            </w:r>
          </w:p>
        </w:tc>
        <w:tc>
          <w:tcPr>
            <w:tcW w:w="438" w:type="dxa"/>
            <w:shd w:val="clear" w:color="auto" w:fill="FF0000"/>
            <w:noWrap/>
            <w:vAlign w:val="center"/>
            <w:hideMark/>
          </w:tcPr>
          <w:p w14:paraId="6845CF7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17</w:t>
            </w:r>
          </w:p>
        </w:tc>
        <w:tc>
          <w:tcPr>
            <w:tcW w:w="438" w:type="dxa"/>
            <w:shd w:val="clear" w:color="auto" w:fill="70AD47" w:themeFill="accent6"/>
            <w:noWrap/>
            <w:vAlign w:val="center"/>
            <w:hideMark/>
          </w:tcPr>
          <w:p w14:paraId="5934947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512FB29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17</w:t>
            </w:r>
          </w:p>
        </w:tc>
        <w:tc>
          <w:tcPr>
            <w:tcW w:w="438" w:type="dxa"/>
            <w:shd w:val="clear" w:color="auto" w:fill="70AD47" w:themeFill="accent6"/>
            <w:noWrap/>
            <w:vAlign w:val="center"/>
            <w:hideMark/>
          </w:tcPr>
          <w:p w14:paraId="2DE2B77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6DA48EE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D0AB20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7E5D3B8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59C129E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6271023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246FEC6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auto" w:fill="FF0000"/>
            <w:vAlign w:val="center"/>
          </w:tcPr>
          <w:p w14:paraId="74CBEF4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color w:val="000000"/>
                <w:sz w:val="18"/>
                <w:szCs w:val="18"/>
                <w:vertAlign w:val="superscript"/>
                <w:lang w:val="en-GB"/>
              </w:rPr>
              <w:t>18</w:t>
            </w:r>
          </w:p>
        </w:tc>
        <w:tc>
          <w:tcPr>
            <w:tcW w:w="1843" w:type="dxa"/>
            <w:shd w:val="clear" w:color="auto" w:fill="FFFFFF" w:themeFill="background1"/>
            <w:vAlign w:val="center"/>
            <w:hideMark/>
          </w:tcPr>
          <w:p w14:paraId="4EA7267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17</w:t>
            </w:r>
            <w:r w:rsidRPr="00C4287A">
              <w:rPr>
                <w:rFonts w:ascii="Times New Roman" w:hAnsi="Times New Roman" w:cs="Times New Roman"/>
                <w:color w:val="000000"/>
                <w:sz w:val="18"/>
                <w:szCs w:val="18"/>
                <w:lang w:val="en-GB"/>
              </w:rPr>
              <w:t xml:space="preserve">Do not accepts </w:t>
            </w:r>
            <w:r w:rsidRPr="00C4287A">
              <w:rPr>
                <w:rFonts w:ascii="Times New Roman" w:hAnsi="Times New Roman" w:cs="Times New Roman"/>
                <w:color w:val="000000"/>
                <w:sz w:val="18"/>
                <w:szCs w:val="18"/>
                <w:lang w:val="en-GB"/>
              </w:rPr>
              <w:br/>
              <w:t>PET and PVC</w:t>
            </w:r>
          </w:p>
          <w:p w14:paraId="7D7AD15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18</w:t>
            </w:r>
            <w:r w:rsidRPr="00C4287A">
              <w:rPr>
                <w:rFonts w:ascii="Times New Roman" w:hAnsi="Times New Roman" w:cs="Times New Roman"/>
                <w:color w:val="000000"/>
                <w:sz w:val="18"/>
                <w:szCs w:val="18"/>
                <w:lang w:val="en-GB"/>
              </w:rPr>
              <w:t>Cleaned and ground plastics</w:t>
            </w:r>
          </w:p>
          <w:p w14:paraId="6BBD95A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Particle size 6 mm</w:t>
            </w:r>
          </w:p>
          <w:p w14:paraId="6321FCC1"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r w:rsidRPr="00C4287A">
              <w:rPr>
                <w:rFonts w:ascii="Times New Roman" w:hAnsi="Times New Roman" w:cs="Times New Roman"/>
                <w:color w:val="000000"/>
                <w:sz w:val="18"/>
                <w:szCs w:val="18"/>
                <w:lang w:val="en-GB"/>
              </w:rPr>
              <w:t>&lt; 1% moisture</w:t>
            </w:r>
          </w:p>
        </w:tc>
        <w:tc>
          <w:tcPr>
            <w:tcW w:w="1276" w:type="dxa"/>
            <w:vAlign w:val="center"/>
          </w:tcPr>
          <w:p w14:paraId="29EA6C0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{"citationItems":[{"id":"ITEM-1","itemData":{"author":[{"dropping-particle":"","family":"Strum Consulting","given":"","non-dropping-particle":"","parse-names":false,"suffix":""}],"id":"ITEM-1","issued":{"date-parts":[["2018"]]},"title":"Pyrolysis Plant Environmental Assessment Registration","type":"article-journal"},"uris":["http://www.mendeley.com/documents/?uuid=85953ed0-8689-487a-b847-32ccf943f75e","http://www.mendeley.com/documents/?uuid=60212c86-d025-4f93-b515-83dabbce5511"]}],"mendeley":{"formattedCitation":"(Strum Consulting 2018)","plainTextFormattedCitation":"(Strum Consulting 2018)","previouslyFormattedCitation":"(Strum Consulting 2018)"},"properties":{"noteIndex":0},"schema":"https://github.com/citation-style-language/schema/raw/master/csl-citation.json"}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(Strum Consulting 2018)</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w:t>
            </w:r>
          </w:p>
          <w:p w14:paraId="213F224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Singh","given":"Shawn","non-dropping-particle":"","parse-names":false,"suffix":""},{"dropping-particle":"","family":"Cosic","given":"Biljana","non-dropping-particle":"","parse-names":false,"suffix":""}],"id":"ITEM-1","issued":{"date-parts":[["2018"]]},"title":"APPENDIX D AIR MODELLING REPORT","type":"article-journal"},"uris":["http://www.mendeley.com/documents/?uuid=1ffbc230-f4fd-409f-b9b0-013760b03e21","http://www.mendeley.com/documents/?uuid=aab54428-99f9-417c-a3b6-6cceac96e94d"]}],"mendeley":{"formattedCitation":"(Singh and Cosic 2018)","plainTextFormattedCitation":"(Singh and Cosic 2018)","previouslyFormattedCitation":"(Singh and Cosic 2018)"},"properties":{"noteIndex":0},"schema":"https://github.com/citation-style-language/schema/raw/master/csl-citation.json"}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(Singh and Cosic 2018)</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 </w:t>
            </w:r>
          </w:p>
        </w:tc>
      </w:tr>
      <w:tr w:rsidR="00491F49" w:rsidRPr="00C4287A" w14:paraId="019D8075" w14:textId="77777777" w:rsidTr="00012FBD">
        <w:trPr>
          <w:trHeight w:val="510"/>
          <w:jc w:val="center"/>
        </w:trPr>
        <w:tc>
          <w:tcPr>
            <w:tcW w:w="562" w:type="dxa"/>
            <w:shd w:val="clear" w:color="auto" w:fill="A8D08D" w:themeFill="accent6" w:themeFillTint="99"/>
            <w:noWrap/>
            <w:vAlign w:val="center"/>
            <w:hideMark/>
          </w:tcPr>
          <w:p w14:paraId="2FA07BE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P15</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3ABF275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Pyrolysis system</w:t>
            </w:r>
          </w:p>
        </w:tc>
        <w:tc>
          <w:tcPr>
            <w:tcW w:w="438" w:type="dxa"/>
            <w:shd w:val="clear" w:color="000000" w:fill="FFFFFF"/>
            <w:noWrap/>
            <w:vAlign w:val="center"/>
            <w:hideMark/>
          </w:tcPr>
          <w:p w14:paraId="5253F75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7A447ED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30C243A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27AA908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5772E4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836820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3E28120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2248603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4D9F4D3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7361CB6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09C651B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1839C50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p>
        </w:tc>
        <w:tc>
          <w:tcPr>
            <w:tcW w:w="1276" w:type="dxa"/>
            <w:vAlign w:val="center"/>
          </w:tcPr>
          <w:p w14:paraId="7B4783F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{"citationItems":[{"id":"ITEM-1","itemData":{"DOI":"10.1016/j.energy.2018.02.094","ISSN":"03605442","abstract":"Pyrolysis is widely seen as a promising technology for converting plastic waste into a wax/oil product which can be used as a heavy fuel oil substitute or as raw material by the petrochemical industry. A pyrolysis plant with a capacity of 100 kg/h plastic waste is modelled in the process simulation software Aspen HYSYS. The production costs of the pyrolysis fuel product is estimated at £0.87/kg which is 58% higher than current market prices; therefore, a scaling-up analysis is also carried out to determine the plant capacity for which the pyrolysis process is economically feasible. The fuel production costs of the scaled-up cases considered are approximately 2.2–20.8 times lower than the existing market prices of residual fuel oil, indicating their economic feasibility. For the 1000 kg/h and 10,000 kg/h plant capacity cases the facility needs to operate approximately four years and one year respectively, to recover the capital investment, while the 100,000 kg/h case produces revenue and has a positive NPV within year one. A sensitivity analysis is also carried out revealing that the fuel production rate is the most sensitive parameter for the 100 kg/h plant, as well as the scaled-up plants.","author":[{"dropping-particle":"","family":"Fivga","given":"Antzela","non-dropping-particle":"","parse-names":false,"suffix":""},{"dropping-particle":"","family":"Dimitriou","given":"Ioanna","non-dropping-particle":"","parse-names":false,"suffix":""}],"container-title":"Energy","id":"ITEM-1","issued":{"date-parts":[["2018"]]},"page":"865-874","title":"Pyrolysis of plastic waste for production of heavy fuel substitute: A techno-economic assessment","type":"article-journal","volume":"149"},"uris":["http://www.mendeley.com/documents/?uuid=05a50657-1b4d-472b-bb87-d78ba3e626aa"]}],"mendeley":{"formattedCitation":"(Fivga and Dimitriou 2018)","plainTextFormattedCitation":"(Fivga and Dimitriou 2018)","previouslyFormattedCitation":"(Fivga and Dimitriou 2018)"},"properties":{"noteIndex":0},"schema":"https://github.com/citation-style-language/schema/raw/master/csl-citation.json"}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(Fivga and Dimitriou 2018)</w:t>
            </w:r>
            <w:r w:rsidRPr="00C4287A">
              <w:rPr>
                <w:rFonts w:ascii="Times New Roman" w:hAnsi="Times New Roman" w:cs="Times New Roman"/>
                <w:color w:val="000000"/>
                <w:sz w:val="18"/>
                <w:szCs w:val="18"/>
                <w:lang w:val="en-GB"/>
              </w:rPr>
              <w:fldChar w:fldCharType="end"/>
            </w:r>
          </w:p>
        </w:tc>
      </w:tr>
      <w:tr w:rsidR="00491F49" w:rsidRPr="00C4287A" w14:paraId="2D6E3E16" w14:textId="77777777" w:rsidTr="00012FBD">
        <w:trPr>
          <w:trHeight w:val="510"/>
          <w:jc w:val="center"/>
        </w:trPr>
        <w:tc>
          <w:tcPr>
            <w:tcW w:w="562" w:type="dxa"/>
            <w:shd w:val="clear" w:color="auto" w:fill="A8D08D" w:themeFill="accent6" w:themeFillTint="99"/>
            <w:noWrap/>
            <w:vAlign w:val="center"/>
            <w:hideMark/>
          </w:tcPr>
          <w:p w14:paraId="1255BC2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P16</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7E1F1D9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NRP </w:t>
            </w:r>
          </w:p>
        </w:tc>
        <w:tc>
          <w:tcPr>
            <w:tcW w:w="438" w:type="dxa"/>
            <w:shd w:val="clear" w:color="000000" w:fill="FFFFFF"/>
            <w:noWrap/>
            <w:vAlign w:val="center"/>
            <w:hideMark/>
          </w:tcPr>
          <w:p w14:paraId="0ABF533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68E8DC2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19</w:t>
            </w:r>
          </w:p>
        </w:tc>
        <w:tc>
          <w:tcPr>
            <w:tcW w:w="438" w:type="dxa"/>
            <w:shd w:val="clear" w:color="000000" w:fill="FFFFFF"/>
            <w:noWrap/>
            <w:vAlign w:val="center"/>
            <w:hideMark/>
          </w:tcPr>
          <w:p w14:paraId="4853406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70AD47" w:themeFill="accent6"/>
            <w:noWrap/>
            <w:vAlign w:val="center"/>
            <w:hideMark/>
          </w:tcPr>
          <w:p w14:paraId="3CD98C2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19</w:t>
            </w:r>
          </w:p>
        </w:tc>
        <w:tc>
          <w:tcPr>
            <w:tcW w:w="438" w:type="dxa"/>
            <w:shd w:val="clear" w:color="auto" w:fill="70AD47" w:themeFill="accent6"/>
            <w:noWrap/>
            <w:vAlign w:val="center"/>
            <w:hideMark/>
          </w:tcPr>
          <w:p w14:paraId="00E26F8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20</w:t>
            </w:r>
          </w:p>
        </w:tc>
        <w:tc>
          <w:tcPr>
            <w:tcW w:w="438" w:type="dxa"/>
            <w:shd w:val="clear" w:color="000000" w:fill="FFFFFF"/>
            <w:noWrap/>
            <w:vAlign w:val="center"/>
            <w:hideMark/>
          </w:tcPr>
          <w:p w14:paraId="09DCC90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000000" w:fill="FFFFFF"/>
            <w:noWrap/>
            <w:vAlign w:val="center"/>
            <w:hideMark/>
          </w:tcPr>
          <w:p w14:paraId="76192CF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3EDE1A9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69AFE16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1B6753F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660CBD8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11D0215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19</w:t>
            </w:r>
            <w:r w:rsidRPr="00C4287A">
              <w:rPr>
                <w:rFonts w:ascii="Times New Roman" w:hAnsi="Times New Roman" w:cs="Times New Roman"/>
                <w:color w:val="000000"/>
                <w:sz w:val="18"/>
                <w:szCs w:val="18"/>
                <w:lang w:val="en-GB"/>
              </w:rPr>
              <w:t xml:space="preserve">40 % PE </w:t>
            </w:r>
          </w:p>
          <w:p w14:paraId="789ACD2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20</w:t>
            </w:r>
            <w:r w:rsidRPr="00C4287A">
              <w:rPr>
                <w:rFonts w:ascii="Times New Roman" w:hAnsi="Times New Roman" w:cs="Times New Roman"/>
                <w:color w:val="000000"/>
                <w:sz w:val="18"/>
                <w:szCs w:val="18"/>
                <w:lang w:val="en-GB"/>
              </w:rPr>
              <w:t xml:space="preserve">60 % PP </w:t>
            </w:r>
          </w:p>
        </w:tc>
        <w:tc>
          <w:tcPr>
            <w:tcW w:w="1276" w:type="dxa"/>
            <w:vAlign w:val="center"/>
          </w:tcPr>
          <w:p w14:paraId="65BD623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{"citationItems":[{"id":"ITEM-1","itemData":{"author":[{"dropping-particle":"","family":"Castaldi","given":"Marco J","non-dropping-particle":"","parse-names":false,"suffix":""},{"dropping-particle":"","family":"Horowitz","given":"Sheldon M","non-dropping-particle":"","parse-names":false,"suffix":""},{"dropping-particle":"","family":"Houlihan","given":"William","non-dropping-particle":"","parse-names":false,"suffix":""},{"dropping-particle":"","family":"Garrido","given":"Isamar","non-dropping-particle":"","parse-names":false,"suffix":""},{"dropping-particle":"","family":"Luz","given":"Rodriguez","non-dropping-particle":"","parse-names":false,"suffix":""},{"dropping-particle":"","family":"Valdiviezo","given":"Maria","non-dropping-particle":"","parse-names":false,"suffix":""},{"dropping-particle":"","family":"Harden","given":"Tiffany","non-dropping-particle":"","parse-names":false,"suffix":""},{"dropping-particle":"","family":"Huang","given":"Xing","non-dropping-particle":"","parse-names":false,"suffix":""}],"id":"ITEM-1","issued":{"date-parts":[["2018"]]},"title":"Transforming Non-Recyclable Plastics to Fuel Oil Using Thermal Pyrolysis","type":"thesis"},"uris":["http://www.mendeley.com/documents/?uuid=25b2b95f-f57a-4fd7-8514-cc31ffcfa199"]}],"mendeley":{"formattedCitation":"(Castaldi et al. 2018)","plainTextFormattedCitation":"(Castaldi et al. 2018)","previouslyFormattedCitation":"(Castaldi et al. 2018)"},"properties":{"noteIndex":0},"schema":"https://github.com/citation-style-language/schema/raw/master/csl-citation.json"}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(Castaldi et al. 2018)</w:t>
            </w:r>
            <w:r w:rsidRPr="00C4287A">
              <w:rPr>
                <w:rFonts w:ascii="Times New Roman" w:hAnsi="Times New Roman" w:cs="Times New Roman"/>
                <w:color w:val="000000"/>
                <w:sz w:val="18"/>
                <w:szCs w:val="18"/>
                <w:lang w:val="en-GB"/>
              </w:rPr>
              <w:fldChar w:fldCharType="end"/>
            </w:r>
          </w:p>
        </w:tc>
      </w:tr>
      <w:tr w:rsidR="00491F49" w:rsidRPr="00C4287A" w14:paraId="3419D261" w14:textId="77777777" w:rsidTr="00012FBD">
        <w:trPr>
          <w:trHeight w:val="510"/>
          <w:jc w:val="center"/>
        </w:trPr>
        <w:tc>
          <w:tcPr>
            <w:tcW w:w="562" w:type="dxa"/>
            <w:shd w:val="clear" w:color="auto" w:fill="A8D08D" w:themeFill="accent6" w:themeFillTint="99"/>
            <w:noWrap/>
            <w:vAlign w:val="center"/>
            <w:hideMark/>
          </w:tcPr>
          <w:p w14:paraId="7950A4D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P17</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25D1881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Polyflow</w:t>
            </w:r>
          </w:p>
        </w:tc>
        <w:tc>
          <w:tcPr>
            <w:tcW w:w="438" w:type="dxa"/>
            <w:shd w:val="clear" w:color="auto" w:fill="70AD47" w:themeFill="accent6"/>
            <w:noWrap/>
            <w:vAlign w:val="center"/>
            <w:hideMark/>
          </w:tcPr>
          <w:p w14:paraId="725E405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24D7BBC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034B772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0127771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6210E90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DC988E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7797112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vAlign w:val="center"/>
          </w:tcPr>
          <w:p w14:paraId="797A58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auto"/>
            <w:vAlign w:val="center"/>
          </w:tcPr>
          <w:p w14:paraId="658F70A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4AE2E4A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9" w:type="dxa"/>
            <w:shd w:val="clear" w:color="auto" w:fill="FFC000"/>
            <w:vAlign w:val="center"/>
          </w:tcPr>
          <w:p w14:paraId="7D6BD1C1" w14:textId="77777777" w:rsidR="00491F49" w:rsidRPr="00C4287A" w:rsidRDefault="00491F49" w:rsidP="00012FBD">
            <w:pPr>
              <w:spacing w:after="0" w:line="240" w:lineRule="auto"/>
              <w:jc w:val="center"/>
              <w:rPr>
                <w:rFonts w:ascii="Times New Roman" w:hAnsi="Times New Roman" w:cs="Times New Roman"/>
                <w:color w:val="FF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21</w:t>
            </w:r>
          </w:p>
        </w:tc>
        <w:tc>
          <w:tcPr>
            <w:tcW w:w="1843" w:type="dxa"/>
            <w:shd w:val="clear" w:color="auto" w:fill="FFFFFF" w:themeFill="background1"/>
            <w:vAlign w:val="center"/>
            <w:hideMark/>
          </w:tcPr>
          <w:p w14:paraId="2C5AE48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21</w:t>
            </w:r>
            <w:r w:rsidRPr="00C4287A">
              <w:rPr>
                <w:rFonts w:ascii="Times New Roman" w:hAnsi="Times New Roman" w:cs="Times New Roman"/>
                <w:color w:val="000000"/>
                <w:sz w:val="18"/>
                <w:szCs w:val="18"/>
                <w:lang w:val="en-GB"/>
              </w:rPr>
              <w:t>Separation of contaminants</w:t>
            </w:r>
          </w:p>
          <w:p w14:paraId="35FEF6C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Accepts </w:t>
            </w:r>
            <w:r w:rsidRPr="00C4287A">
              <w:rPr>
                <w:rFonts w:ascii="Times New Roman" w:hAnsi="Times New Roman" w:cs="Times New Roman"/>
                <w:sz w:val="18"/>
                <w:szCs w:val="18"/>
                <w:lang w:val="en-GB"/>
              </w:rPr>
              <w:t>carpet and tire shreds</w:t>
            </w:r>
          </w:p>
          <w:p w14:paraId="114DE5F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276" w:type="dxa"/>
            <w:vAlign w:val="center"/>
          </w:tcPr>
          <w:p w14:paraId="747B2A7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{"citationItems":[{"id":"ITEM-1","itemData":{"ISBN":"9788578110796","ISSN":"1098-6596","abstract":"Predicting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approach.","author":[{"dropping-particle":"","family":"Technische Universtität München","given":"Ludiwg-Maximilians-Universität München","non-dropping-particle":"","parse-names":false,"suffix":""}],"container-title":"e-conversion - Proposal for a Cluster of Excellence","id":"ITEM-1","issued":{"date-parts":[["2018"]]},"title":"ENRETEC Energy Recovery Technologies","type":"article-journal"},"uris":["http://www.mendeley.com/documents/?uuid=955d9545-19b8-4ef3-806f-d05ab9cd71ef","http://www.mendeley.com/documents/?uuid=c080fcad-a781-4ac4-a633-2e3a405887ff"]}],"mendeley":{"formattedCitation":"(Technische Universtität München 2018)","plainTextFormattedCitation":"(Technische Universtität München 2018)","previouslyFormattedCitation":"(Technische Universtität München 2018)"},"properties":{"noteIndex":0},"schema":"https://github.com/citation-style-language/schema/raw/master/csl-citation.json"}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(Technische Universtität München 2018)</w:t>
            </w:r>
            <w:r w:rsidRPr="00C4287A">
              <w:rPr>
                <w:rFonts w:ascii="Times New Roman" w:hAnsi="Times New Roman" w:cs="Times New Roman"/>
                <w:color w:val="000000"/>
                <w:sz w:val="18"/>
                <w:szCs w:val="18"/>
                <w:lang w:val="en-GB"/>
              </w:rPr>
              <w:fldChar w:fldCharType="end"/>
            </w:r>
          </w:p>
        </w:tc>
      </w:tr>
      <w:tr w:rsidR="00491F49" w:rsidRPr="00C4287A" w14:paraId="53153B2A" w14:textId="77777777" w:rsidTr="00012FBD">
        <w:trPr>
          <w:trHeight w:val="510"/>
          <w:jc w:val="center"/>
        </w:trPr>
        <w:tc>
          <w:tcPr>
            <w:tcW w:w="562" w:type="dxa"/>
            <w:shd w:val="clear" w:color="auto" w:fill="A8D08D" w:themeFill="accent6" w:themeFillTint="99"/>
            <w:noWrap/>
            <w:vAlign w:val="center"/>
            <w:hideMark/>
          </w:tcPr>
          <w:p w14:paraId="5DA8AC7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P18</w:t>
            </w:r>
            <w:r w:rsidRPr="00C4287A">
              <w:rPr>
                <w:rFonts w:ascii="Times New Roman" w:hAnsi="Times New Roman" w:cs="Times New Roman"/>
                <w:color w:val="000000"/>
                <w:sz w:val="20"/>
                <w:szCs w:val="20"/>
                <w:vertAlign w:val="superscript"/>
                <w:lang w:val="en-GB"/>
              </w:rPr>
              <w:t xml:space="preserve"> T</w:t>
            </w:r>
          </w:p>
        </w:tc>
        <w:tc>
          <w:tcPr>
            <w:tcW w:w="851" w:type="dxa"/>
            <w:shd w:val="clear" w:color="auto" w:fill="A8D08D" w:themeFill="accent6" w:themeFillTint="99"/>
            <w:vAlign w:val="center"/>
          </w:tcPr>
          <w:p w14:paraId="2AEDAAF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Nexus Fuels</w:t>
            </w:r>
          </w:p>
        </w:tc>
        <w:tc>
          <w:tcPr>
            <w:tcW w:w="438" w:type="dxa"/>
            <w:shd w:val="clear" w:color="auto" w:fill="FF0000"/>
            <w:noWrap/>
            <w:vAlign w:val="center"/>
            <w:hideMark/>
          </w:tcPr>
          <w:p w14:paraId="7AC4E67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22</w:t>
            </w:r>
          </w:p>
        </w:tc>
        <w:tc>
          <w:tcPr>
            <w:tcW w:w="438" w:type="dxa"/>
            <w:shd w:val="clear" w:color="auto" w:fill="70AD47" w:themeFill="accent6"/>
            <w:noWrap/>
            <w:vAlign w:val="center"/>
            <w:hideMark/>
          </w:tcPr>
          <w:p w14:paraId="6EC9BB5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4C25ED1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23</w:t>
            </w:r>
          </w:p>
        </w:tc>
        <w:tc>
          <w:tcPr>
            <w:tcW w:w="438" w:type="dxa"/>
            <w:shd w:val="clear" w:color="auto" w:fill="70AD47" w:themeFill="accent6"/>
            <w:noWrap/>
            <w:vAlign w:val="center"/>
            <w:hideMark/>
          </w:tcPr>
          <w:p w14:paraId="6604C95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60AD0DD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69F88E8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7F819FD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2ADD2B0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auto"/>
            <w:vAlign w:val="center"/>
          </w:tcPr>
          <w:p w14:paraId="01C7BEF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66F628B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9" w:type="dxa"/>
            <w:shd w:val="clear" w:color="auto" w:fill="FF0000"/>
            <w:vAlign w:val="center"/>
          </w:tcPr>
          <w:p w14:paraId="0C85525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24</w:t>
            </w:r>
          </w:p>
        </w:tc>
        <w:tc>
          <w:tcPr>
            <w:tcW w:w="1843" w:type="dxa"/>
            <w:shd w:val="clear" w:color="auto" w:fill="FFFFFF" w:themeFill="background1"/>
            <w:vAlign w:val="center"/>
            <w:hideMark/>
          </w:tcPr>
          <w:p w14:paraId="71B4E49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22</w:t>
            </w:r>
            <w:r w:rsidRPr="00C4287A">
              <w:rPr>
                <w:rFonts w:ascii="Times New Roman" w:hAnsi="Times New Roman" w:cs="Times New Roman"/>
                <w:color w:val="000000"/>
                <w:sz w:val="18"/>
                <w:szCs w:val="18"/>
                <w:lang w:val="en-GB"/>
              </w:rPr>
              <w:t xml:space="preserve">PET &lt; 2 % </w:t>
            </w:r>
          </w:p>
          <w:p w14:paraId="43B260E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23</w:t>
            </w:r>
            <w:r w:rsidRPr="00C4287A">
              <w:rPr>
                <w:rFonts w:ascii="Times New Roman" w:hAnsi="Times New Roman" w:cs="Times New Roman"/>
                <w:color w:val="000000"/>
                <w:sz w:val="18"/>
                <w:szCs w:val="18"/>
                <w:lang w:val="en-GB"/>
              </w:rPr>
              <w:t xml:space="preserve">PVC &lt; 1 % </w:t>
            </w:r>
          </w:p>
          <w:p w14:paraId="2D3C551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24</w:t>
            </w:r>
            <w:r w:rsidRPr="00C4287A">
              <w:rPr>
                <w:rFonts w:ascii="Times New Roman" w:hAnsi="Times New Roman" w:cs="Times New Roman"/>
                <w:color w:val="000000"/>
                <w:sz w:val="18"/>
                <w:szCs w:val="18"/>
                <w:lang w:val="en-GB"/>
              </w:rPr>
              <w:t>Separation of contaminants</w:t>
            </w:r>
          </w:p>
          <w:p w14:paraId="7E9803C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276" w:type="dxa"/>
            <w:vAlign w:val="center"/>
          </w:tcPr>
          <w:p w14:paraId="28D6CA2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78F8794B" w14:textId="77777777" w:rsidTr="00012FBD">
        <w:trPr>
          <w:trHeight w:val="510"/>
          <w:jc w:val="center"/>
        </w:trPr>
        <w:tc>
          <w:tcPr>
            <w:tcW w:w="562" w:type="dxa"/>
            <w:shd w:val="clear" w:color="auto" w:fill="A8D08D" w:themeFill="accent6" w:themeFillTint="99"/>
            <w:noWrap/>
            <w:vAlign w:val="center"/>
            <w:hideMark/>
          </w:tcPr>
          <w:p w14:paraId="708B98A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P19</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366CACD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JBI Inc.</w:t>
            </w:r>
          </w:p>
        </w:tc>
        <w:tc>
          <w:tcPr>
            <w:tcW w:w="438" w:type="dxa"/>
            <w:shd w:val="clear" w:color="auto" w:fill="FF0000"/>
            <w:noWrap/>
            <w:vAlign w:val="center"/>
            <w:hideMark/>
          </w:tcPr>
          <w:p w14:paraId="023084E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25</w:t>
            </w:r>
          </w:p>
        </w:tc>
        <w:tc>
          <w:tcPr>
            <w:tcW w:w="438" w:type="dxa"/>
            <w:shd w:val="clear" w:color="auto" w:fill="70AD47" w:themeFill="accent6"/>
            <w:noWrap/>
            <w:vAlign w:val="center"/>
            <w:hideMark/>
          </w:tcPr>
          <w:p w14:paraId="1A67A45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1518018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25</w:t>
            </w:r>
          </w:p>
        </w:tc>
        <w:tc>
          <w:tcPr>
            <w:tcW w:w="438" w:type="dxa"/>
            <w:shd w:val="clear" w:color="auto" w:fill="70AD47" w:themeFill="accent6"/>
            <w:noWrap/>
            <w:vAlign w:val="center"/>
            <w:hideMark/>
          </w:tcPr>
          <w:p w14:paraId="54FEC4A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4CCAE7C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1F2A7E1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3C34B03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vAlign w:val="center"/>
          </w:tcPr>
          <w:p w14:paraId="4C59291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000000" w:fill="FFFFFF"/>
            <w:vAlign w:val="center"/>
          </w:tcPr>
          <w:p w14:paraId="138A1B8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000000" w:fill="FFFFFF"/>
            <w:vAlign w:val="center"/>
          </w:tcPr>
          <w:p w14:paraId="344F623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000000" w:fill="FFFFFF"/>
            <w:vAlign w:val="center"/>
          </w:tcPr>
          <w:p w14:paraId="64778CB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vAlign w:val="center"/>
            <w:hideMark/>
          </w:tcPr>
          <w:p w14:paraId="595EB6F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Ground and softened plastic</w:t>
            </w:r>
          </w:p>
          <w:p w14:paraId="219E74E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25</w:t>
            </w:r>
            <w:r w:rsidRPr="00C4287A">
              <w:rPr>
                <w:rFonts w:ascii="Times New Roman" w:hAnsi="Times New Roman" w:cs="Times New Roman"/>
                <w:color w:val="000000"/>
                <w:sz w:val="18"/>
                <w:szCs w:val="18"/>
                <w:lang w:val="en-GB"/>
              </w:rPr>
              <w:t>Does not accept</w:t>
            </w:r>
            <w:r w:rsidRPr="00C4287A">
              <w:rPr>
                <w:rFonts w:ascii="Times New Roman" w:hAnsi="Times New Roman" w:cs="Times New Roman"/>
                <w:color w:val="000000"/>
                <w:sz w:val="18"/>
                <w:szCs w:val="18"/>
                <w:lang w:val="en-GB"/>
              </w:rPr>
              <w:br/>
              <w:t xml:space="preserve"> PET and PVC</w:t>
            </w:r>
          </w:p>
          <w:p w14:paraId="56F6B05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of inorganic material</w:t>
            </w:r>
          </w:p>
          <w:p w14:paraId="50D7897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10% moisture</w:t>
            </w:r>
          </w:p>
        </w:tc>
        <w:tc>
          <w:tcPr>
            <w:tcW w:w="1276" w:type="dxa"/>
            <w:shd w:val="clear" w:color="000000" w:fill="FFFFFF"/>
            <w:vAlign w:val="center"/>
          </w:tcPr>
          <w:p w14:paraId="77C26DB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(American Chemistry Council and RTI International 2012)</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w:t>
            </w:r>
            <w:r w:rsidRPr="00C4287A">
              <w:rPr>
                <w:rFonts w:ascii="Times New Roman" w:hAnsi="Times New Roman" w:cs="Times New Roman"/>
                <w:color w:val="000000"/>
                <w:sz w:val="18"/>
                <w:szCs w:val="18"/>
                <w:lang w:val="en-GB"/>
              </w:rPr>
              <w:br/>
            </w: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{"citationItems":[{"id":"ITEM-1","itemData":{"abstract":"The Plastic Packaging Evaluation and Assessment law (Chapter 70.380 RCW) directs the Department of Ecology (Ecology) to submit, by October 31, 2020, a report on the evaluation and assessment of plastic packaging in Washington. Ecology has hired Cascadia Consulting Group and a team of subcontractors to produce this report, which must include: 1. Findings regarding the amount and types of plastic packaging sold in the state, as well as the management and disposal of plastic packaging. 2. Recommendations to meet the goals of reducing plastic packaging, including through industry initiative or plastic packaging product stewardship, to: a. Achieve 100 percent recyclable, reusable, or compostable packaging in all goods sold in Washington by January 1, 2025. b. Achieve at least 20 percent postconsumer recycled content in packaging by January 1, 2025. c. Reduce plastic packaging when possible, optimizing use to meet the need. 3. Options to meet plastic packaging reduction goals that are capable of being established and implemented by January 1, 2022, for the purposes of legislative consideration. For proposed options, Ecology must identify expected costs and benefits of the proposal to state and local government agencies to administer and enforce the rule, and to private persons or businesses, by category of type of person or business affected. In order to make informed recommendations within the final report, this Task 3 sub-report: • Uses a geographical scan to detail policies, programs, and technologies which are available to manage plastic packaging in line with: a) the waste management hierarchy, and b) the circular economy. Commentary is provided on how each is leading to the reduction, reuse, and recycling of plastic packaging. A qualitative assessment of the applicability of the option to Washington is also provided (Task 3A). Sets out the comparative costs and savings to different stakeholders of packaging stewardship programs in other jurisdictions. This enables parallels to be drawn as to the potential impact to Washington stakeholders should a similar program, potentially just for plastics, be implemented in the state (Task 3B). • Identifies existing organizations and organization types that could play a role in the management of a plastics stewardship program in Washington (Task 3C). • Identifies existing databases of plastic packaging producers that were used in other programs (Task 3D)","author":[{"dropping-particle":"","family":"Edwards","given":"Sarah","non-dropping-particle":"","parse-names":false,"suffix":""},{"dropping-particle":"","family":"Kelleher","given":"Maria","non-dropping-particle":"","parse-names":false,"suffix":""},{"dropping-particle":"","family":"Valiante","given":"Usman","non-dropping-particle":"","parse-names":false,"suffix":""},{"dropping-particle":"","family":"Love","given":"Geoff","non-dropping-particle":"","parse-names":false,"suffix":""},{"dropping-particle":"","family":"Grushack","given":"Sydnee","non-dropping-particle":"","parse-names":false,"suffix":""}],"id":"ITEM-1","issued":{"date-parts":[["2020"]]},"title":"Successful Plastic Packaging Management Programs and Innovations","type":"article"},"uris":["http://www.mendeley.com/documents/?uuid=4dd3f271-fca2-4823-adbf-65c2e93aecec","http://www.mendeley.com/documents/?uuid=bfdfd287-4418-4ae2-a8f8-bcde23efaa1c"]}],"mendeley":{"formattedCitation":"(Edwards et al. 2020)","plainTextFormattedCitation":"(Edwards et al. 2020)","previouslyFormattedCitation":"(Edwards et al. 2020)"},"properties":{"noteIndex":0},"schema":"https://github.com/citation-style-language/schema/raw/master/csl-citation.json"}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(Edwards et al. 2020)</w:t>
            </w:r>
            <w:r w:rsidRPr="00C4287A">
              <w:rPr>
                <w:rFonts w:ascii="Times New Roman" w:hAnsi="Times New Roman" w:cs="Times New Roman"/>
                <w:color w:val="000000"/>
                <w:sz w:val="18"/>
                <w:szCs w:val="18"/>
                <w:lang w:val="en-GB"/>
              </w:rPr>
              <w:fldChar w:fldCharType="end"/>
            </w:r>
            <w:r w:rsidRPr="00C4287A">
              <w:rPr>
                <w:rFonts w:ascii="Times New Roman" w:hAnsi="Times New Roman" w:cs="Times New Roman"/>
                <w:color w:val="000000"/>
                <w:sz w:val="18"/>
                <w:szCs w:val="18"/>
                <w:lang w:val="en-GB"/>
              </w:rPr>
              <w:t>,</w:t>
            </w:r>
            <w:r w:rsidRPr="00C4287A">
              <w:rPr>
                <w:rFonts w:ascii="Times New Roman" w:hAnsi="Times New Roman" w:cs="Times New Roman"/>
                <w:color w:val="000000"/>
                <w:sz w:val="18"/>
                <w:szCs w:val="18"/>
                <w:lang w:val="en-GB"/>
              </w:rPr>
              <w:br/>
              <w:t>[12]</w:t>
            </w:r>
          </w:p>
        </w:tc>
      </w:tr>
      <w:tr w:rsidR="00491F49" w:rsidRPr="00C4287A" w14:paraId="7596251F" w14:textId="77777777" w:rsidTr="00012FBD">
        <w:trPr>
          <w:trHeight w:val="510"/>
          <w:jc w:val="center"/>
        </w:trPr>
        <w:tc>
          <w:tcPr>
            <w:tcW w:w="562" w:type="dxa"/>
            <w:shd w:val="clear" w:color="auto" w:fill="A8D08D" w:themeFill="accent6" w:themeFillTint="99"/>
            <w:noWrap/>
            <w:vAlign w:val="center"/>
            <w:hideMark/>
          </w:tcPr>
          <w:p w14:paraId="6F5234D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P20</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3FC2336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JBI Inc.</w:t>
            </w:r>
          </w:p>
        </w:tc>
        <w:tc>
          <w:tcPr>
            <w:tcW w:w="438" w:type="dxa"/>
            <w:shd w:val="clear" w:color="auto" w:fill="FFC000" w:themeFill="accent4"/>
            <w:noWrap/>
            <w:vAlign w:val="center"/>
            <w:hideMark/>
          </w:tcPr>
          <w:p w14:paraId="183A2C9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26</w:t>
            </w:r>
          </w:p>
        </w:tc>
        <w:tc>
          <w:tcPr>
            <w:tcW w:w="438" w:type="dxa"/>
            <w:shd w:val="clear" w:color="auto" w:fill="70AD47" w:themeFill="accent6"/>
            <w:noWrap/>
            <w:vAlign w:val="center"/>
            <w:hideMark/>
          </w:tcPr>
          <w:p w14:paraId="0ACE601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2A49697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27</w:t>
            </w:r>
          </w:p>
        </w:tc>
        <w:tc>
          <w:tcPr>
            <w:tcW w:w="438" w:type="dxa"/>
            <w:shd w:val="clear" w:color="auto" w:fill="70AD47" w:themeFill="accent6"/>
            <w:noWrap/>
            <w:vAlign w:val="center"/>
            <w:hideMark/>
          </w:tcPr>
          <w:p w14:paraId="5D60A20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F3584B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23306E7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000000" w:fill="FFFFFF"/>
            <w:noWrap/>
            <w:vAlign w:val="center"/>
            <w:hideMark/>
          </w:tcPr>
          <w:p w14:paraId="1409AD5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auto" w:fill="FF0000"/>
            <w:vAlign w:val="center"/>
          </w:tcPr>
          <w:p w14:paraId="524C60C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27</w:t>
            </w:r>
          </w:p>
        </w:tc>
        <w:tc>
          <w:tcPr>
            <w:tcW w:w="438" w:type="dxa"/>
            <w:shd w:val="clear" w:color="000000" w:fill="FFFFFF"/>
            <w:vAlign w:val="center"/>
          </w:tcPr>
          <w:p w14:paraId="5728F77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000000" w:fill="FFFFFF"/>
            <w:vAlign w:val="center"/>
          </w:tcPr>
          <w:p w14:paraId="59AAC69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000000" w:fill="FFFFFF"/>
            <w:vAlign w:val="center"/>
          </w:tcPr>
          <w:p w14:paraId="0792067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vAlign w:val="center"/>
            <w:hideMark/>
          </w:tcPr>
          <w:p w14:paraId="080FF5F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26</w:t>
            </w:r>
            <w:r w:rsidRPr="00C4287A">
              <w:rPr>
                <w:rFonts w:ascii="Times New Roman" w:hAnsi="Times New Roman" w:cs="Times New Roman"/>
                <w:color w:val="000000"/>
                <w:sz w:val="18"/>
                <w:szCs w:val="18"/>
                <w:lang w:val="en-GB"/>
              </w:rPr>
              <w:t>PET in small quantities</w:t>
            </w:r>
          </w:p>
          <w:p w14:paraId="675C485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27</w:t>
            </w:r>
            <w:r w:rsidRPr="00C4287A">
              <w:rPr>
                <w:rFonts w:ascii="Times New Roman" w:hAnsi="Times New Roman" w:cs="Times New Roman"/>
                <w:color w:val="000000"/>
                <w:sz w:val="18"/>
                <w:szCs w:val="18"/>
                <w:lang w:val="en-GB"/>
              </w:rPr>
              <w:t xml:space="preserve">Does not accept </w:t>
            </w:r>
            <w:r w:rsidRPr="00C4287A">
              <w:rPr>
                <w:rFonts w:ascii="Times New Roman" w:hAnsi="Times New Roman" w:cs="Times New Roman"/>
                <w:color w:val="000000"/>
                <w:sz w:val="18"/>
                <w:szCs w:val="18"/>
                <w:lang w:val="en-GB"/>
              </w:rPr>
              <w:br/>
              <w:t xml:space="preserve">PVC and nylon </w:t>
            </w:r>
          </w:p>
        </w:tc>
        <w:tc>
          <w:tcPr>
            <w:tcW w:w="1276" w:type="dxa"/>
            <w:shd w:val="clear" w:color="000000" w:fill="FFFFFF"/>
            <w:vAlign w:val="center"/>
          </w:tcPr>
          <w:p w14:paraId="5A51221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{"citationItems":[{"id":"ITEM-1","itemData":{"DOI":"10.1115/NAWTEC21-2727","ISBN":"9780791855447","abstract":"New York City (NYC) annually generates an estimated 750,000 short tons of municipal plastic waste (MPW), 84% of which is landfilled. This study examined the potential of using NYC's non-recycled plastics (NRP) as feedstock for three pyrolysis processes developed in North America: The P2O process of JBI Inc., the Agilyx process, and the Climax Global Energy process. All three processes decompose plastic waste by heating to a temperature range of 300-500°C by means of an external energy source. The P2O process requires the least amount of electricity per ton of MPW because it uses the gas product of pyrolysis to heat the continuous flow reactor. The P2O technology appears to be suitable for application in NYC and is discussed in detail in this paper. Copyright © 2013 by ASME.","author":[{"dropping-particle":"","family":"Tsiamis","given":"Demetra A.","non-dropping-particle":"","parse-names":false,"suffix":""},{"dropping-particle":"","family":"Themelis","given":"Nickolas J.","non-dropping-particle":"","parse-names":false,"suffix":""}],"container-title":"2013 21st Annual North American Waste-to-Energy Conference, NAWTEC 2013","id":"ITEM-1","issued":{"date-parts":[["2013"]]},"title":"Transforming the non-recycled plastics of New York city to synthetic oil","type":"article-journal"},"uris":["http://www.mendeley.com/documents/?uuid=e699f51e-a83b-4265-b98b-d208cc0a8da6"]}],"mendeley":{"formattedCitation":"(Tsiamis and Themelis 2013)","plainTextFormattedCitation":"(Tsiamis and Themelis 2013)","previouslyFormattedCitation":"(Tsiamis and Themelis 2013)"},"properties":{"noteIndex":0},"schema":"https://github.com/citation-style-language/schema/raw/master/csl-citation.json"}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(Tsiamis and Themelis 2013)</w:t>
            </w:r>
            <w:r w:rsidRPr="00C4287A">
              <w:rPr>
                <w:rFonts w:ascii="Times New Roman" w:hAnsi="Times New Roman" w:cs="Times New Roman"/>
                <w:color w:val="000000"/>
                <w:sz w:val="18"/>
                <w:szCs w:val="18"/>
                <w:lang w:val="en-GB"/>
              </w:rPr>
              <w:fldChar w:fldCharType="end"/>
            </w:r>
          </w:p>
        </w:tc>
      </w:tr>
      <w:tr w:rsidR="00491F49" w:rsidRPr="00C4287A" w14:paraId="3F54E56B" w14:textId="77777777" w:rsidTr="00012FBD">
        <w:trPr>
          <w:trHeight w:val="510"/>
          <w:jc w:val="center"/>
        </w:trPr>
        <w:tc>
          <w:tcPr>
            <w:tcW w:w="562" w:type="dxa"/>
            <w:shd w:val="clear" w:color="auto" w:fill="A8D08D" w:themeFill="accent6" w:themeFillTint="99"/>
            <w:noWrap/>
            <w:vAlign w:val="center"/>
            <w:hideMark/>
          </w:tcPr>
          <w:p w14:paraId="1C1B02C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P21</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5345A6E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Catalytic</w:t>
            </w:r>
          </w:p>
        </w:tc>
        <w:tc>
          <w:tcPr>
            <w:tcW w:w="438" w:type="dxa"/>
            <w:shd w:val="clear" w:color="auto" w:fill="70AD47" w:themeFill="accent6"/>
            <w:noWrap/>
            <w:vAlign w:val="center"/>
          </w:tcPr>
          <w:p w14:paraId="3221421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28</w:t>
            </w:r>
          </w:p>
        </w:tc>
        <w:tc>
          <w:tcPr>
            <w:tcW w:w="438" w:type="dxa"/>
            <w:shd w:val="clear" w:color="auto" w:fill="70AD47" w:themeFill="accent6"/>
            <w:noWrap/>
            <w:vAlign w:val="center"/>
          </w:tcPr>
          <w:p w14:paraId="40F03E9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28</w:t>
            </w:r>
          </w:p>
        </w:tc>
        <w:tc>
          <w:tcPr>
            <w:tcW w:w="438" w:type="dxa"/>
            <w:shd w:val="clear" w:color="auto" w:fill="70AD47" w:themeFill="accent6"/>
            <w:noWrap/>
            <w:vAlign w:val="center"/>
          </w:tcPr>
          <w:p w14:paraId="5B9E44C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28</w:t>
            </w:r>
          </w:p>
        </w:tc>
        <w:tc>
          <w:tcPr>
            <w:tcW w:w="438" w:type="dxa"/>
            <w:shd w:val="clear" w:color="auto" w:fill="70AD47" w:themeFill="accent6"/>
            <w:noWrap/>
            <w:vAlign w:val="center"/>
          </w:tcPr>
          <w:p w14:paraId="61C268C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28</w:t>
            </w:r>
          </w:p>
        </w:tc>
        <w:tc>
          <w:tcPr>
            <w:tcW w:w="438" w:type="dxa"/>
            <w:shd w:val="clear" w:color="auto" w:fill="70AD47" w:themeFill="accent6"/>
            <w:noWrap/>
            <w:vAlign w:val="center"/>
          </w:tcPr>
          <w:p w14:paraId="7A3A813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28</w:t>
            </w:r>
          </w:p>
        </w:tc>
        <w:tc>
          <w:tcPr>
            <w:tcW w:w="438" w:type="dxa"/>
            <w:shd w:val="clear" w:color="auto" w:fill="70AD47" w:themeFill="accent6"/>
            <w:noWrap/>
            <w:vAlign w:val="center"/>
          </w:tcPr>
          <w:p w14:paraId="317D176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28</w:t>
            </w:r>
          </w:p>
        </w:tc>
        <w:tc>
          <w:tcPr>
            <w:tcW w:w="438" w:type="dxa"/>
            <w:shd w:val="clear" w:color="auto" w:fill="70AD47" w:themeFill="accent6"/>
            <w:noWrap/>
            <w:vAlign w:val="center"/>
          </w:tcPr>
          <w:p w14:paraId="26F7388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28</w:t>
            </w:r>
          </w:p>
        </w:tc>
        <w:tc>
          <w:tcPr>
            <w:tcW w:w="438" w:type="dxa"/>
            <w:vAlign w:val="center"/>
          </w:tcPr>
          <w:p w14:paraId="753FC39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2A406FE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05127D6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vAlign w:val="center"/>
          </w:tcPr>
          <w:p w14:paraId="316111D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73F6148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Dried plastic</w:t>
            </w:r>
          </w:p>
          <w:p w14:paraId="427EA4C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28</w:t>
            </w:r>
            <w:r w:rsidRPr="00C4287A">
              <w:rPr>
                <w:rFonts w:ascii="Times New Roman" w:hAnsi="Times New Roman" w:cs="Times New Roman"/>
                <w:color w:val="000000"/>
                <w:sz w:val="18"/>
                <w:szCs w:val="18"/>
                <w:lang w:val="en-GB"/>
              </w:rPr>
              <w:t>Municipal plastic waste</w:t>
            </w:r>
          </w:p>
          <w:p w14:paraId="0F8484C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1276" w:type="dxa"/>
            <w:vAlign w:val="center"/>
          </w:tcPr>
          <w:p w14:paraId="69E6338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{"citationItems":[{"id":"ITEM-1","itemData":{"abstract":"The Zero Waste Plan published by the Scottish Government in 2010 sets targets of 70% of all waste to be recycled and 5% to be landfilled by 2025. In order to help deliver this plan, The Waste (Scotland) Regulations 2012 require that all dry recyclables are collected separately and that disposal of separately collected dry recyclables to landfill or incineration is banned from 1 January 2014. Plastic items that enter the waste stream are made in a wide range of formats and from a variety of polymer types. According to the market research of material recovery facilities (MRFs), and other waste-processing facilities, conducted as part of this project, there is currently around 18,000–27,000 tonnes per annum (tpa) of low-quality mixed waste plastic film in Scotland which cannot be recovered by current mechanical recycling techniques. The bulk of this material is plastic film from commercial and domestic packaging sources, and arises from municipal MRFs, with the remainder from composting and anaerobic digestion facilities. It is estimated that this volume will increase to up to 50,000tpa as the Zero Waste Plan is implemented. There is the potential to use chemical and thermal processing methods to recover these low-grade mixed waste plastics as useful materials. The purpose of this report is to review the current state of development of processes for conversion of mixed waste plastic to oil and to compare the technical, commercial and environmental potential of the leading process options for implementation in Scotland. The report also reviews the regulatory and fiscal issues relating to implementation of these technologies in Scotland and makes recommendations for changes which could encourage uptake of these technologies.","author":[{"dropping-particle":"","family":"Haig","given":"Sam","non-dropping-particle":"","parse-names":false,"suffix":""},{"dropping-particle":"","family":"Morrish","given":"Liz","non-dropping-particle":"","parse-names":false,"suffix":""},{"dropping-particle":"","family":"Morton","given":"Roger","non-dropping-particle":"","parse-names":false,"suffix":""},{"dropping-particle":"","family":"Onwuamaegbu","given":"Uchenna","non-dropping-particle":"","parse-names":false,"suffix":""},{"dropping-particle":"","family":"Speller","given":"Peter","non-dropping-particle":"","parse-names":false,"suffix":""},{"dropping-particle":"","family":"Wilkinson","given":"Simon","non-dropping-particle":"","parse-names":false,"suffix":""}],"container-title":"Xionconsulting","id":"ITEM-1","issued":{"date-parts":[["2013"]]},"number-of-pages":"155","title":"Plastics to oil products: Final report","type":"report"},"uris":["http://www.mendeley.com/documents/?uuid=cdf88e01-f950-48ac-b79f-101aec96b286","http://www.mendeley.com/documents/?uuid=1107e736-f1ef-4f03-b7e4-0186b9d77afd"]}],"mendeley":{"formattedCitation":"(Haig et al. 2013)","plainTextFormattedCitation":"(Haig et al. 2013)","previouslyFormattedCitation":"(Haig et al. 2013)"},"properties":{"noteIndex":0},"schema":"https://github.com/citation-style-language/schema/raw/master/csl-citation.json"}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(Haig et al. 2013)</w:t>
            </w:r>
            <w:r w:rsidRPr="00C4287A">
              <w:rPr>
                <w:rFonts w:ascii="Times New Roman" w:hAnsi="Times New Roman" w:cs="Times New Roman"/>
                <w:color w:val="000000"/>
                <w:sz w:val="18"/>
                <w:szCs w:val="18"/>
                <w:lang w:val="en-GB"/>
              </w:rPr>
              <w:fldChar w:fldCharType="end"/>
            </w:r>
          </w:p>
        </w:tc>
      </w:tr>
      <w:tr w:rsidR="00491F49" w:rsidRPr="00C4287A" w14:paraId="52A68A50" w14:textId="77777777" w:rsidTr="00012FBD">
        <w:trPr>
          <w:trHeight w:val="510"/>
          <w:jc w:val="center"/>
        </w:trPr>
        <w:tc>
          <w:tcPr>
            <w:tcW w:w="562" w:type="dxa"/>
            <w:shd w:val="clear" w:color="auto" w:fill="A8D08D" w:themeFill="accent6" w:themeFillTint="99"/>
            <w:noWrap/>
            <w:vAlign w:val="center"/>
            <w:hideMark/>
          </w:tcPr>
          <w:p w14:paraId="36F2060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P22</w:t>
            </w:r>
            <w:r w:rsidRPr="00C4287A">
              <w:rPr>
                <w:rFonts w:ascii="Times New Roman" w:hAnsi="Times New Roman" w:cs="Times New Roman"/>
                <w:color w:val="000000"/>
                <w:sz w:val="20"/>
                <w:szCs w:val="20"/>
                <w:vertAlign w:val="superscript"/>
                <w:lang w:val="en-GB"/>
              </w:rPr>
              <w:t xml:space="preserve"> T/C</w:t>
            </w:r>
          </w:p>
        </w:tc>
        <w:tc>
          <w:tcPr>
            <w:tcW w:w="851" w:type="dxa"/>
            <w:shd w:val="clear" w:color="auto" w:fill="A8D08D" w:themeFill="accent6" w:themeFillTint="99"/>
            <w:vAlign w:val="center"/>
          </w:tcPr>
          <w:p w14:paraId="7DDCF67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PK Clean</w:t>
            </w:r>
          </w:p>
        </w:tc>
        <w:tc>
          <w:tcPr>
            <w:tcW w:w="438" w:type="dxa"/>
            <w:shd w:val="clear" w:color="auto" w:fill="C5E0B3" w:themeFill="accent6" w:themeFillTint="66"/>
            <w:noWrap/>
            <w:vAlign w:val="center"/>
            <w:hideMark/>
          </w:tcPr>
          <w:p w14:paraId="20E7B2C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29</w:t>
            </w:r>
          </w:p>
        </w:tc>
        <w:tc>
          <w:tcPr>
            <w:tcW w:w="438" w:type="dxa"/>
            <w:shd w:val="clear" w:color="auto" w:fill="70AD47" w:themeFill="accent6"/>
            <w:noWrap/>
            <w:vAlign w:val="center"/>
            <w:hideMark/>
          </w:tcPr>
          <w:p w14:paraId="73C2793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C5E0B3" w:themeFill="accent6" w:themeFillTint="66"/>
            <w:noWrap/>
            <w:vAlign w:val="center"/>
            <w:hideMark/>
          </w:tcPr>
          <w:p w14:paraId="06B06B8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29</w:t>
            </w:r>
          </w:p>
        </w:tc>
        <w:tc>
          <w:tcPr>
            <w:tcW w:w="438" w:type="dxa"/>
            <w:shd w:val="clear" w:color="auto" w:fill="70AD47" w:themeFill="accent6"/>
            <w:noWrap/>
            <w:vAlign w:val="center"/>
            <w:hideMark/>
          </w:tcPr>
          <w:p w14:paraId="3918DC8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09D1D8E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527ADAE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4E2D9B1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vAlign w:val="center"/>
          </w:tcPr>
          <w:p w14:paraId="46A4089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000000" w:fill="FFFFFF"/>
            <w:vAlign w:val="center"/>
          </w:tcPr>
          <w:p w14:paraId="1DEA620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000000" w:fill="FFFFFF"/>
            <w:vAlign w:val="center"/>
          </w:tcPr>
          <w:p w14:paraId="43BF398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000000" w:fill="FFFFFF"/>
            <w:vAlign w:val="center"/>
          </w:tcPr>
          <w:p w14:paraId="1A0DBB9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noWrap/>
            <w:vAlign w:val="center"/>
            <w:hideMark/>
          </w:tcPr>
          <w:p w14:paraId="1BE3674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Ground and softened plastic</w:t>
            </w:r>
          </w:p>
          <w:p w14:paraId="7DFCEDB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29</w:t>
            </w:r>
            <w:r w:rsidRPr="00C4287A">
              <w:rPr>
                <w:rFonts w:ascii="Times New Roman" w:hAnsi="Times New Roman" w:cs="Times New Roman"/>
                <w:color w:val="000000"/>
                <w:sz w:val="18"/>
                <w:szCs w:val="18"/>
                <w:lang w:val="en-GB"/>
              </w:rPr>
              <w:t>PET + PVC &lt; 40 %</w:t>
            </w:r>
          </w:p>
        </w:tc>
        <w:tc>
          <w:tcPr>
            <w:tcW w:w="1276" w:type="dxa"/>
            <w:shd w:val="clear" w:color="000000" w:fill="FFFFFF"/>
            <w:vAlign w:val="center"/>
          </w:tcPr>
          <w:p w14:paraId="6B37B1A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2198D05B" w14:textId="77777777" w:rsidTr="00012FBD">
        <w:trPr>
          <w:trHeight w:val="510"/>
          <w:jc w:val="center"/>
        </w:trPr>
        <w:tc>
          <w:tcPr>
            <w:tcW w:w="562" w:type="dxa"/>
            <w:shd w:val="clear" w:color="auto" w:fill="A8D08D" w:themeFill="accent6" w:themeFillTint="99"/>
            <w:noWrap/>
            <w:vAlign w:val="center"/>
            <w:hideMark/>
          </w:tcPr>
          <w:p w14:paraId="5A14FFA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sz w:val="18"/>
                <w:szCs w:val="18"/>
                <w:lang w:val="en-GB"/>
              </w:rPr>
              <w:t xml:space="preserve">P23 </w:t>
            </w:r>
            <w:r w:rsidRPr="00C4287A">
              <w:rPr>
                <w:rFonts w:ascii="Times New Roman" w:hAnsi="Times New Roman" w:cs="Times New Roman"/>
                <w:color w:val="000000"/>
                <w:sz w:val="20"/>
                <w:szCs w:val="20"/>
                <w:vertAlign w:val="superscript"/>
                <w:lang w:val="en-GB"/>
              </w:rPr>
              <w:t>T</w:t>
            </w:r>
          </w:p>
        </w:tc>
        <w:tc>
          <w:tcPr>
            <w:tcW w:w="851" w:type="dxa"/>
            <w:shd w:val="clear" w:color="auto" w:fill="A8D08D" w:themeFill="accent6" w:themeFillTint="99"/>
            <w:vAlign w:val="center"/>
          </w:tcPr>
          <w:p w14:paraId="72A03BF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Vadxx</w:t>
            </w:r>
          </w:p>
        </w:tc>
        <w:tc>
          <w:tcPr>
            <w:tcW w:w="438" w:type="dxa"/>
            <w:shd w:val="clear" w:color="auto" w:fill="FF0000"/>
            <w:noWrap/>
            <w:vAlign w:val="center"/>
            <w:hideMark/>
          </w:tcPr>
          <w:p w14:paraId="0828BF6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30</w:t>
            </w:r>
          </w:p>
        </w:tc>
        <w:tc>
          <w:tcPr>
            <w:tcW w:w="438" w:type="dxa"/>
            <w:shd w:val="clear" w:color="auto" w:fill="70AD47" w:themeFill="accent6"/>
            <w:noWrap/>
            <w:vAlign w:val="center"/>
            <w:hideMark/>
          </w:tcPr>
          <w:p w14:paraId="1E43C27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28870B5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30</w:t>
            </w:r>
          </w:p>
        </w:tc>
        <w:tc>
          <w:tcPr>
            <w:tcW w:w="438" w:type="dxa"/>
            <w:shd w:val="clear" w:color="auto" w:fill="70AD47" w:themeFill="accent6"/>
            <w:noWrap/>
            <w:vAlign w:val="center"/>
            <w:hideMark/>
          </w:tcPr>
          <w:p w14:paraId="5FCBF65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2EB5E4E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131B83C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219C426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vAlign w:val="center"/>
          </w:tcPr>
          <w:p w14:paraId="02ACA86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30</w:t>
            </w:r>
          </w:p>
        </w:tc>
        <w:tc>
          <w:tcPr>
            <w:tcW w:w="438" w:type="dxa"/>
            <w:shd w:val="clear" w:color="auto" w:fill="70AD47" w:themeFill="accent6"/>
            <w:vAlign w:val="center"/>
          </w:tcPr>
          <w:p w14:paraId="34C59E0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vAlign w:val="center"/>
          </w:tcPr>
          <w:p w14:paraId="1C4D7E1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auto" w:fill="70AD47" w:themeFill="accent6"/>
            <w:vAlign w:val="center"/>
          </w:tcPr>
          <w:p w14:paraId="63EB24A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31</w:t>
            </w:r>
          </w:p>
        </w:tc>
        <w:tc>
          <w:tcPr>
            <w:tcW w:w="1843" w:type="dxa"/>
            <w:shd w:val="clear" w:color="auto" w:fill="FFFFFF" w:themeFill="background1"/>
            <w:vAlign w:val="center"/>
            <w:hideMark/>
          </w:tcPr>
          <w:p w14:paraId="4EE8FA0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Particle size &lt; 5 cm</w:t>
            </w:r>
          </w:p>
          <w:p w14:paraId="5ACC813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vertAlign w:val="superscript"/>
                <w:lang w:val="en-GB"/>
              </w:rPr>
              <w:t>30</w:t>
            </w:r>
            <w:r w:rsidRPr="00C4287A">
              <w:rPr>
                <w:rFonts w:ascii="Times New Roman" w:hAnsi="Times New Roman" w:cs="Times New Roman"/>
                <w:color w:val="000000"/>
                <w:sz w:val="18"/>
                <w:szCs w:val="18"/>
                <w:lang w:val="en-GB"/>
              </w:rPr>
              <w:t>Avoid PET, PVC, and Nylon</w:t>
            </w:r>
          </w:p>
          <w:p w14:paraId="7286B87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vertAlign w:val="superscript"/>
                <w:lang w:val="en-GB"/>
              </w:rPr>
              <w:t>3</w:t>
            </w:r>
            <w:r w:rsidRPr="00C4287A">
              <w:rPr>
                <w:rFonts w:ascii="Times New Roman" w:hAnsi="Times New Roman" w:cs="Times New Roman"/>
                <w:b/>
                <w:bCs/>
                <w:color w:val="000000"/>
                <w:sz w:val="18"/>
                <w:szCs w:val="18"/>
                <w:shd w:val="clear" w:color="auto" w:fill="FFFFFF" w:themeFill="background1"/>
                <w:vertAlign w:val="superscript"/>
                <w:lang w:val="en-GB"/>
              </w:rPr>
              <w:t>1</w:t>
            </w:r>
            <w:r w:rsidRPr="00C4287A">
              <w:rPr>
                <w:rFonts w:ascii="Times New Roman" w:hAnsi="Times New Roman" w:cs="Times New Roman"/>
                <w:sz w:val="18"/>
                <w:szCs w:val="18"/>
                <w:shd w:val="clear" w:color="auto" w:fill="FFFFFF" w:themeFill="background1"/>
                <w:lang w:val="en-GB"/>
              </w:rPr>
              <w:t>Allowed Metal/Wire contaminant, Tires, EPDM44 , TPO45, Butadiene Rubber, Styrene</w:t>
            </w:r>
          </w:p>
        </w:tc>
        <w:tc>
          <w:tcPr>
            <w:tcW w:w="1276" w:type="dxa"/>
            <w:shd w:val="clear" w:color="000000" w:fill="FFFFFF"/>
            <w:vAlign w:val="center"/>
          </w:tcPr>
          <w:p w14:paraId="355F3C4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418D7C30" w14:textId="77777777" w:rsidTr="00012FBD">
        <w:trPr>
          <w:trHeight w:val="510"/>
          <w:jc w:val="center"/>
        </w:trPr>
        <w:tc>
          <w:tcPr>
            <w:tcW w:w="562" w:type="dxa"/>
            <w:shd w:val="clear" w:color="auto" w:fill="A8D08D" w:themeFill="accent6" w:themeFillTint="99"/>
            <w:noWrap/>
            <w:vAlign w:val="center"/>
            <w:hideMark/>
          </w:tcPr>
          <w:p w14:paraId="7E7DF4F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P24</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412CAE7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Polyfuel, Pyrocrat Systems LPP</w:t>
            </w:r>
          </w:p>
        </w:tc>
        <w:tc>
          <w:tcPr>
            <w:tcW w:w="438" w:type="dxa"/>
            <w:shd w:val="clear" w:color="auto" w:fill="FFC000" w:themeFill="accent4"/>
            <w:noWrap/>
            <w:vAlign w:val="center"/>
            <w:hideMark/>
          </w:tcPr>
          <w:p w14:paraId="6A2E886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32</w:t>
            </w:r>
          </w:p>
        </w:tc>
        <w:tc>
          <w:tcPr>
            <w:tcW w:w="438" w:type="dxa"/>
            <w:shd w:val="clear" w:color="auto" w:fill="70AD47" w:themeFill="accent6"/>
            <w:noWrap/>
            <w:vAlign w:val="center"/>
            <w:hideMark/>
          </w:tcPr>
          <w:p w14:paraId="16341B4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68076BA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33</w:t>
            </w:r>
          </w:p>
        </w:tc>
        <w:tc>
          <w:tcPr>
            <w:tcW w:w="438" w:type="dxa"/>
            <w:shd w:val="clear" w:color="auto" w:fill="70AD47" w:themeFill="accent6"/>
            <w:noWrap/>
            <w:vAlign w:val="center"/>
            <w:hideMark/>
          </w:tcPr>
          <w:p w14:paraId="7FB9BEF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13E090C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291FFEC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4B7E379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vAlign w:val="center"/>
          </w:tcPr>
          <w:p w14:paraId="44277C2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000000" w:fill="FFFFFF"/>
            <w:vAlign w:val="center"/>
          </w:tcPr>
          <w:p w14:paraId="39D2343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70AD47" w:themeFill="accent6"/>
            <w:vAlign w:val="center"/>
          </w:tcPr>
          <w:p w14:paraId="5029F23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p>
        </w:tc>
        <w:tc>
          <w:tcPr>
            <w:tcW w:w="439" w:type="dxa"/>
            <w:shd w:val="clear" w:color="000000" w:fill="FFFFFF"/>
            <w:vAlign w:val="center"/>
          </w:tcPr>
          <w:p w14:paraId="743E898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vAlign w:val="center"/>
            <w:hideMark/>
          </w:tcPr>
          <w:p w14:paraId="1E2E5CC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32</w:t>
            </w:r>
            <w:r w:rsidRPr="00C4287A">
              <w:rPr>
                <w:rFonts w:ascii="Times New Roman" w:hAnsi="Times New Roman" w:cs="Times New Roman"/>
                <w:color w:val="000000"/>
                <w:sz w:val="18"/>
                <w:szCs w:val="18"/>
                <w:lang w:val="en-GB"/>
              </w:rPr>
              <w:t>PET &lt; 15 %</w:t>
            </w:r>
          </w:p>
          <w:p w14:paraId="73A91CD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33</w:t>
            </w:r>
            <w:r w:rsidRPr="00C4287A">
              <w:rPr>
                <w:rFonts w:ascii="Times New Roman" w:hAnsi="Times New Roman" w:cs="Times New Roman"/>
                <w:color w:val="000000"/>
                <w:sz w:val="18"/>
                <w:szCs w:val="18"/>
                <w:lang w:val="en-GB"/>
              </w:rPr>
              <w:t>PVC &lt; 1 %</w:t>
            </w:r>
          </w:p>
          <w:p w14:paraId="39C393C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1276" w:type="dxa"/>
            <w:shd w:val="clear" w:color="000000" w:fill="FFFFFF"/>
            <w:vAlign w:val="center"/>
          </w:tcPr>
          <w:p w14:paraId="1F09444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{"citationItems":[{"id":"ITEM-1","itemData":{"author":[{"dropping-particle":"","family":"Pyrocrat Systems","given":"","non-dropping-particle":"","parse-names":false,"suffix":""}],"id":"ITEM-1","issued":{"date-parts":[["2020"]]},"title":"Harnessing Technology to generate Quality Fuel from polymer waste","type":"webpage"},"uris":["http://www.mendeley.com/documents/?uuid=aeae8f11-a26a-4d2a-8ee9-6a0339cf1199","http://www.mendeley.com/documents/?uuid=f2c3b824-78f8-4620-bd8d-4b2910b39d91"]}],"mendeley":{"formattedCitation":"(Pyrocrat Systems 2020)","plainTextFormattedCitation":"(Pyrocrat Systems 2020)","previouslyFormattedCitation":"(Pyrocrat Systems)"},"properties":{"noteIndex":0},"schema":"https://github.com/citation-style-language/schema/raw/master/csl-citation.json"}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(Pyrocrat Systems 2020)</w:t>
            </w:r>
            <w:r w:rsidRPr="00C4287A">
              <w:rPr>
                <w:rFonts w:ascii="Times New Roman" w:hAnsi="Times New Roman" w:cs="Times New Roman"/>
                <w:color w:val="000000"/>
                <w:sz w:val="18"/>
                <w:szCs w:val="18"/>
                <w:lang w:val="en-GB"/>
              </w:rPr>
              <w:fldChar w:fldCharType="end"/>
            </w:r>
          </w:p>
        </w:tc>
      </w:tr>
      <w:tr w:rsidR="00491F49" w:rsidRPr="00C4287A" w14:paraId="4B19F4D1" w14:textId="77777777" w:rsidTr="00012FBD">
        <w:trPr>
          <w:trHeight w:val="510"/>
          <w:jc w:val="center"/>
        </w:trPr>
        <w:tc>
          <w:tcPr>
            <w:tcW w:w="562" w:type="dxa"/>
            <w:shd w:val="clear" w:color="auto" w:fill="A8D08D" w:themeFill="accent6" w:themeFillTint="99"/>
            <w:noWrap/>
            <w:vAlign w:val="center"/>
            <w:hideMark/>
          </w:tcPr>
          <w:p w14:paraId="6BE204D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P25</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58E0B04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PARC </w:t>
            </w:r>
          </w:p>
        </w:tc>
        <w:tc>
          <w:tcPr>
            <w:tcW w:w="438" w:type="dxa"/>
            <w:shd w:val="clear" w:color="auto" w:fill="FF0000"/>
            <w:noWrap/>
            <w:vAlign w:val="center"/>
            <w:hideMark/>
          </w:tcPr>
          <w:p w14:paraId="3ED77D8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34</w:t>
            </w:r>
          </w:p>
        </w:tc>
        <w:tc>
          <w:tcPr>
            <w:tcW w:w="438" w:type="dxa"/>
            <w:shd w:val="clear" w:color="auto" w:fill="70AD47" w:themeFill="accent6"/>
            <w:noWrap/>
            <w:vAlign w:val="center"/>
            <w:hideMark/>
          </w:tcPr>
          <w:p w14:paraId="6BF7161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hideMark/>
          </w:tcPr>
          <w:p w14:paraId="0117EBE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35</w:t>
            </w:r>
          </w:p>
        </w:tc>
        <w:tc>
          <w:tcPr>
            <w:tcW w:w="438" w:type="dxa"/>
            <w:shd w:val="clear" w:color="auto" w:fill="70AD47" w:themeFill="accent6"/>
            <w:noWrap/>
            <w:vAlign w:val="center"/>
            <w:hideMark/>
          </w:tcPr>
          <w:p w14:paraId="0DC15AD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4DC6380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hideMark/>
          </w:tcPr>
          <w:p w14:paraId="4861498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000000" w:fill="FFFFFF"/>
            <w:noWrap/>
            <w:vAlign w:val="center"/>
            <w:hideMark/>
          </w:tcPr>
          <w:p w14:paraId="574F0A3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shd w:val="clear" w:color="000000" w:fill="FFFFFF"/>
            <w:vAlign w:val="center"/>
          </w:tcPr>
          <w:p w14:paraId="0E4722E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70AD47" w:themeFill="accent6"/>
            <w:vAlign w:val="center"/>
          </w:tcPr>
          <w:p w14:paraId="5A13436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000000" w:fill="FFFFFF"/>
            <w:vAlign w:val="center"/>
          </w:tcPr>
          <w:p w14:paraId="300E6CF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9" w:type="dxa"/>
            <w:shd w:val="clear" w:color="auto" w:fill="70AD47" w:themeFill="accent6"/>
            <w:vAlign w:val="center"/>
          </w:tcPr>
          <w:p w14:paraId="3476F45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r w:rsidRPr="00C4287A">
              <w:rPr>
                <w:rFonts w:ascii="Times New Roman" w:hAnsi="Times New Roman" w:cs="Times New Roman"/>
                <w:color w:val="000000"/>
                <w:sz w:val="18"/>
                <w:szCs w:val="18"/>
                <w:vertAlign w:val="superscript"/>
                <w:lang w:val="en-GB"/>
              </w:rPr>
              <w:t>36</w:t>
            </w:r>
          </w:p>
        </w:tc>
        <w:tc>
          <w:tcPr>
            <w:tcW w:w="1843" w:type="dxa"/>
            <w:shd w:val="clear" w:color="auto" w:fill="FFFFFF" w:themeFill="background1"/>
            <w:vAlign w:val="center"/>
            <w:hideMark/>
          </w:tcPr>
          <w:p w14:paraId="528827F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34</w:t>
            </w:r>
            <w:r w:rsidRPr="00C4287A">
              <w:rPr>
                <w:rFonts w:ascii="Times New Roman" w:hAnsi="Times New Roman" w:cs="Times New Roman"/>
                <w:color w:val="000000"/>
                <w:sz w:val="18"/>
                <w:szCs w:val="18"/>
                <w:lang w:val="en-GB"/>
              </w:rPr>
              <w:t>Separation of PET</w:t>
            </w:r>
          </w:p>
          <w:p w14:paraId="4C72D6D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35</w:t>
            </w:r>
            <w:r w:rsidRPr="00C4287A">
              <w:rPr>
                <w:rFonts w:ascii="Times New Roman" w:hAnsi="Times New Roman" w:cs="Times New Roman"/>
                <w:color w:val="000000"/>
                <w:sz w:val="18"/>
                <w:szCs w:val="18"/>
                <w:lang w:val="en-GB"/>
              </w:rPr>
              <w:t xml:space="preserve">PVC &lt; 5 % </w:t>
            </w:r>
          </w:p>
          <w:p w14:paraId="6CA916A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36</w:t>
            </w:r>
            <w:r w:rsidRPr="00C4287A">
              <w:rPr>
                <w:rFonts w:ascii="Times New Roman" w:hAnsi="Times New Roman" w:cs="Times New Roman"/>
                <w:color w:val="000000"/>
                <w:sz w:val="18"/>
                <w:szCs w:val="18"/>
                <w:lang w:val="en-GB"/>
              </w:rPr>
              <w:t>Oil sludge</w:t>
            </w:r>
          </w:p>
        </w:tc>
        <w:tc>
          <w:tcPr>
            <w:tcW w:w="1276" w:type="dxa"/>
            <w:shd w:val="clear" w:color="000000" w:fill="FFFFFF"/>
            <w:vAlign w:val="center"/>
          </w:tcPr>
          <w:p w14:paraId="2DD7CE8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uthor":[{"dropping-particle":"","family":"Sun","given":"Kai","non-dropping-particle":"","parse-names":false,"suffix":""},{"dropping-particle":"","family":"Scholar","given":"Visiting","non-dropping-particle":"","parse-names":false,"suffix":""},{"dropping-particle":"","family":"Bourtsalas","given":"Prof A C Thanos","non-dropping-particle":"","parse-names":false,"suffix":""}],"container-title":"Department of Earth and Environmental Engineering Columbia University","id":"ITEM-1","issued":{"date-parts":[["2020"]]},"title":"Summary of Plastic-to-Oil Plants Recent Years","type":"article-journal"},"uris":["http://www.mendeley.com/documents/?uuid=651ad1f9-48bd-4b0f-b5d5-830e9ba58c4f","http://www.mendeley.com/documents/?uuid=c44e0ae1-f405-46c1-9c39-622a86c3bb50"]}],"mendeley":{"formattedCitation":"(Sun et al. 2020)","plainTextFormattedCitation":"(Sun et al. 2020)","previouslyFormattedCitation":"(Sun et al. 2020)"},"properties":{"noteIndex":0},"schema":"https://github.com/citation-style-language/schema/raw/master/csl-citation.json"}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(Sun et al. 2020)</w:t>
            </w:r>
            <w:r w:rsidRPr="00C4287A">
              <w:rPr>
                <w:rFonts w:ascii="Times New Roman" w:hAnsi="Times New Roman" w:cs="Times New Roman"/>
                <w:color w:val="000000"/>
                <w:sz w:val="18"/>
                <w:szCs w:val="18"/>
                <w:lang w:val="en-GB"/>
              </w:rPr>
              <w:fldChar w:fldCharType="end"/>
            </w:r>
          </w:p>
        </w:tc>
      </w:tr>
      <w:tr w:rsidR="00491F49" w:rsidRPr="00C4287A" w14:paraId="49818F70" w14:textId="77777777" w:rsidTr="00012FBD">
        <w:trPr>
          <w:trHeight w:val="440"/>
          <w:jc w:val="center"/>
        </w:trPr>
        <w:tc>
          <w:tcPr>
            <w:tcW w:w="562" w:type="dxa"/>
            <w:shd w:val="clear" w:color="auto" w:fill="A8D08D" w:themeFill="accent6" w:themeFillTint="99"/>
            <w:noWrap/>
            <w:vAlign w:val="center"/>
            <w:hideMark/>
          </w:tcPr>
          <w:p w14:paraId="3DD1DA7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P27</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36B7716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R-ONETM </w:t>
            </w:r>
          </w:p>
        </w:tc>
        <w:tc>
          <w:tcPr>
            <w:tcW w:w="438" w:type="dxa"/>
            <w:shd w:val="clear" w:color="auto" w:fill="FFC000" w:themeFill="accent4"/>
            <w:noWrap/>
            <w:vAlign w:val="center"/>
            <w:hideMark/>
          </w:tcPr>
          <w:p w14:paraId="3685882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37</w:t>
            </w:r>
          </w:p>
        </w:tc>
        <w:tc>
          <w:tcPr>
            <w:tcW w:w="438" w:type="dxa"/>
            <w:shd w:val="clear" w:color="auto" w:fill="70AD47" w:themeFill="accent6"/>
            <w:noWrap/>
            <w:vAlign w:val="center"/>
            <w:hideMark/>
          </w:tcPr>
          <w:p w14:paraId="3BC4376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38</w:t>
            </w:r>
          </w:p>
        </w:tc>
        <w:tc>
          <w:tcPr>
            <w:tcW w:w="438" w:type="dxa"/>
            <w:shd w:val="clear" w:color="auto" w:fill="FFC000" w:themeFill="accent4"/>
            <w:noWrap/>
            <w:vAlign w:val="center"/>
            <w:hideMark/>
          </w:tcPr>
          <w:p w14:paraId="718F177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37</w:t>
            </w:r>
          </w:p>
        </w:tc>
        <w:tc>
          <w:tcPr>
            <w:tcW w:w="438" w:type="dxa"/>
            <w:shd w:val="clear" w:color="auto" w:fill="70AD47" w:themeFill="accent6"/>
            <w:noWrap/>
            <w:vAlign w:val="center"/>
            <w:hideMark/>
          </w:tcPr>
          <w:p w14:paraId="19849D1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38</w:t>
            </w:r>
          </w:p>
        </w:tc>
        <w:tc>
          <w:tcPr>
            <w:tcW w:w="438" w:type="dxa"/>
            <w:shd w:val="clear" w:color="auto" w:fill="70AD47" w:themeFill="accent6"/>
            <w:noWrap/>
            <w:vAlign w:val="center"/>
            <w:hideMark/>
          </w:tcPr>
          <w:p w14:paraId="0F8AE88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38</w:t>
            </w:r>
          </w:p>
        </w:tc>
        <w:tc>
          <w:tcPr>
            <w:tcW w:w="438" w:type="dxa"/>
            <w:shd w:val="clear" w:color="auto" w:fill="70AD47" w:themeFill="accent6"/>
            <w:noWrap/>
            <w:vAlign w:val="center"/>
            <w:hideMark/>
          </w:tcPr>
          <w:p w14:paraId="5F082C5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38</w:t>
            </w:r>
          </w:p>
        </w:tc>
        <w:tc>
          <w:tcPr>
            <w:tcW w:w="438" w:type="dxa"/>
            <w:shd w:val="clear" w:color="auto" w:fill="FFC000" w:themeFill="accent4"/>
            <w:noWrap/>
            <w:vAlign w:val="center"/>
            <w:hideMark/>
          </w:tcPr>
          <w:p w14:paraId="579A95A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37</w:t>
            </w:r>
          </w:p>
        </w:tc>
        <w:tc>
          <w:tcPr>
            <w:tcW w:w="438" w:type="dxa"/>
            <w:vAlign w:val="center"/>
          </w:tcPr>
          <w:p w14:paraId="606CAF9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44981D7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FFC000" w:themeFill="accent4"/>
            <w:vAlign w:val="center"/>
          </w:tcPr>
          <w:p w14:paraId="1AAF95F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37</w:t>
            </w:r>
          </w:p>
        </w:tc>
        <w:tc>
          <w:tcPr>
            <w:tcW w:w="439" w:type="dxa"/>
            <w:vAlign w:val="center"/>
          </w:tcPr>
          <w:p w14:paraId="5D189A2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1843" w:type="dxa"/>
            <w:shd w:val="clear" w:color="auto" w:fill="FFFFFF" w:themeFill="background1"/>
            <w:vAlign w:val="center"/>
            <w:hideMark/>
          </w:tcPr>
          <w:p w14:paraId="13DF26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37</w:t>
            </w:r>
            <w:r w:rsidRPr="00C4287A">
              <w:rPr>
                <w:rFonts w:ascii="Times New Roman" w:hAnsi="Times New Roman" w:cs="Times New Roman"/>
                <w:color w:val="000000"/>
                <w:sz w:val="18"/>
                <w:szCs w:val="18"/>
                <w:lang w:val="en-GB"/>
              </w:rPr>
              <w:t>15 % (ABS+PET+PVC+other)</w:t>
            </w:r>
          </w:p>
          <w:p w14:paraId="72C1F20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lastRenderedPageBreak/>
              <w:t>38</w:t>
            </w:r>
            <w:r w:rsidRPr="00C4287A">
              <w:rPr>
                <w:rFonts w:ascii="Times New Roman" w:hAnsi="Times New Roman" w:cs="Times New Roman"/>
                <w:color w:val="000000"/>
                <w:sz w:val="18"/>
                <w:szCs w:val="18"/>
                <w:lang w:val="en-GB"/>
              </w:rPr>
              <w:t>85 % (PP+PE+PS)</w:t>
            </w:r>
          </w:p>
        </w:tc>
        <w:tc>
          <w:tcPr>
            <w:tcW w:w="1276" w:type="dxa"/>
            <w:vAlign w:val="center"/>
          </w:tcPr>
          <w:p w14:paraId="156E74B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lastRenderedPageBreak/>
              <w:t> </w:t>
            </w: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DOI":"10.18178/ijesd.2018.9.4.1080","ISSN":"2010-0264","author":[{"dropping-particle":"","family":"Yu","given":"Gordon","non-dropping-particle":"","parse-names":false,"suffix":""},{"dropping-particle":"","family":"Hung","given":"Chih-Young","non-dropping-particle":"","parse-names":false,"suffix":""},{"dropping-particle":"","family":"Hung","given":"Isaac","non-dropping-particle":"","parse-names":false,"suffix":""}],"container-title":"International Journal of Environmental Science and Development","id":"ITEM-1","issue":"4","issued":{"date-parts":[["2018"]]},"page":"95-99","title":"An Optimized Pyrolysis Technology with Highly Energy Efficient Conversion of Waste Plastics into Clean Fuel While Substantially Reducing Carbon Emission","type":"article-journal","volume":"9"},"uris":["http://www.mendeley.com/documents/?uuid=c4b17dd8-8042-45a7-a5f7-fdd1dbe5f87d"]}],"mendeley":{"formattedCitation":"(Yu et al. 2018)","plainTextFormattedCitation":"(Yu et al. 2018)","previouslyFormattedCitation":"(Yu et al. 2018)"},"properties":{"noteIndex":0},"schema":"https://github.com/citation-style-language/schema/raw/master/csl-citation.json"}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(Yu et al. 2018)</w:t>
            </w:r>
            <w:r w:rsidRPr="00C4287A">
              <w:rPr>
                <w:rFonts w:ascii="Times New Roman" w:hAnsi="Times New Roman" w:cs="Times New Roman"/>
                <w:color w:val="000000"/>
                <w:sz w:val="18"/>
                <w:szCs w:val="18"/>
                <w:lang w:val="en-GB"/>
              </w:rPr>
              <w:fldChar w:fldCharType="end"/>
            </w:r>
          </w:p>
        </w:tc>
      </w:tr>
      <w:tr w:rsidR="00491F49" w:rsidRPr="00C4287A" w14:paraId="4E600C4D" w14:textId="77777777" w:rsidTr="00012FBD">
        <w:trPr>
          <w:trHeight w:val="478"/>
          <w:jc w:val="center"/>
        </w:trPr>
        <w:tc>
          <w:tcPr>
            <w:tcW w:w="562" w:type="dxa"/>
            <w:shd w:val="clear" w:color="auto" w:fill="A8D08D" w:themeFill="accent6" w:themeFillTint="99"/>
            <w:noWrap/>
            <w:vAlign w:val="center"/>
          </w:tcPr>
          <w:p w14:paraId="0A68A38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P28</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6B56B58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MK Aromatics</w:t>
            </w:r>
          </w:p>
        </w:tc>
        <w:tc>
          <w:tcPr>
            <w:tcW w:w="438" w:type="dxa"/>
            <w:shd w:val="clear" w:color="auto" w:fill="FF0000"/>
            <w:noWrap/>
            <w:vAlign w:val="center"/>
          </w:tcPr>
          <w:p w14:paraId="787EF86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39</w:t>
            </w:r>
          </w:p>
        </w:tc>
        <w:tc>
          <w:tcPr>
            <w:tcW w:w="438" w:type="dxa"/>
            <w:shd w:val="clear" w:color="auto" w:fill="70AD47" w:themeFill="accent6"/>
            <w:noWrap/>
            <w:vAlign w:val="center"/>
          </w:tcPr>
          <w:p w14:paraId="3A0D352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tcPr>
          <w:p w14:paraId="27BD04F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39</w:t>
            </w:r>
          </w:p>
        </w:tc>
        <w:tc>
          <w:tcPr>
            <w:tcW w:w="438" w:type="dxa"/>
            <w:shd w:val="clear" w:color="auto" w:fill="70AD47" w:themeFill="accent6"/>
            <w:noWrap/>
            <w:vAlign w:val="center"/>
          </w:tcPr>
          <w:p w14:paraId="1975465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tcPr>
          <w:p w14:paraId="4319193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tcPr>
          <w:p w14:paraId="34E8BB4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noWrap/>
            <w:vAlign w:val="center"/>
          </w:tcPr>
          <w:p w14:paraId="5F6669E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76F91F6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4E36888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FFFFFF" w:themeFill="background1"/>
            <w:vAlign w:val="center"/>
          </w:tcPr>
          <w:p w14:paraId="1D1FD83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9" w:type="dxa"/>
            <w:shd w:val="clear" w:color="auto" w:fill="FF0000"/>
            <w:vAlign w:val="center"/>
          </w:tcPr>
          <w:p w14:paraId="69B5980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39</w:t>
            </w:r>
          </w:p>
        </w:tc>
        <w:tc>
          <w:tcPr>
            <w:tcW w:w="1843" w:type="dxa"/>
            <w:shd w:val="clear" w:color="auto" w:fill="FFFFFF" w:themeFill="background1"/>
            <w:vAlign w:val="center"/>
          </w:tcPr>
          <w:p w14:paraId="769648A3" w14:textId="77777777" w:rsidR="00491F49" w:rsidRPr="00C4287A" w:rsidRDefault="00491F49" w:rsidP="00012FBD">
            <w:pPr>
              <w:spacing w:after="0" w:line="240" w:lineRule="auto"/>
              <w:jc w:val="center"/>
              <w:rPr>
                <w:rFonts w:ascii="Times New Roman" w:hAnsi="Times New Roman" w:cs="Times New Roman"/>
                <w:color w:val="000000"/>
                <w:sz w:val="18"/>
                <w:szCs w:val="18"/>
                <w:vertAlign w:val="superscript"/>
                <w:lang w:val="en-GB"/>
              </w:rPr>
            </w:pPr>
            <w:r w:rsidRPr="00C4287A">
              <w:rPr>
                <w:rFonts w:ascii="Times New Roman" w:hAnsi="Times New Roman" w:cs="Times New Roman"/>
                <w:color w:val="000000"/>
                <w:sz w:val="18"/>
                <w:szCs w:val="18"/>
                <w:vertAlign w:val="superscript"/>
                <w:lang w:val="en-GB"/>
              </w:rPr>
              <w:t>39</w:t>
            </w:r>
            <w:r w:rsidRPr="00C4287A">
              <w:rPr>
                <w:rFonts w:ascii="Times New Roman" w:hAnsi="Times New Roman" w:cs="Times New Roman"/>
                <w:sz w:val="18"/>
                <w:szCs w:val="18"/>
                <w:lang w:val="en-GB"/>
              </w:rPr>
              <w:t>Separation of PET, PVC and contaminants</w:t>
            </w:r>
          </w:p>
        </w:tc>
        <w:tc>
          <w:tcPr>
            <w:tcW w:w="1276" w:type="dxa"/>
            <w:vAlign w:val="center"/>
          </w:tcPr>
          <w:p w14:paraId="7E6D9E5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1F1D4052" w14:textId="77777777" w:rsidTr="00012FBD">
        <w:trPr>
          <w:trHeight w:val="510"/>
          <w:jc w:val="center"/>
        </w:trPr>
        <w:tc>
          <w:tcPr>
            <w:tcW w:w="562" w:type="dxa"/>
            <w:shd w:val="clear" w:color="auto" w:fill="A8D08D" w:themeFill="accent6" w:themeFillTint="99"/>
            <w:noWrap/>
            <w:vAlign w:val="center"/>
          </w:tcPr>
          <w:p w14:paraId="55C4D5B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P29</w:t>
            </w:r>
            <w:r w:rsidRPr="00C4287A">
              <w:rPr>
                <w:rFonts w:ascii="Times New Roman" w:hAnsi="Times New Roman" w:cs="Times New Roman"/>
                <w:color w:val="000000"/>
                <w:sz w:val="20"/>
                <w:szCs w:val="20"/>
                <w:vertAlign w:val="superscript"/>
                <w:lang w:val="en-GB"/>
              </w:rPr>
              <w:t xml:space="preserve"> C</w:t>
            </w:r>
          </w:p>
        </w:tc>
        <w:tc>
          <w:tcPr>
            <w:tcW w:w="851" w:type="dxa"/>
            <w:shd w:val="clear" w:color="auto" w:fill="A8D08D" w:themeFill="accent6" w:themeFillTint="99"/>
            <w:vAlign w:val="center"/>
          </w:tcPr>
          <w:p w14:paraId="7B46BA7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Pyrocrat Systems LLP</w:t>
            </w:r>
          </w:p>
        </w:tc>
        <w:tc>
          <w:tcPr>
            <w:tcW w:w="438" w:type="dxa"/>
            <w:shd w:val="clear" w:color="auto" w:fill="FF0000"/>
            <w:noWrap/>
            <w:vAlign w:val="center"/>
          </w:tcPr>
          <w:p w14:paraId="636C7F4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40</w:t>
            </w:r>
          </w:p>
        </w:tc>
        <w:tc>
          <w:tcPr>
            <w:tcW w:w="438" w:type="dxa"/>
            <w:shd w:val="clear" w:color="auto" w:fill="70AD47" w:themeFill="accent6"/>
            <w:noWrap/>
            <w:vAlign w:val="center"/>
          </w:tcPr>
          <w:p w14:paraId="545AF5F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0000"/>
            <w:noWrap/>
            <w:vAlign w:val="center"/>
          </w:tcPr>
          <w:p w14:paraId="409A1F2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41</w:t>
            </w:r>
          </w:p>
        </w:tc>
        <w:tc>
          <w:tcPr>
            <w:tcW w:w="438" w:type="dxa"/>
            <w:shd w:val="clear" w:color="auto" w:fill="70AD47" w:themeFill="accent6"/>
            <w:noWrap/>
            <w:vAlign w:val="center"/>
          </w:tcPr>
          <w:p w14:paraId="73A9032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tcPr>
          <w:p w14:paraId="35EA40D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70AD47" w:themeFill="accent6"/>
            <w:noWrap/>
            <w:vAlign w:val="center"/>
          </w:tcPr>
          <w:p w14:paraId="76C72E8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shd w:val="clear" w:color="auto" w:fill="FFFFFF" w:themeFill="background1"/>
            <w:noWrap/>
            <w:vAlign w:val="center"/>
          </w:tcPr>
          <w:p w14:paraId="525105D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vAlign w:val="center"/>
          </w:tcPr>
          <w:p w14:paraId="095A4C2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vAlign w:val="center"/>
          </w:tcPr>
          <w:p w14:paraId="6827FA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shd w:val="clear" w:color="auto" w:fill="FFFFFF" w:themeFill="background1"/>
            <w:vAlign w:val="center"/>
          </w:tcPr>
          <w:p w14:paraId="60AF255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9" w:type="dxa"/>
            <w:shd w:val="clear" w:color="auto" w:fill="FF0000"/>
            <w:vAlign w:val="center"/>
          </w:tcPr>
          <w:p w14:paraId="3A3997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42</w:t>
            </w:r>
          </w:p>
        </w:tc>
        <w:tc>
          <w:tcPr>
            <w:tcW w:w="1843" w:type="dxa"/>
            <w:shd w:val="clear" w:color="auto" w:fill="FFFFFF" w:themeFill="background1"/>
            <w:vAlign w:val="center"/>
          </w:tcPr>
          <w:p w14:paraId="4E631E56" w14:textId="77777777" w:rsidR="00491F49" w:rsidRPr="00C4287A" w:rsidRDefault="00491F49" w:rsidP="00012FBD">
            <w:pPr>
              <w:spacing w:after="0" w:line="240" w:lineRule="auto"/>
              <w:jc w:val="center"/>
              <w:rPr>
                <w:rFonts w:ascii="Times New Roman" w:hAnsi="Times New Roman" w:cs="Times New Roman"/>
                <w:sz w:val="18"/>
                <w:szCs w:val="18"/>
                <w:lang w:val="en-GB"/>
              </w:rPr>
            </w:pPr>
            <w:r w:rsidRPr="00C4287A">
              <w:rPr>
                <w:rFonts w:ascii="Times New Roman" w:hAnsi="Times New Roman" w:cs="Times New Roman"/>
                <w:color w:val="000000"/>
                <w:sz w:val="18"/>
                <w:szCs w:val="18"/>
                <w:vertAlign w:val="superscript"/>
                <w:lang w:val="en-GB"/>
              </w:rPr>
              <w:t>40</w:t>
            </w:r>
            <w:r w:rsidRPr="00C4287A">
              <w:rPr>
                <w:rFonts w:ascii="Times New Roman" w:hAnsi="Times New Roman" w:cs="Times New Roman"/>
                <w:sz w:val="18"/>
                <w:szCs w:val="18"/>
                <w:lang w:val="en-GB"/>
              </w:rPr>
              <w:t>PET: &lt;5%</w:t>
            </w:r>
          </w:p>
          <w:p w14:paraId="4B8FB7B0" w14:textId="77777777" w:rsidR="00491F49" w:rsidRPr="00C4287A" w:rsidRDefault="00491F49" w:rsidP="00012FBD">
            <w:pPr>
              <w:spacing w:after="0" w:line="240" w:lineRule="auto"/>
              <w:jc w:val="center"/>
              <w:rPr>
                <w:rFonts w:ascii="Times New Roman" w:hAnsi="Times New Roman" w:cs="Times New Roman"/>
                <w:sz w:val="18"/>
                <w:szCs w:val="18"/>
                <w:lang w:val="en-GB"/>
              </w:rPr>
            </w:pPr>
            <w:r w:rsidRPr="00C4287A">
              <w:rPr>
                <w:rFonts w:ascii="Times New Roman" w:hAnsi="Times New Roman" w:cs="Times New Roman"/>
                <w:color w:val="000000"/>
                <w:sz w:val="18"/>
                <w:szCs w:val="18"/>
                <w:vertAlign w:val="superscript"/>
                <w:lang w:val="en-GB"/>
              </w:rPr>
              <w:t>41</w:t>
            </w:r>
            <w:r w:rsidRPr="00C4287A">
              <w:rPr>
                <w:rFonts w:ascii="Times New Roman" w:hAnsi="Times New Roman" w:cs="Times New Roman"/>
                <w:sz w:val="18"/>
                <w:szCs w:val="18"/>
                <w:lang w:val="en-GB"/>
              </w:rPr>
              <w:t>PVC: &lt;1%</w:t>
            </w:r>
          </w:p>
          <w:p w14:paraId="6386AABC" w14:textId="77777777" w:rsidR="00491F49" w:rsidRPr="00C4287A" w:rsidRDefault="00491F49" w:rsidP="00012FBD">
            <w:pPr>
              <w:spacing w:after="0" w:line="240" w:lineRule="auto"/>
              <w:jc w:val="center"/>
              <w:rPr>
                <w:rFonts w:ascii="Times New Roman" w:hAnsi="Times New Roman" w:cs="Times New Roman"/>
                <w:sz w:val="18"/>
                <w:szCs w:val="18"/>
                <w:lang w:val="en-GB"/>
              </w:rPr>
            </w:pPr>
            <w:r w:rsidRPr="00C4287A">
              <w:rPr>
                <w:rFonts w:ascii="Times New Roman" w:hAnsi="Times New Roman" w:cs="Times New Roman"/>
                <w:sz w:val="18"/>
                <w:szCs w:val="18"/>
                <w:lang w:val="en-GB"/>
              </w:rPr>
              <w:t>Dried and separated</w:t>
            </w:r>
          </w:p>
          <w:p w14:paraId="4050D94B" w14:textId="77777777" w:rsidR="00491F49" w:rsidRPr="00C4287A" w:rsidRDefault="00491F49" w:rsidP="00012FBD">
            <w:pPr>
              <w:spacing w:after="0" w:line="240" w:lineRule="auto"/>
              <w:jc w:val="center"/>
              <w:rPr>
                <w:rFonts w:ascii="Times New Roman" w:hAnsi="Times New Roman" w:cs="Times New Roman"/>
                <w:sz w:val="18"/>
                <w:szCs w:val="18"/>
                <w:lang w:val="en-GB"/>
              </w:rPr>
            </w:pPr>
            <w:r w:rsidRPr="00C4287A">
              <w:rPr>
                <w:rFonts w:ascii="Times New Roman" w:hAnsi="Times New Roman" w:cs="Times New Roman"/>
                <w:color w:val="000000"/>
                <w:sz w:val="18"/>
                <w:szCs w:val="18"/>
                <w:vertAlign w:val="superscript"/>
                <w:lang w:val="en-GB"/>
              </w:rPr>
              <w:t>42</w:t>
            </w:r>
            <w:r w:rsidRPr="00C4287A">
              <w:rPr>
                <w:rFonts w:ascii="Times New Roman" w:hAnsi="Times New Roman" w:cs="Times New Roman"/>
                <w:sz w:val="18"/>
                <w:szCs w:val="18"/>
                <w:lang w:val="en-GB"/>
              </w:rPr>
              <w:t>Contamination: &lt;5%</w:t>
            </w:r>
          </w:p>
        </w:tc>
        <w:tc>
          <w:tcPr>
            <w:tcW w:w="1276" w:type="dxa"/>
            <w:vAlign w:val="center"/>
          </w:tcPr>
          <w:p w14:paraId="78ACFAC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35A0EDD4" w14:textId="77777777" w:rsidTr="00012FBD">
        <w:trPr>
          <w:trHeight w:val="1041"/>
          <w:jc w:val="center"/>
        </w:trPr>
        <w:tc>
          <w:tcPr>
            <w:tcW w:w="562" w:type="dxa"/>
            <w:tcBorders>
              <w:bottom w:val="single" w:sz="4" w:space="0" w:color="auto"/>
            </w:tcBorders>
            <w:shd w:val="clear" w:color="auto" w:fill="A8D08D" w:themeFill="accent6" w:themeFillTint="99"/>
            <w:noWrap/>
            <w:vAlign w:val="center"/>
          </w:tcPr>
          <w:p w14:paraId="40393AD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P30</w:t>
            </w:r>
            <w:r w:rsidRPr="00C4287A">
              <w:rPr>
                <w:rFonts w:ascii="Times New Roman" w:hAnsi="Times New Roman" w:cs="Times New Roman"/>
                <w:color w:val="000000"/>
                <w:sz w:val="20"/>
                <w:szCs w:val="20"/>
                <w:vertAlign w:val="superscript"/>
                <w:lang w:val="en-GB"/>
              </w:rPr>
              <w:t xml:space="preserve"> C</w:t>
            </w:r>
          </w:p>
        </w:tc>
        <w:tc>
          <w:tcPr>
            <w:tcW w:w="851" w:type="dxa"/>
            <w:tcBorders>
              <w:bottom w:val="single" w:sz="4" w:space="0" w:color="auto"/>
            </w:tcBorders>
            <w:shd w:val="clear" w:color="auto" w:fill="A8D08D" w:themeFill="accent6" w:themeFillTint="99"/>
            <w:vAlign w:val="center"/>
          </w:tcPr>
          <w:p w14:paraId="6E942F8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Klean Industries</w:t>
            </w:r>
          </w:p>
        </w:tc>
        <w:tc>
          <w:tcPr>
            <w:tcW w:w="438" w:type="dxa"/>
            <w:tcBorders>
              <w:bottom w:val="single" w:sz="4" w:space="0" w:color="auto"/>
            </w:tcBorders>
            <w:shd w:val="clear" w:color="auto" w:fill="FF0000"/>
            <w:noWrap/>
            <w:vAlign w:val="center"/>
          </w:tcPr>
          <w:p w14:paraId="45EF9EC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43</w:t>
            </w:r>
          </w:p>
        </w:tc>
        <w:tc>
          <w:tcPr>
            <w:tcW w:w="438" w:type="dxa"/>
            <w:tcBorders>
              <w:bottom w:val="single" w:sz="4" w:space="0" w:color="auto"/>
            </w:tcBorders>
            <w:shd w:val="clear" w:color="auto" w:fill="70AD47" w:themeFill="accent6"/>
            <w:noWrap/>
            <w:vAlign w:val="center"/>
          </w:tcPr>
          <w:p w14:paraId="14AA878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tcBorders>
              <w:bottom w:val="single" w:sz="4" w:space="0" w:color="auto"/>
            </w:tcBorders>
            <w:shd w:val="clear" w:color="auto" w:fill="FF0000"/>
            <w:noWrap/>
            <w:vAlign w:val="center"/>
          </w:tcPr>
          <w:p w14:paraId="6D1DA34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43</w:t>
            </w:r>
          </w:p>
        </w:tc>
        <w:tc>
          <w:tcPr>
            <w:tcW w:w="438" w:type="dxa"/>
            <w:tcBorders>
              <w:bottom w:val="single" w:sz="4" w:space="0" w:color="auto"/>
            </w:tcBorders>
            <w:shd w:val="clear" w:color="auto" w:fill="70AD47" w:themeFill="accent6"/>
            <w:noWrap/>
            <w:vAlign w:val="center"/>
          </w:tcPr>
          <w:p w14:paraId="250DA9D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tcBorders>
              <w:bottom w:val="single" w:sz="4" w:space="0" w:color="auto"/>
            </w:tcBorders>
            <w:shd w:val="clear" w:color="auto" w:fill="70AD47" w:themeFill="accent6"/>
            <w:noWrap/>
            <w:vAlign w:val="center"/>
          </w:tcPr>
          <w:p w14:paraId="18398F3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tcBorders>
              <w:bottom w:val="single" w:sz="4" w:space="0" w:color="auto"/>
            </w:tcBorders>
            <w:shd w:val="clear" w:color="auto" w:fill="70AD47" w:themeFill="accent6"/>
            <w:noWrap/>
            <w:vAlign w:val="center"/>
          </w:tcPr>
          <w:p w14:paraId="733849A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438" w:type="dxa"/>
            <w:tcBorders>
              <w:bottom w:val="single" w:sz="4" w:space="0" w:color="auto"/>
            </w:tcBorders>
            <w:shd w:val="clear" w:color="auto" w:fill="FFFFFF" w:themeFill="background1"/>
            <w:noWrap/>
            <w:vAlign w:val="center"/>
          </w:tcPr>
          <w:p w14:paraId="516F9F7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438" w:type="dxa"/>
            <w:tcBorders>
              <w:bottom w:val="single" w:sz="4" w:space="0" w:color="auto"/>
            </w:tcBorders>
            <w:shd w:val="clear" w:color="auto" w:fill="FFC000" w:themeFill="accent4"/>
            <w:vAlign w:val="center"/>
          </w:tcPr>
          <w:p w14:paraId="4245201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44</w:t>
            </w:r>
          </w:p>
        </w:tc>
        <w:tc>
          <w:tcPr>
            <w:tcW w:w="438" w:type="dxa"/>
            <w:tcBorders>
              <w:bottom w:val="single" w:sz="4" w:space="0" w:color="auto"/>
            </w:tcBorders>
            <w:vAlign w:val="center"/>
          </w:tcPr>
          <w:p w14:paraId="70ED3BB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p>
        </w:tc>
        <w:tc>
          <w:tcPr>
            <w:tcW w:w="438" w:type="dxa"/>
            <w:tcBorders>
              <w:bottom w:val="single" w:sz="4" w:space="0" w:color="auto"/>
            </w:tcBorders>
            <w:shd w:val="clear" w:color="auto" w:fill="FFC000" w:themeFill="accent4"/>
            <w:vAlign w:val="center"/>
          </w:tcPr>
          <w:p w14:paraId="5817E29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44</w:t>
            </w:r>
          </w:p>
        </w:tc>
        <w:tc>
          <w:tcPr>
            <w:tcW w:w="439" w:type="dxa"/>
            <w:tcBorders>
              <w:bottom w:val="single" w:sz="4" w:space="0" w:color="auto"/>
            </w:tcBorders>
            <w:shd w:val="clear" w:color="auto" w:fill="FFC000" w:themeFill="accent4"/>
            <w:vAlign w:val="center"/>
          </w:tcPr>
          <w:p w14:paraId="275DC83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44</w:t>
            </w:r>
          </w:p>
        </w:tc>
        <w:tc>
          <w:tcPr>
            <w:tcW w:w="1843" w:type="dxa"/>
            <w:tcBorders>
              <w:bottom w:val="single" w:sz="4" w:space="0" w:color="auto"/>
            </w:tcBorders>
            <w:shd w:val="clear" w:color="auto" w:fill="FFFFFF" w:themeFill="background1"/>
            <w:vAlign w:val="center"/>
          </w:tcPr>
          <w:p w14:paraId="53D62F95" w14:textId="77777777" w:rsidR="00491F49" w:rsidRPr="00C4287A" w:rsidRDefault="00491F49" w:rsidP="00012FBD">
            <w:pPr>
              <w:spacing w:after="0" w:line="240" w:lineRule="auto"/>
              <w:jc w:val="center"/>
              <w:rPr>
                <w:rFonts w:ascii="Times New Roman" w:hAnsi="Times New Roman" w:cs="Times New Roman"/>
                <w:sz w:val="18"/>
                <w:szCs w:val="18"/>
                <w:lang w:val="en-GB"/>
              </w:rPr>
            </w:pPr>
            <w:r w:rsidRPr="00C4287A">
              <w:rPr>
                <w:rFonts w:ascii="Times New Roman" w:hAnsi="Times New Roman" w:cs="Times New Roman"/>
                <w:color w:val="000000"/>
                <w:sz w:val="18"/>
                <w:szCs w:val="18"/>
                <w:vertAlign w:val="superscript"/>
                <w:lang w:val="en-GB"/>
              </w:rPr>
              <w:t>43</w:t>
            </w:r>
            <w:r w:rsidRPr="00C4287A">
              <w:rPr>
                <w:rFonts w:ascii="Times New Roman" w:hAnsi="Times New Roman" w:cs="Times New Roman"/>
                <w:sz w:val="18"/>
                <w:szCs w:val="18"/>
                <w:lang w:val="en-GB"/>
              </w:rPr>
              <w:t>PVC, PET, K-coated products not accepted</w:t>
            </w:r>
          </w:p>
          <w:p w14:paraId="5AEC45E9" w14:textId="77777777" w:rsidR="00491F49" w:rsidRPr="00C4287A" w:rsidRDefault="00491F49" w:rsidP="00012FBD">
            <w:pPr>
              <w:spacing w:after="0" w:line="240" w:lineRule="auto"/>
              <w:jc w:val="center"/>
              <w:rPr>
                <w:rFonts w:ascii="Times New Roman" w:hAnsi="Times New Roman" w:cs="Times New Roman"/>
                <w:sz w:val="18"/>
                <w:szCs w:val="18"/>
                <w:lang w:val="en-GB"/>
              </w:rPr>
            </w:pPr>
            <w:r w:rsidRPr="00C4287A">
              <w:rPr>
                <w:rFonts w:ascii="Times New Roman" w:hAnsi="Times New Roman" w:cs="Times New Roman"/>
                <w:color w:val="000000"/>
                <w:sz w:val="18"/>
                <w:szCs w:val="18"/>
                <w:vertAlign w:val="superscript"/>
                <w:lang w:val="en-GB"/>
              </w:rPr>
              <w:t>44</w:t>
            </w:r>
            <w:r w:rsidRPr="00C4287A">
              <w:rPr>
                <w:rFonts w:ascii="Times New Roman" w:hAnsi="Times New Roman" w:cs="Times New Roman"/>
                <w:sz w:val="18"/>
                <w:szCs w:val="18"/>
                <w:lang w:val="en-GB"/>
              </w:rPr>
              <w:t>Semi Suitable: ABS, PA, PUR, EVA</w:t>
            </w:r>
          </w:p>
          <w:p w14:paraId="3542F33B" w14:textId="77777777" w:rsidR="00491F49" w:rsidRPr="00C4287A" w:rsidRDefault="00491F49" w:rsidP="00012FBD">
            <w:pPr>
              <w:spacing w:after="0" w:line="240" w:lineRule="auto"/>
              <w:jc w:val="center"/>
              <w:rPr>
                <w:rFonts w:ascii="Times New Roman" w:hAnsi="Times New Roman" w:cs="Times New Roman"/>
                <w:sz w:val="18"/>
                <w:szCs w:val="18"/>
                <w:lang w:val="en-GB"/>
              </w:rPr>
            </w:pPr>
            <w:r w:rsidRPr="00C4287A">
              <w:rPr>
                <w:rFonts w:ascii="Times New Roman" w:hAnsi="Times New Roman" w:cs="Times New Roman"/>
                <w:color w:val="000000"/>
                <w:sz w:val="18"/>
                <w:szCs w:val="18"/>
                <w:lang w:val="en-GB"/>
              </w:rPr>
              <w:t>Particle size &lt; 10 cm</w:t>
            </w:r>
          </w:p>
        </w:tc>
        <w:tc>
          <w:tcPr>
            <w:tcW w:w="1276" w:type="dxa"/>
            <w:tcBorders>
              <w:bottom w:val="single" w:sz="4" w:space="0" w:color="auto"/>
            </w:tcBorders>
            <w:vAlign w:val="center"/>
          </w:tcPr>
          <w:p w14:paraId="6479F46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fldChar w:fldCharType="begin" w:fldLock="1"/>
            </w:r>
            <w:r w:rsidRPr="00C4287A">
              <w:rPr>
                <w:rFonts w:ascii="Times New Roman" w:hAnsi="Times New Roman" w:cs="Times New Roman"/>
                <w:color w:val="000000"/>
                <w:sz w:val="18"/>
                <w:szCs w:val="18"/>
                <w:lang w:val="en-GB"/>
              </w:rPr>
              <w:instrText>ADDIN CSL_CITATION {"citationItems":[{"id":"ITEM-1","itemData":{"abstract":"About OCEAN RECOVERY ALLIANCE: OCEAN RECOVERY ALLIANCE (ORA) and the American Chemistry Council are working together to reduce plastic in the ocean environment. ORA is a 501c3 registered non-profit in California and a registered charitable organization in Hong Kong that seeks to introduce innovative projects and initiatives that will help improve our ocean environment by bringing together new ways of thinking, technologies, creativity and collaborations. ORA strives to lead a variety of stakeholders, leveraging each of their qualities and institutional capacities when needed, while combining forces with the business and technology sectors in ways that have not been done before. The group has two projects at the Clinton Global Initiative related to plastic waste reduction on a global scale, and is one of the first NGOs in the world to be working with both the United Nations Environment Programme (UNEP) and the World Bank on their respective ocean programs related to waste reduction. At ORA, we also believe that the marine litter issue will not be solved through bans, taxes and legislation alone. Instead, we believe that market-based solutions, and especially those which create conditions where plastic waste can be used as a resource, play a significant role in reducing marine litter, plastic pollution and waste management burdens on communities. In particular, plastics-to-fuel is one such technology with enormous potential for certain plastics that are not recycled because the technologies and/or infrastructure for proper recycling or value-added processing do not exist.","author":[{"dropping-particle":"","family":"The American Chemistry Council","given":"","non-dropping-particle":"","parse-names":false,"suffix":""}],"container-title":"Ocean Recovery Alliance","id":"ITEM-1","issue":"June","issued":{"date-parts":[["2015"]]},"page":"74","title":"2015 Plastics-To-Fuel Project Developers Guide","type":"article-journal"},"uris":["http://www.mendeley.com/documents/?uuid=dc764edc-cb2d-479f-b6d0-403338e7aeab"]}],"mendeley":{"formattedCitation":"(The American Chemistry Council 2015)","plainTextFormattedCitation":"(The American Chemistry Council 2015)","previouslyFormattedCitation":"(The American Chemistry Council 2015)"},"properties":{"noteIndex":0},"schema":"https://github.com/citation-style-language/schema/raw/master/csl-citation.json"}</w:instrText>
            </w:r>
            <w:r w:rsidRPr="00C4287A">
              <w:rPr>
                <w:rFonts w:ascii="Times New Roman" w:hAnsi="Times New Roman" w:cs="Times New Roman"/>
                <w:color w:val="000000"/>
                <w:sz w:val="18"/>
                <w:szCs w:val="18"/>
                <w:lang w:val="en-GB"/>
              </w:rPr>
              <w:fldChar w:fldCharType="separate"/>
            </w:r>
            <w:r w:rsidRPr="00C4287A">
              <w:rPr>
                <w:rFonts w:ascii="Times New Roman" w:hAnsi="Times New Roman" w:cs="Times New Roman"/>
                <w:color w:val="000000"/>
                <w:sz w:val="18"/>
                <w:szCs w:val="18"/>
                <w:lang w:val="en-GB"/>
              </w:rPr>
              <w:t>(The American Chemistry Council 2015)</w:t>
            </w:r>
            <w:r w:rsidRPr="00C4287A">
              <w:rPr>
                <w:rFonts w:ascii="Times New Roman" w:hAnsi="Times New Roman" w:cs="Times New Roman"/>
                <w:color w:val="000000"/>
                <w:sz w:val="18"/>
                <w:szCs w:val="18"/>
                <w:lang w:val="en-GB"/>
              </w:rPr>
              <w:fldChar w:fldCharType="end"/>
            </w:r>
          </w:p>
        </w:tc>
      </w:tr>
      <w:tr w:rsidR="00491F49" w:rsidRPr="00C4287A" w14:paraId="45689EAD" w14:textId="77777777" w:rsidTr="00012FBD">
        <w:trPr>
          <w:trHeight w:val="199"/>
          <w:jc w:val="center"/>
        </w:trPr>
        <w:tc>
          <w:tcPr>
            <w:tcW w:w="9351" w:type="dxa"/>
            <w:gridSpan w:val="15"/>
            <w:tcBorders>
              <w:top w:val="single" w:sz="4" w:space="0" w:color="auto"/>
              <w:left w:val="nil"/>
              <w:bottom w:val="nil"/>
              <w:right w:val="nil"/>
            </w:tcBorders>
            <w:shd w:val="clear" w:color="auto" w:fill="FFFFFF" w:themeFill="background1"/>
            <w:noWrap/>
            <w:vAlign w:val="center"/>
          </w:tcPr>
          <w:p w14:paraId="79D0A784" w14:textId="77777777" w:rsidR="00491F49" w:rsidRPr="00C4287A" w:rsidRDefault="00491F49" w:rsidP="00012FBD">
            <w:pPr>
              <w:spacing w:after="0" w:line="240" w:lineRule="auto"/>
              <w:rPr>
                <w:rFonts w:ascii="Times New Roman" w:hAnsi="Times New Roman" w:cs="Times New Roman"/>
                <w:color w:val="000000"/>
                <w:sz w:val="16"/>
                <w:szCs w:val="16"/>
                <w:lang w:val="en-GB"/>
              </w:rPr>
            </w:pPr>
            <w:r w:rsidRPr="00C4287A">
              <w:rPr>
                <w:rFonts w:ascii="Times New Roman" w:hAnsi="Times New Roman" w:cs="Times New Roman"/>
                <w:color w:val="000000"/>
                <w:sz w:val="16"/>
                <w:szCs w:val="16"/>
                <w:vertAlign w:val="superscript"/>
                <w:lang w:val="en-GB"/>
              </w:rPr>
              <w:t xml:space="preserve">  T</w:t>
            </w:r>
            <w:r w:rsidRPr="00C4287A">
              <w:rPr>
                <w:rFonts w:ascii="Times New Roman" w:hAnsi="Times New Roman" w:cs="Times New Roman"/>
                <w:color w:val="000000"/>
                <w:sz w:val="16"/>
                <w:szCs w:val="16"/>
                <w:lang w:val="en-GB"/>
              </w:rPr>
              <w:t xml:space="preserve"> thermal pyrolysis</w:t>
            </w:r>
          </w:p>
          <w:p w14:paraId="54B77A6C" w14:textId="77777777" w:rsidR="00491F49" w:rsidRPr="00C4287A" w:rsidRDefault="00491F49" w:rsidP="00012FBD">
            <w:pPr>
              <w:spacing w:after="0" w:line="240" w:lineRule="auto"/>
              <w:rPr>
                <w:rFonts w:ascii="Times New Roman" w:hAnsi="Times New Roman" w:cs="Times New Roman"/>
                <w:color w:val="000000"/>
                <w:sz w:val="16"/>
                <w:szCs w:val="16"/>
                <w:lang w:val="en-GB"/>
              </w:rPr>
            </w:pPr>
            <w:r w:rsidRPr="00C4287A">
              <w:rPr>
                <w:rFonts w:ascii="Times New Roman" w:hAnsi="Times New Roman" w:cs="Times New Roman"/>
                <w:color w:val="000000"/>
                <w:sz w:val="16"/>
                <w:szCs w:val="16"/>
                <w:lang w:val="en-GB"/>
              </w:rPr>
              <w:t xml:space="preserve"> </w:t>
            </w:r>
            <w:r w:rsidRPr="00C4287A">
              <w:rPr>
                <w:rFonts w:ascii="Times New Roman" w:hAnsi="Times New Roman" w:cs="Times New Roman"/>
                <w:color w:val="000000"/>
                <w:sz w:val="16"/>
                <w:szCs w:val="16"/>
                <w:vertAlign w:val="superscript"/>
                <w:lang w:val="en-GB"/>
              </w:rPr>
              <w:t>C</w:t>
            </w:r>
            <w:r w:rsidRPr="00C4287A">
              <w:rPr>
                <w:rFonts w:ascii="Times New Roman" w:hAnsi="Times New Roman" w:cs="Times New Roman"/>
                <w:color w:val="000000"/>
                <w:sz w:val="16"/>
                <w:szCs w:val="16"/>
                <w:lang w:val="en-GB"/>
              </w:rPr>
              <w:t xml:space="preserve"> catalytic pyrolysis</w:t>
            </w:r>
          </w:p>
          <w:p w14:paraId="1DE06AA9" w14:textId="77777777" w:rsidR="00491F49" w:rsidRPr="00C4287A" w:rsidRDefault="00491F49" w:rsidP="00012FBD">
            <w:pPr>
              <w:spacing w:after="0" w:line="240" w:lineRule="auto"/>
              <w:rPr>
                <w:rFonts w:ascii="Times New Roman" w:hAnsi="Times New Roman" w:cs="Times New Roman"/>
                <w:color w:val="000000"/>
                <w:sz w:val="18"/>
                <w:szCs w:val="18"/>
                <w:lang w:val="en-GB"/>
              </w:rPr>
            </w:pPr>
            <w:r w:rsidRPr="00C4287A">
              <w:rPr>
                <w:rFonts w:ascii="Times New Roman" w:hAnsi="Times New Roman" w:cs="Times New Roman"/>
                <w:color w:val="000000"/>
                <w:sz w:val="16"/>
                <w:szCs w:val="16"/>
                <w:lang w:val="en-GB"/>
              </w:rPr>
              <w:t xml:space="preserve"> </w:t>
            </w:r>
            <w:r w:rsidRPr="00C4287A">
              <w:rPr>
                <w:rFonts w:ascii="Times New Roman" w:hAnsi="Times New Roman" w:cs="Times New Roman"/>
                <w:color w:val="000000"/>
                <w:sz w:val="16"/>
                <w:szCs w:val="16"/>
                <w:vertAlign w:val="superscript"/>
                <w:lang w:val="en-GB"/>
              </w:rPr>
              <w:t>T/C</w:t>
            </w:r>
            <w:r w:rsidRPr="00C4287A">
              <w:rPr>
                <w:rFonts w:ascii="Times New Roman" w:hAnsi="Times New Roman" w:cs="Times New Roman"/>
                <w:color w:val="000000"/>
                <w:sz w:val="16"/>
                <w:szCs w:val="16"/>
                <w:lang w:val="en-GB"/>
              </w:rPr>
              <w:t xml:space="preserve"> use of catalysis is optional</w:t>
            </w:r>
          </w:p>
        </w:tc>
      </w:tr>
    </w:tbl>
    <w:p w14:paraId="599C1F0C" w14:textId="77777777" w:rsidR="00491F49" w:rsidRPr="00C4287A" w:rsidRDefault="00491F49" w:rsidP="00491F49">
      <w:pPr>
        <w:rPr>
          <w:rFonts w:ascii="Times New Roman" w:hAnsi="Times New Roman" w:cs="Times New Roman"/>
          <w:lang w:val="en-GB"/>
        </w:rPr>
      </w:pPr>
    </w:p>
    <w:p w14:paraId="062B9B0E" w14:textId="77777777" w:rsidR="00491F49" w:rsidRPr="00C4287A" w:rsidRDefault="00491F49" w:rsidP="00491F49">
      <w:pPr>
        <w:jc w:val="both"/>
        <w:rPr>
          <w:rFonts w:ascii="Times New Roman" w:hAnsi="Times New Roman" w:cs="Times New Roman"/>
          <w:sz w:val="24"/>
          <w:szCs w:val="24"/>
          <w:lang w:val="en-GB"/>
        </w:rPr>
      </w:pPr>
      <w:bookmarkStart w:id="2" w:name="_Ref94018020"/>
      <w:r w:rsidRPr="00C4287A">
        <w:rPr>
          <w:rFonts w:ascii="Times New Roman" w:hAnsi="Times New Roman" w:cs="Times New Roman"/>
          <w:sz w:val="24"/>
          <w:szCs w:val="24"/>
          <w:lang w:val="en-GB"/>
        </w:rPr>
        <w:t xml:space="preserve">Table </w:t>
      </w:r>
      <w:r w:rsidRPr="00C4287A">
        <w:rPr>
          <w:rFonts w:ascii="Times New Roman" w:hAnsi="Times New Roman" w:cs="Times New Roman"/>
          <w:sz w:val="24"/>
          <w:szCs w:val="24"/>
          <w:lang w:val="en-GB"/>
        </w:rPr>
        <w:fldChar w:fldCharType="begin"/>
      </w:r>
      <w:r w:rsidRPr="00C4287A">
        <w:rPr>
          <w:rFonts w:ascii="Times New Roman" w:hAnsi="Times New Roman" w:cs="Times New Roman"/>
          <w:sz w:val="24"/>
          <w:szCs w:val="24"/>
          <w:lang w:val="en-GB"/>
        </w:rPr>
        <w:instrText xml:space="preserve"> SEQ Table \* ARABIC </w:instrText>
      </w:r>
      <w:r w:rsidRPr="00C4287A">
        <w:rPr>
          <w:rFonts w:ascii="Times New Roman" w:hAnsi="Times New Roman" w:cs="Times New Roman"/>
          <w:sz w:val="24"/>
          <w:szCs w:val="24"/>
          <w:lang w:val="en-GB"/>
        </w:rPr>
        <w:fldChar w:fldCharType="separate"/>
      </w:r>
      <w:r w:rsidRPr="00C4287A">
        <w:rPr>
          <w:rFonts w:ascii="Times New Roman" w:hAnsi="Times New Roman" w:cs="Times New Roman"/>
          <w:sz w:val="24"/>
          <w:szCs w:val="24"/>
          <w:lang w:val="en-GB"/>
        </w:rPr>
        <w:t>3</w:t>
      </w:r>
      <w:r w:rsidRPr="00C4287A">
        <w:rPr>
          <w:rFonts w:ascii="Times New Roman" w:hAnsi="Times New Roman" w:cs="Times New Roman"/>
          <w:sz w:val="24"/>
          <w:szCs w:val="24"/>
          <w:lang w:val="en-GB"/>
        </w:rPr>
        <w:fldChar w:fldCharType="end"/>
      </w:r>
      <w:bookmarkEnd w:id="2"/>
      <w:r w:rsidRPr="00C4287A">
        <w:rPr>
          <w:rFonts w:ascii="Times New Roman" w:hAnsi="Times New Roman" w:cs="Times New Roman"/>
          <w:sz w:val="24"/>
          <w:szCs w:val="24"/>
          <w:lang w:val="en-GB"/>
        </w:rPr>
        <w:t>. Gasification technology review - feedstock composition</w:t>
      </w:r>
    </w:p>
    <w:tbl>
      <w:tblPr>
        <w:tblW w:w="5082" w:type="pct"/>
        <w:jc w:val="center"/>
        <w:tblLayout w:type="fixed"/>
        <w:tblCellMar>
          <w:left w:w="0" w:type="dxa"/>
          <w:right w:w="0" w:type="dxa"/>
        </w:tblCellMar>
        <w:tblLook w:val="04A0" w:firstRow="1" w:lastRow="0" w:firstColumn="1" w:lastColumn="0" w:noHBand="0" w:noVBand="1"/>
      </w:tblPr>
      <w:tblGrid>
        <w:gridCol w:w="562"/>
        <w:gridCol w:w="989"/>
        <w:gridCol w:w="426"/>
        <w:gridCol w:w="426"/>
        <w:gridCol w:w="426"/>
        <w:gridCol w:w="426"/>
        <w:gridCol w:w="426"/>
        <w:gridCol w:w="426"/>
        <w:gridCol w:w="426"/>
        <w:gridCol w:w="426"/>
        <w:gridCol w:w="2408"/>
        <w:gridCol w:w="994"/>
        <w:gridCol w:w="1142"/>
      </w:tblGrid>
      <w:tr w:rsidR="00491F49" w:rsidRPr="00C4287A" w14:paraId="05B73333" w14:textId="77777777" w:rsidTr="00012FBD">
        <w:trPr>
          <w:trHeight w:val="578"/>
          <w:jc w:val="center"/>
        </w:trPr>
        <w:tc>
          <w:tcPr>
            <w:tcW w:w="816" w:type="pct"/>
            <w:gridSpan w:val="2"/>
            <w:vMerge w:val="restart"/>
            <w:tcBorders>
              <w:top w:val="single" w:sz="4" w:space="0" w:color="auto"/>
              <w:left w:val="single" w:sz="4" w:space="0" w:color="auto"/>
              <w:bottom w:val="single" w:sz="4" w:space="0" w:color="000000"/>
              <w:right w:val="single" w:sz="4" w:space="0" w:color="000000"/>
            </w:tcBorders>
            <w:shd w:val="clear" w:color="auto" w:fill="A8D08D" w:themeFill="accent6" w:themeFillTint="99"/>
            <w:noWrap/>
            <w:vAlign w:val="center"/>
            <w:hideMark/>
          </w:tcPr>
          <w:p w14:paraId="51E811D2" w14:textId="77777777" w:rsidR="00491F49" w:rsidRPr="00C4287A" w:rsidRDefault="00491F49" w:rsidP="00012FBD">
            <w:pPr>
              <w:spacing w:after="0" w:line="240" w:lineRule="auto"/>
              <w:jc w:val="center"/>
              <w:rPr>
                <w:rFonts w:ascii="Times New Roman" w:eastAsia="Times New Roman" w:hAnsi="Times New Roman" w:cs="Times New Roman"/>
                <w:b/>
                <w:bCs/>
                <w:color w:val="000000"/>
                <w:lang w:val="en-GB"/>
              </w:rPr>
            </w:pPr>
            <w:r w:rsidRPr="00C4287A">
              <w:rPr>
                <w:rFonts w:ascii="Times New Roman" w:hAnsi="Times New Roman" w:cs="Times New Roman"/>
                <w:b/>
                <w:bCs/>
                <w:color w:val="000000"/>
                <w:sz w:val="18"/>
                <w:szCs w:val="18"/>
                <w:lang w:val="en-GB"/>
              </w:rPr>
              <w:t>Gasification plant number and supplier</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4F00914B"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HDPE</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63D2C954"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LDPE</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2882889D"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PP</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32BFB47F"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PS</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7F7C2E38"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PET </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5A06227D"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PVC </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textDirection w:val="btLr"/>
            <w:vAlign w:val="center"/>
            <w:hideMark/>
          </w:tcPr>
          <w:p w14:paraId="3865F0E6"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Other (7)</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39D77914" w14:textId="77777777" w:rsidR="00491F49" w:rsidRPr="00C4287A" w:rsidRDefault="00491F49" w:rsidP="00012FBD">
            <w:pPr>
              <w:spacing w:after="0" w:line="240" w:lineRule="auto"/>
              <w:ind w:left="113" w:right="113"/>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Other materials</w:t>
            </w:r>
          </w:p>
        </w:tc>
        <w:tc>
          <w:tcPr>
            <w:tcW w:w="1267"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A4CBFB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Additional requirements/ explanations</w:t>
            </w:r>
          </w:p>
        </w:tc>
        <w:tc>
          <w:tcPr>
            <w:tcW w:w="523" w:type="pct"/>
            <w:vMerge w:val="restart"/>
            <w:tcBorders>
              <w:top w:val="single" w:sz="4" w:space="0" w:color="auto"/>
              <w:left w:val="single" w:sz="4" w:space="0" w:color="auto"/>
              <w:right w:val="single" w:sz="4" w:space="0" w:color="auto"/>
            </w:tcBorders>
            <w:shd w:val="clear" w:color="auto" w:fill="A8D08D" w:themeFill="accent6" w:themeFillTint="99"/>
            <w:textDirection w:val="btLr"/>
            <w:vAlign w:val="center"/>
          </w:tcPr>
          <w:p w14:paraId="0D63CC5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Gasification medium</w:t>
            </w:r>
          </w:p>
        </w:tc>
        <w:tc>
          <w:tcPr>
            <w:tcW w:w="601" w:type="pct"/>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noWrap/>
            <w:textDirection w:val="btLr"/>
            <w:vAlign w:val="center"/>
            <w:hideMark/>
          </w:tcPr>
          <w:p w14:paraId="48A1E411" w14:textId="77777777" w:rsidR="00491F49" w:rsidRPr="00C4287A" w:rsidRDefault="00491F49" w:rsidP="00012FBD">
            <w:pPr>
              <w:spacing w:after="0" w:line="240" w:lineRule="auto"/>
              <w:ind w:left="113" w:right="113"/>
              <w:jc w:val="center"/>
              <w:rPr>
                <w:rFonts w:ascii="Times New Roman" w:eastAsia="Times New Roman" w:hAnsi="Times New Roman" w:cs="Times New Roman"/>
                <w:b/>
                <w:bCs/>
                <w:color w:val="000000"/>
                <w:lang w:val="en-GB"/>
              </w:rPr>
            </w:pPr>
            <w:r w:rsidRPr="00C4287A">
              <w:rPr>
                <w:rFonts w:ascii="Times New Roman" w:hAnsi="Times New Roman" w:cs="Times New Roman"/>
                <w:b/>
                <w:bCs/>
                <w:color w:val="000000"/>
                <w:sz w:val="18"/>
                <w:szCs w:val="18"/>
                <w:lang w:val="en-GB"/>
              </w:rPr>
              <w:t>Reference</w:t>
            </w:r>
          </w:p>
        </w:tc>
      </w:tr>
      <w:tr w:rsidR="00491F49" w:rsidRPr="00C4287A" w14:paraId="47865C93" w14:textId="77777777" w:rsidTr="00012FBD">
        <w:trPr>
          <w:trHeight w:val="491"/>
          <w:jc w:val="center"/>
        </w:trPr>
        <w:tc>
          <w:tcPr>
            <w:tcW w:w="817" w:type="pct"/>
            <w:gridSpan w:val="2"/>
            <w:vMerge/>
            <w:tcBorders>
              <w:top w:val="single" w:sz="4" w:space="0" w:color="auto"/>
              <w:left w:val="single" w:sz="4" w:space="0" w:color="auto"/>
              <w:bottom w:val="single" w:sz="4" w:space="0" w:color="000000"/>
              <w:right w:val="single" w:sz="4" w:space="0" w:color="000000"/>
            </w:tcBorders>
            <w:shd w:val="clear" w:color="auto" w:fill="A8D08D" w:themeFill="accent6" w:themeFillTint="99"/>
            <w:vAlign w:val="center"/>
            <w:hideMark/>
          </w:tcPr>
          <w:p w14:paraId="6033E8E4"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27A69F7"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D3FFB39"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A95B962"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CF5D238"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D8EA495"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44CB3E1"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D9DB115"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224"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59F2D26"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1267"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693DF54"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523" w:type="pct"/>
            <w:vMerge/>
            <w:tcBorders>
              <w:left w:val="single" w:sz="4" w:space="0" w:color="auto"/>
              <w:bottom w:val="single" w:sz="4" w:space="0" w:color="auto"/>
              <w:right w:val="single" w:sz="4" w:space="0" w:color="auto"/>
            </w:tcBorders>
            <w:shd w:val="clear" w:color="auto" w:fill="A8D08D" w:themeFill="accent6" w:themeFillTint="99"/>
            <w:vAlign w:val="center"/>
          </w:tcPr>
          <w:p w14:paraId="71EB48CB" w14:textId="77777777" w:rsidR="00491F49" w:rsidRPr="00C4287A" w:rsidRDefault="00491F49" w:rsidP="00012FBD">
            <w:pPr>
              <w:spacing w:after="0" w:line="240" w:lineRule="auto"/>
              <w:rPr>
                <w:rFonts w:ascii="Times New Roman" w:eastAsia="Times New Roman" w:hAnsi="Times New Roman" w:cs="Times New Roman"/>
                <w:b/>
                <w:bCs/>
                <w:color w:val="000000"/>
                <w:lang w:val="en-GB"/>
              </w:rPr>
            </w:pPr>
          </w:p>
        </w:tc>
        <w:tc>
          <w:tcPr>
            <w:tcW w:w="602" w:type="pct"/>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A54852F" w14:textId="77777777" w:rsidR="00491F49" w:rsidRPr="00C4287A" w:rsidRDefault="00491F49" w:rsidP="00012FBD">
            <w:pPr>
              <w:spacing w:after="0" w:line="240" w:lineRule="auto"/>
              <w:jc w:val="center"/>
              <w:rPr>
                <w:rFonts w:ascii="Times New Roman" w:eastAsia="Times New Roman" w:hAnsi="Times New Roman" w:cs="Times New Roman"/>
                <w:b/>
                <w:bCs/>
                <w:color w:val="000000"/>
                <w:lang w:val="en-GB"/>
              </w:rPr>
            </w:pPr>
          </w:p>
        </w:tc>
      </w:tr>
      <w:tr w:rsidR="00491F49" w:rsidRPr="00C4287A" w14:paraId="40319D76"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089A60F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G1 </w:t>
            </w:r>
            <w:r w:rsidRPr="00C4287A">
              <w:rPr>
                <w:rFonts w:ascii="Times New Roman" w:hAnsi="Times New Roman" w:cs="Times New Roman"/>
                <w:color w:val="000000"/>
                <w:sz w:val="18"/>
                <w:szCs w:val="18"/>
                <w:vertAlign w:val="superscript"/>
                <w:lang w:val="en-GB"/>
              </w:rPr>
              <w:t>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2586132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Enerkem</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39AC1C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309932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15E925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421BBC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D2E72E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9FBC49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AB0B9A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FFC000"/>
            <w:noWrap/>
            <w:vAlign w:val="center"/>
            <w:hideMark/>
          </w:tcPr>
          <w:p w14:paraId="58D01B3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w:t>
            </w:r>
          </w:p>
        </w:tc>
        <w:tc>
          <w:tcPr>
            <w:tcW w:w="1267" w:type="pct"/>
            <w:tcBorders>
              <w:top w:val="nil"/>
              <w:left w:val="nil"/>
              <w:bottom w:val="single" w:sz="4" w:space="0" w:color="auto"/>
              <w:right w:val="single" w:sz="4" w:space="0" w:color="auto"/>
            </w:tcBorders>
            <w:shd w:val="clear" w:color="auto" w:fill="auto"/>
            <w:noWrap/>
            <w:vAlign w:val="center"/>
            <w:hideMark/>
          </w:tcPr>
          <w:p w14:paraId="42B18A2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Sorted, dried, and ground input material</w:t>
            </w:r>
          </w:p>
          <w:p w14:paraId="300E3E0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w:t>
            </w:r>
            <w:r w:rsidRPr="00C4287A">
              <w:rPr>
                <w:rFonts w:ascii="Times New Roman" w:hAnsi="Times New Roman" w:cs="Times New Roman"/>
                <w:color w:val="000000"/>
                <w:sz w:val="18"/>
                <w:szCs w:val="18"/>
                <w:lang w:val="en-GB"/>
              </w:rPr>
              <w:t>&lt; 15% of inorganic material</w:t>
            </w:r>
          </w:p>
          <w:p w14:paraId="2D6E8B6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10% moisture</w:t>
            </w:r>
          </w:p>
        </w:tc>
        <w:tc>
          <w:tcPr>
            <w:tcW w:w="523" w:type="pct"/>
            <w:tcBorders>
              <w:top w:val="single" w:sz="4" w:space="0" w:color="auto"/>
              <w:left w:val="nil"/>
              <w:bottom w:val="single" w:sz="4" w:space="0" w:color="auto"/>
              <w:right w:val="single" w:sz="4" w:space="0" w:color="auto"/>
            </w:tcBorders>
            <w:vAlign w:val="center"/>
          </w:tcPr>
          <w:p w14:paraId="04E6C7B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Air/oxygen</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93E8E"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(American Chemistry Council and RTI International 2012)</w:t>
            </w:r>
            <w:r w:rsidRPr="00C4287A">
              <w:rPr>
                <w:rFonts w:ascii="Times New Roman" w:eastAsia="Times New Roman" w:hAnsi="Times New Roman" w:cs="Times New Roman"/>
                <w:color w:val="000000"/>
                <w:sz w:val="18"/>
                <w:szCs w:val="18"/>
                <w:lang w:val="en-GB"/>
              </w:rPr>
              <w:fldChar w:fldCharType="end"/>
            </w:r>
          </w:p>
        </w:tc>
      </w:tr>
      <w:tr w:rsidR="00491F49" w:rsidRPr="00C4287A" w14:paraId="7326DF2B"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4A72837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G2</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262A770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Ze-gen</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623FDC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DCAF59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E3D3E5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E8E1D6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D0B957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0710EC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C4FE1D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F99071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w:t>
            </w:r>
          </w:p>
        </w:tc>
        <w:tc>
          <w:tcPr>
            <w:tcW w:w="1267" w:type="pct"/>
            <w:tcBorders>
              <w:top w:val="nil"/>
              <w:left w:val="nil"/>
              <w:bottom w:val="single" w:sz="4" w:space="0" w:color="auto"/>
              <w:right w:val="single" w:sz="4" w:space="0" w:color="auto"/>
            </w:tcBorders>
            <w:shd w:val="clear" w:color="auto" w:fill="auto"/>
            <w:noWrap/>
            <w:vAlign w:val="center"/>
            <w:hideMark/>
          </w:tcPr>
          <w:p w14:paraId="3CB210E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Sorted, dried, and ground input material</w:t>
            </w:r>
          </w:p>
          <w:p w14:paraId="163EC74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w:t>
            </w:r>
            <w:r w:rsidRPr="00C4287A">
              <w:rPr>
                <w:rFonts w:ascii="Times New Roman" w:hAnsi="Times New Roman" w:cs="Times New Roman"/>
                <w:color w:val="000000"/>
                <w:sz w:val="18"/>
                <w:szCs w:val="18"/>
                <w:lang w:val="en-GB"/>
              </w:rPr>
              <w:t>Input material from municipal, construction, and industrial waste</w:t>
            </w:r>
          </w:p>
          <w:p w14:paraId="016EECF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2</w:t>
            </w:r>
            <w:r w:rsidRPr="00C4287A">
              <w:rPr>
                <w:rFonts w:ascii="Times New Roman" w:hAnsi="Times New Roman" w:cs="Times New Roman"/>
                <w:color w:val="000000"/>
                <w:sz w:val="18"/>
                <w:szCs w:val="18"/>
                <w:lang w:val="en-GB"/>
              </w:rPr>
              <w:t>&lt; 5% of inorganic material</w:t>
            </w:r>
          </w:p>
          <w:p w14:paraId="1784BBB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20% moisture</w:t>
            </w:r>
          </w:p>
        </w:tc>
        <w:tc>
          <w:tcPr>
            <w:tcW w:w="523" w:type="pct"/>
            <w:tcBorders>
              <w:top w:val="single" w:sz="4" w:space="0" w:color="auto"/>
              <w:left w:val="nil"/>
              <w:bottom w:val="single" w:sz="4" w:space="0" w:color="auto"/>
              <w:right w:val="single" w:sz="4" w:space="0" w:color="auto"/>
            </w:tcBorders>
            <w:vAlign w:val="center"/>
          </w:tcPr>
          <w:p w14:paraId="5A21E6A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A2FC1"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(American Chemistry Council and RTI International 2012)</w:t>
            </w:r>
            <w:r w:rsidRPr="00C4287A">
              <w:rPr>
                <w:rFonts w:ascii="Times New Roman" w:eastAsia="Times New Roman" w:hAnsi="Times New Roman" w:cs="Times New Roman"/>
                <w:color w:val="000000"/>
                <w:sz w:val="18"/>
                <w:szCs w:val="18"/>
                <w:lang w:val="en-GB"/>
              </w:rPr>
              <w:fldChar w:fldCharType="end"/>
            </w:r>
          </w:p>
        </w:tc>
      </w:tr>
      <w:tr w:rsidR="00491F49" w:rsidRPr="00C4287A" w14:paraId="6AED1A16"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354C6F9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G3</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50615D7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Plasco</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24AF91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141D76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5F2005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0039C4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58E98F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A8E574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1B61C4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267842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3</w:t>
            </w:r>
          </w:p>
        </w:tc>
        <w:tc>
          <w:tcPr>
            <w:tcW w:w="1267" w:type="pct"/>
            <w:tcBorders>
              <w:top w:val="nil"/>
              <w:left w:val="nil"/>
              <w:bottom w:val="single" w:sz="4" w:space="0" w:color="auto"/>
              <w:right w:val="single" w:sz="4" w:space="0" w:color="auto"/>
            </w:tcBorders>
            <w:shd w:val="clear" w:color="auto" w:fill="auto"/>
            <w:noWrap/>
            <w:vAlign w:val="center"/>
            <w:hideMark/>
          </w:tcPr>
          <w:p w14:paraId="58463E2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Unrecycled plastic waste </w:t>
            </w:r>
          </w:p>
          <w:p w14:paraId="19CC85B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3</w:t>
            </w:r>
            <w:r w:rsidRPr="00C4287A">
              <w:rPr>
                <w:rFonts w:ascii="Times New Roman" w:hAnsi="Times New Roman" w:cs="Times New Roman"/>
                <w:color w:val="000000"/>
                <w:sz w:val="18"/>
                <w:szCs w:val="18"/>
                <w:lang w:val="en-GB"/>
              </w:rPr>
              <w:t>Accepts wood waste</w:t>
            </w:r>
          </w:p>
        </w:tc>
        <w:tc>
          <w:tcPr>
            <w:tcW w:w="523" w:type="pct"/>
            <w:tcBorders>
              <w:top w:val="single" w:sz="4" w:space="0" w:color="auto"/>
              <w:left w:val="nil"/>
              <w:bottom w:val="single" w:sz="4" w:space="0" w:color="auto"/>
              <w:right w:val="single" w:sz="4" w:space="0" w:color="auto"/>
            </w:tcBorders>
            <w:vAlign w:val="center"/>
          </w:tcPr>
          <w:p w14:paraId="56338D6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3CDC2"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(American Chemistry Council and RTI International 2012)</w:t>
            </w:r>
            <w:r w:rsidRPr="00C4287A">
              <w:rPr>
                <w:rFonts w:ascii="Times New Roman" w:eastAsia="Times New Roman" w:hAnsi="Times New Roman" w:cs="Times New Roman"/>
                <w:color w:val="000000"/>
                <w:sz w:val="18"/>
                <w:szCs w:val="18"/>
                <w:lang w:val="en-GB"/>
              </w:rPr>
              <w:fldChar w:fldCharType="end"/>
            </w:r>
            <w:r w:rsidRPr="00C4287A">
              <w:rPr>
                <w:rFonts w:ascii="Times New Roman" w:eastAsia="Times New Roman" w:hAnsi="Times New Roman" w:cs="Times New Roman"/>
                <w:color w:val="000000"/>
                <w:sz w:val="18"/>
                <w:szCs w:val="18"/>
                <w:lang w:val="en-GB"/>
              </w:rPr>
              <w:t>,</w:t>
            </w:r>
          </w:p>
          <w:p w14:paraId="7CB94731"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{"citationItems":[{"id":"ITEM-1","itemData":{"abstract":"Technical and economic analysis of thermal plasma–assisted Waste-to-Energy 2 EXECUTIVE SUMMARY Increasing interest is focusing on plasma-assisted gasification applied to the treatment of municipal solid waste (MSW), especially as it may be a new way to increase Waste-to-Energy (WTE) worldwide. The aim of this thesis was to investigate different such processes under development and their technical and economic viability. In a simplistic view, a plasma torch is a way to generate heat, via the passage of an electric current through a gas flow. Plasma technology has been used for a long time for surface coating and for destruction of hazardous wastes but its application to MSW has not been explored fully because of the high cost of using electricity as a source of energy. Plasma used entirely for the processing of MSW, i.e. in the absence of partial combustion, was not considered in this study, as it will not be economically feasible for MSW. Hence, we examined what may be called \" plasma-assisted gasification \" in a WTE process that combines the use of plasma with partial oxidation of the hydrocarbons in MSW. The idea is to produce a syngas (synthetic gas) from the gasification of the waste. The plasma heat is used to either provide the heat for gasification, to \"polish\" the syngas, and/or to vitrify the ash product of the gasification process. The syngas product is combusted in a gas engine or turbine generator onsite to produce electricity. Although there are some alternatives uses of syngas, e.g. ethanol production, they were not considered in our study. Some of the thermal energy in the gas stream can be also recovered in a steam boiler and the steam used to produce additional electricity.","author":[{"dropping-particle":"","family":"Caroline Ducharme","given":"","non-dropping-particle":"","parse-names":false,"suffix":""},{"dropping-particle":"","family":"Themelis","given":"Nickolas J","non-dropping-particle":"","parse-names":false,"suffix":""},{"dropping-particle":"","family":"Castaldi","given":"Marco J","non-dropping-particle":"","parse-names":false,"suffix":""}],"id":"ITEM-1","issue":"September","issued":{"date-parts":[["2010"]]},"number-of-pages":"1-75","title":"Technical and economic analysis of Plasma-assisted Waste-to-Energy processes","type":"thesis"},"uris":["http://www.mendeley.com/documents/?uuid=2083c397-b3a8-4450-8bbf-c80c380a19b6"]}],"mendeley":{"formattedCitation":"(Caroline Ducharme et al. 2010)","plainTextFormattedCitation":"(Caroline Ducharme et al. 2010)","previouslyFormattedCitation":"(Caroline Ducharme et al. 2010)"},"properties":{"noteIndex":0},"schema":"https://github.com/citation-style-language/schema/raw/master/csl-citation.json"}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(Caroline Ducharme et al. 2010)</w:t>
            </w:r>
            <w:r w:rsidRPr="00C4287A">
              <w:rPr>
                <w:rFonts w:ascii="Times New Roman" w:eastAsia="Times New Roman" w:hAnsi="Times New Roman" w:cs="Times New Roman"/>
                <w:color w:val="000000"/>
                <w:sz w:val="18"/>
                <w:szCs w:val="18"/>
                <w:lang w:val="en-GB"/>
              </w:rPr>
              <w:fldChar w:fldCharType="end"/>
            </w:r>
          </w:p>
        </w:tc>
      </w:tr>
      <w:tr w:rsidR="00491F49" w:rsidRPr="00C4287A" w14:paraId="5063D7E5"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50E9E6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G4</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3CE08CB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D844A5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725967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80B4F4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4ECC85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ACE3C8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FFC000" w:themeFill="accent4"/>
            <w:noWrap/>
            <w:vAlign w:val="center"/>
            <w:hideMark/>
          </w:tcPr>
          <w:p w14:paraId="34F58E4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 +/-</w:t>
            </w:r>
            <w:r w:rsidRPr="00C4287A">
              <w:rPr>
                <w:rFonts w:ascii="Times New Roman" w:hAnsi="Times New Roman" w:cs="Times New Roman"/>
                <w:b/>
                <w:bCs/>
                <w:color w:val="000000"/>
                <w:sz w:val="18"/>
                <w:szCs w:val="18"/>
                <w:vertAlign w:val="superscript"/>
                <w:lang w:val="en-GB"/>
              </w:rPr>
              <w:t>4</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B5FA48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F371F5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1267" w:type="pct"/>
            <w:tcBorders>
              <w:top w:val="nil"/>
              <w:left w:val="nil"/>
              <w:bottom w:val="single" w:sz="4" w:space="0" w:color="auto"/>
              <w:right w:val="single" w:sz="4" w:space="0" w:color="auto"/>
            </w:tcBorders>
            <w:shd w:val="clear" w:color="auto" w:fill="auto"/>
            <w:noWrap/>
            <w:vAlign w:val="center"/>
            <w:hideMark/>
          </w:tcPr>
          <w:p w14:paraId="70B9253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Input material from municipal waste </w:t>
            </w:r>
            <w:r w:rsidRPr="00C4287A">
              <w:rPr>
                <w:rFonts w:ascii="Times New Roman" w:hAnsi="Times New Roman" w:cs="Times New Roman"/>
                <w:color w:val="000000"/>
                <w:sz w:val="18"/>
                <w:szCs w:val="18"/>
                <w:lang w:val="en-GB"/>
              </w:rPr>
              <w:br/>
              <w:t xml:space="preserve">Dried input material </w:t>
            </w:r>
            <w:r w:rsidRPr="00C4287A">
              <w:rPr>
                <w:rFonts w:ascii="Times New Roman" w:hAnsi="Times New Roman" w:cs="Times New Roman"/>
                <w:color w:val="000000"/>
                <w:sz w:val="18"/>
                <w:szCs w:val="18"/>
                <w:lang w:val="en-GB"/>
              </w:rPr>
              <w:br/>
            </w:r>
            <w:r w:rsidRPr="00C4287A">
              <w:rPr>
                <w:rFonts w:ascii="Times New Roman" w:hAnsi="Times New Roman" w:cs="Times New Roman"/>
                <w:color w:val="000000"/>
                <w:sz w:val="18"/>
                <w:szCs w:val="18"/>
                <w:vertAlign w:val="superscript"/>
                <w:lang w:val="en-GB"/>
              </w:rPr>
              <w:t>4</w:t>
            </w:r>
            <w:r w:rsidRPr="00C4287A">
              <w:rPr>
                <w:rFonts w:ascii="Times New Roman" w:hAnsi="Times New Roman" w:cs="Times New Roman"/>
                <w:color w:val="000000"/>
                <w:sz w:val="18"/>
                <w:szCs w:val="18"/>
                <w:lang w:val="en-GB"/>
              </w:rPr>
              <w:t>PVC &lt; 10%</w:t>
            </w:r>
          </w:p>
          <w:p w14:paraId="09D5911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523" w:type="pct"/>
            <w:tcBorders>
              <w:top w:val="single" w:sz="4" w:space="0" w:color="auto"/>
              <w:left w:val="nil"/>
              <w:bottom w:val="single" w:sz="4" w:space="0" w:color="auto"/>
              <w:right w:val="single" w:sz="4" w:space="0" w:color="auto"/>
            </w:tcBorders>
            <w:vAlign w:val="center"/>
          </w:tcPr>
          <w:p w14:paraId="612AE3C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Oxygen</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639A"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{"citationItems":[{"id":"ITEM-1","itemData":{"abstract":"The Zero Waste Plan published by the Scottish Government in 2010 sets targets of 70% of all waste to be recycled and 5% to be landfilled by 2025. In order to help deliver this plan, The Waste (Scotland) Regulations 2012 require that all dry recyclables are collected separately and that disposal of separately collected dry recyclables to landfill or incineration is banned from 1 January 2014. Plastic items that enter the waste stream are made in a wide range of formats and from a variety of polymer types. According to the market research of material recovery facilities (MRFs), and other waste-processing facilities, conducted as part of this project, there is currently around 18,000–27,000 tonnes per annum (tpa) of low-quality mixed waste plastic film in Scotland which cannot be recovered by current mechanical recycling techniques. The bulk of this material is plastic film from commercial and domestic packaging sources, and arises from municipal MRFs, with the remainder from composting and anaerobic digestion facilities. It is estimated that this volume will increase to up to 50,000tpa as the Zero Waste Plan is implemented. There is the potential to use chemical and thermal processing methods to recover these low-grade mixed waste plastics as useful materials. The purpose of this report is to review the current state of development of processes for conversion of mixed waste plastic to oil and to compare the technical, commercial and environmental potential of the leading process options for implementation in Scotland. The report also reviews the regulatory and fiscal issues relating to implementation of these technologies in Scotland and makes recommendations for changes which could encourage uptake of these technologies.","author":[{"dropping-particle":"","family":"Haig","given":"Sam","non-dropping-particle":"","parse-names":false,"suffix":""},{"dropping-particle":"","family":"Morrish","given":"Liz","non-dropping-particle":"","parse-names":false,"suffix":""},{"dropping-particle":"","family":"Morton","given":"Roger","non-dropping-particle":"","parse-names":false,"suffix":""},{"dropping-particle":"","family":"Onwuamaegbu","given":"Uchenna","non-dropping-particle":"","parse-names":false,"suffix":""},{"dropping-particle":"","family":"Speller","given":"Peter","non-dropping-particle":"","parse-names":false,"suffix":""},{"dropping-particle":"","family":"Wilkinson","given":"Simon","non-dropping-particle":"","parse-names":false,"suffix":""}],"container-title":"Xionconsulting","id":"ITEM-1","issued":{"date-parts":[["2013"]]},"number-of-pages":"155","title":"Plastics to oil products: Final report","type":"report"},"uris":["http://www.mendeley.com/documents/?uuid=1107e736-f1ef-4f03-b7e4-0186b9d77afd"]}],"mendeley":{"formattedCitation":"(Haig et al. 2013)","plainTextFormattedCitation":"(Haig et al. 2013)","previouslyFormattedCitation":"(Haig et al. 2013)"},"properties":{"noteIndex":0},"schema":"https://github.com/citation-style-language/schema/raw/master/csl-citation.json"}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(Haig et al. 2013)</w:t>
            </w:r>
            <w:r w:rsidRPr="00C4287A">
              <w:rPr>
                <w:rFonts w:ascii="Times New Roman" w:eastAsia="Times New Roman" w:hAnsi="Times New Roman" w:cs="Times New Roman"/>
                <w:color w:val="000000"/>
                <w:sz w:val="18"/>
                <w:szCs w:val="18"/>
                <w:lang w:val="en-GB"/>
              </w:rPr>
              <w:fldChar w:fldCharType="end"/>
            </w:r>
          </w:p>
        </w:tc>
      </w:tr>
      <w:tr w:rsidR="00491F49" w:rsidRPr="00C4287A" w14:paraId="55D32EEA"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15E5AF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G5</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3BD36E7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942D8A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47E425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AC36B2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5F3955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CB3CA1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FFC000" w:themeFill="accent4"/>
            <w:noWrap/>
            <w:vAlign w:val="center"/>
            <w:hideMark/>
          </w:tcPr>
          <w:p w14:paraId="485DD99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 +/-</w:t>
            </w:r>
            <w:r w:rsidRPr="00C4287A">
              <w:rPr>
                <w:rFonts w:ascii="Times New Roman" w:hAnsi="Times New Roman" w:cs="Times New Roman"/>
                <w:b/>
                <w:bCs/>
                <w:color w:val="000000"/>
                <w:sz w:val="18"/>
                <w:szCs w:val="18"/>
                <w:vertAlign w:val="superscript"/>
                <w:lang w:val="en-GB"/>
              </w:rPr>
              <w:t>5</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372012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7A1FF1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1267" w:type="pct"/>
            <w:tcBorders>
              <w:top w:val="nil"/>
              <w:left w:val="nil"/>
              <w:bottom w:val="single" w:sz="4" w:space="0" w:color="auto"/>
              <w:right w:val="single" w:sz="4" w:space="0" w:color="auto"/>
            </w:tcBorders>
            <w:shd w:val="clear" w:color="auto" w:fill="auto"/>
            <w:noWrap/>
            <w:vAlign w:val="center"/>
            <w:hideMark/>
          </w:tcPr>
          <w:p w14:paraId="7CC406B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Dried input material </w:t>
            </w:r>
          </w:p>
          <w:p w14:paraId="0742BA3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5</w:t>
            </w:r>
            <w:r w:rsidRPr="00C4287A">
              <w:rPr>
                <w:rFonts w:ascii="Times New Roman" w:hAnsi="Times New Roman" w:cs="Times New Roman"/>
                <w:color w:val="000000"/>
                <w:sz w:val="18"/>
                <w:szCs w:val="18"/>
                <w:lang w:val="en-GB"/>
              </w:rPr>
              <w:t>PVC &lt; 10%</w:t>
            </w:r>
          </w:p>
          <w:p w14:paraId="25EF26C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523" w:type="pct"/>
            <w:tcBorders>
              <w:top w:val="single" w:sz="4" w:space="0" w:color="auto"/>
              <w:left w:val="nil"/>
              <w:bottom w:val="single" w:sz="4" w:space="0" w:color="auto"/>
              <w:right w:val="single" w:sz="4" w:space="0" w:color="auto"/>
            </w:tcBorders>
            <w:vAlign w:val="center"/>
          </w:tcPr>
          <w:p w14:paraId="62B0573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Oxygen/</w:t>
            </w:r>
            <w:r w:rsidRPr="00C4287A">
              <w:rPr>
                <w:rFonts w:ascii="Times New Roman" w:hAnsi="Times New Roman" w:cs="Times New Roman"/>
                <w:color w:val="000000"/>
                <w:sz w:val="18"/>
                <w:szCs w:val="18"/>
                <w:lang w:val="en-GB"/>
              </w:rPr>
              <w:br/>
              <w:t>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FDE63"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{"citationItems":[{"id":"ITEM-1","itemData":{"abstract":"The Zero Waste Plan published by the Scottish Government in 2010 sets targets of 70% of all waste to be recycled and 5% to be landfilled by 2025. In order to help deliver this plan, The Waste (Scotland) Regulations 2012 require that all dry recyclables are collected separately and that disposal of separately collected dry recyclables to landfill or incineration is banned from 1 January 2014. Plastic items that enter the waste stream are made in a wide range of formats and from a variety of polymer types. According to the market research of material recovery facilities (MRFs), and other waste-processing facilities, conducted as part of this project, there is currently around 18,000–27,000 tonnes per annum (tpa) of low-quality mixed waste plastic film in Scotland which cannot be recovered by current mechanical recycling techniques. The bulk of this material is plastic film from commercial and domestic packaging sources, and arises from municipal MRFs, with the remainder from composting and anaerobic digestion facilities. It is estimated that this volume will increase to up to 50,000tpa as the Zero Waste Plan is implemented. There is the potential to use chemical and thermal processing methods to recover these low-grade mixed waste plastics as useful materials. The purpose of this report is to review the current state of development of processes for conversion of mixed waste plastic to oil and to compare the technical, commercial and environmental potential of the leading process options for implementation in Scotland. The report also reviews the regulatory and fiscal issues relating to implementation of these technologies in Scotland and makes recommendations for changes which could encourage uptake of these technologies.","author":[{"dropping-particle":"","family":"Haig","given":"Sam","non-dropping-particle":"","parse-names":false,"suffix":""},{"dropping-particle":"","family":"Morrish","given":"Liz","non-dropping-particle":"","parse-names":false,"suffix":""},{"dropping-particle":"","family":"Morton","given":"Roger","non-dropping-particle":"","parse-names":false,"suffix":""},{"dropping-particle":"","family":"Onwuamaegbu","given":"Uchenna","non-dropping-particle":"","parse-names":false,"suffix":""},{"dropping-particle":"","family":"Speller","given":"Peter","non-dropping-particle":"","parse-names":false,"suffix":""},{"dropping-particle":"","family":"Wilkinson","given":"Simon","non-dropping-particle":"","parse-names":false,"suffix":""}],"container-title":"Xionconsulting","id":"ITEM-1","issued":{"date-parts":[["2013"]]},"number-of-pages":"155","title":"Plastics to oil products: Final report","type":"report"},"uris":["http://www.mendeley.com/documents/?uuid=1107e736-f1ef-4f03-b7e4-0186b9d77afd"]}],"mendeley":{"formattedCitation":"(Haig et al. 2013)","plainTextFormattedCitation":"(Haig et al. 2013)","previouslyFormattedCitation":"(Haig et al. 2013)"},"properties":{"noteIndex":0},"schema":"https://github.com/citation-style-language/schema/raw/master/csl-citation.json"}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(Haig et al. 2013)</w:t>
            </w:r>
            <w:r w:rsidRPr="00C4287A">
              <w:rPr>
                <w:rFonts w:ascii="Times New Roman" w:eastAsia="Times New Roman" w:hAnsi="Times New Roman" w:cs="Times New Roman"/>
                <w:color w:val="000000"/>
                <w:sz w:val="18"/>
                <w:szCs w:val="18"/>
                <w:lang w:val="en-GB"/>
              </w:rPr>
              <w:fldChar w:fldCharType="end"/>
            </w:r>
          </w:p>
        </w:tc>
      </w:tr>
      <w:tr w:rsidR="00491F49" w:rsidRPr="00C4287A" w14:paraId="39D6594F"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1BBB4A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G6</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390D545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F6A3F6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A0E9D5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DB8084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822393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3F9363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FFC000" w:themeFill="accent4"/>
            <w:noWrap/>
            <w:vAlign w:val="center"/>
            <w:hideMark/>
          </w:tcPr>
          <w:p w14:paraId="1AA1A9F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 +/-</w:t>
            </w:r>
            <w:r w:rsidRPr="00C4287A">
              <w:rPr>
                <w:rFonts w:ascii="Times New Roman" w:hAnsi="Times New Roman" w:cs="Times New Roman"/>
                <w:b/>
                <w:bCs/>
                <w:color w:val="000000"/>
                <w:sz w:val="18"/>
                <w:szCs w:val="18"/>
                <w:vertAlign w:val="superscript"/>
                <w:lang w:val="en-GB"/>
              </w:rPr>
              <w:t>6</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702DF6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440FE0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1267" w:type="pct"/>
            <w:tcBorders>
              <w:top w:val="nil"/>
              <w:left w:val="nil"/>
              <w:bottom w:val="single" w:sz="4" w:space="0" w:color="auto"/>
              <w:right w:val="single" w:sz="4" w:space="0" w:color="auto"/>
            </w:tcBorders>
            <w:shd w:val="clear" w:color="auto" w:fill="auto"/>
            <w:noWrap/>
            <w:vAlign w:val="center"/>
            <w:hideMark/>
          </w:tcPr>
          <w:p w14:paraId="5C5E58A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Dried input material </w:t>
            </w:r>
          </w:p>
          <w:p w14:paraId="2A7C50D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6</w:t>
            </w:r>
            <w:r w:rsidRPr="00C4287A">
              <w:rPr>
                <w:rFonts w:ascii="Times New Roman" w:hAnsi="Times New Roman" w:cs="Times New Roman"/>
                <w:color w:val="000000"/>
                <w:sz w:val="18"/>
                <w:szCs w:val="18"/>
                <w:lang w:val="en-GB"/>
              </w:rPr>
              <w:t>PVC &lt; 10%</w:t>
            </w:r>
          </w:p>
          <w:p w14:paraId="7E36353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523" w:type="pct"/>
            <w:tcBorders>
              <w:top w:val="single" w:sz="4" w:space="0" w:color="auto"/>
              <w:left w:val="nil"/>
              <w:bottom w:val="single" w:sz="4" w:space="0" w:color="auto"/>
              <w:right w:val="single" w:sz="4" w:space="0" w:color="auto"/>
            </w:tcBorders>
            <w:vAlign w:val="center"/>
          </w:tcPr>
          <w:p w14:paraId="00A3D15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Oxygen/</w:t>
            </w:r>
            <w:r w:rsidRPr="00C4287A">
              <w:rPr>
                <w:rFonts w:ascii="Times New Roman" w:hAnsi="Times New Roman" w:cs="Times New Roman"/>
                <w:color w:val="000000"/>
                <w:sz w:val="18"/>
                <w:szCs w:val="18"/>
                <w:lang w:val="en-GB"/>
              </w:rPr>
              <w:br/>
              <w:t>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32BDC"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{"citationItems":[{"id":"ITEM-1","itemData":{"abstract":"The Zero Waste Plan published by the Scottish Government in 2010 sets targets of 70% of all waste to be recycled and 5% to be landfilled by 2025. In order to help deliver this plan, The Waste (Scotland) Regulations 2012 require that all dry recyclables are collected separately and that disposal of separately collected dry recyclables to landfill or incineration is banned from 1 January 2014. Plastic items that enter the waste stream are made in a wide range of formats and from a variety of polymer types. According to the market research of material recovery facilities (MRFs), and other waste-processing facilities, conducted as part of this project, there is currently around 18,000–27,000 tonnes per annum (tpa) of low-quality mixed waste plastic film in Scotland which cannot be recovered by current mechanical recycling techniques. The bulk of this material is plastic film from commercial and domestic packaging sources, and arises from municipal MRFs, with the remainder from composting and anaerobic digestion facilities. It is estimated that this volume will increase to up to 50,000tpa as the Zero Waste Plan is implemented. There is the potential to use chemical and thermal processing methods to recover these low-grade mixed waste plastics as useful materials. The purpose of this report is to review the current state of development of processes for conversion of mixed waste plastic to oil and to compare the technical, commercial and environmental potential of the leading process options for implementation in Scotland. The report also reviews the regulatory and fiscal issues relating to implementation of these technologies in Scotland and makes recommendations for changes which could encourage uptake of these technologies.","author":[{"dropping-particle":"","family":"Haig","given":"Sam","non-dropping-particle":"","parse-names":false,"suffix":""},{"dropping-particle":"","family":"Morrish","given":"Liz","non-dropping-particle":"","parse-names":false,"suffix":""},{"dropping-particle":"","family":"Morton","given":"Roger","non-dropping-particle":"","parse-names":false,"suffix":""},{"dropping-particle":"","family":"Onwuamaegbu","given":"Uchenna","non-dropping-particle":"","parse-names":false,"suffix":""},{"dropping-particle":"","family":"Speller","given":"Peter","non-dropping-particle":"","parse-names":false,"suffix":""},{"dropping-particle":"","family":"Wilkinson","given":"Simon","non-dropping-particle":"","parse-names":false,"suffix":""}],"container-title":"Xionconsulting","id":"ITEM-1","issued":{"date-parts":[["2013"]]},"number-of-pages":"155","title":"Plastics to oil products: Final report","type":"report"},"uris":["http://www.mendeley.com/documents/?uuid=1107e736-f1ef-4f03-b7e4-0186b9d77afd"]}],"mendeley":{"formattedCitation":"(Haig et al. 2013)","plainTextFormattedCitation":"(Haig et al. 2013)","previouslyFormattedCitation":"(Haig et al. 2013)"},"properties":{"noteIndex":0},"schema":"https://github.com/citation-style-language/schema/raw/master/csl-citation.json"}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(Haig et al. 2013)</w:t>
            </w:r>
            <w:r w:rsidRPr="00C4287A">
              <w:rPr>
                <w:rFonts w:ascii="Times New Roman" w:eastAsia="Times New Roman" w:hAnsi="Times New Roman" w:cs="Times New Roman"/>
                <w:color w:val="000000"/>
                <w:sz w:val="18"/>
                <w:szCs w:val="18"/>
                <w:lang w:val="en-GB"/>
              </w:rPr>
              <w:fldChar w:fldCharType="end"/>
            </w:r>
          </w:p>
        </w:tc>
      </w:tr>
      <w:tr w:rsidR="00491F49" w:rsidRPr="00C4287A" w14:paraId="11B1ED92"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6F2D0E7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G7</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2E91D16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B1AA61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862CC7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14B0B0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6F414C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CCD86A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FFC000" w:themeFill="accent4"/>
            <w:noWrap/>
            <w:vAlign w:val="center"/>
            <w:hideMark/>
          </w:tcPr>
          <w:p w14:paraId="43B2D03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 +/-</w:t>
            </w:r>
            <w:r w:rsidRPr="00C4287A">
              <w:rPr>
                <w:rFonts w:ascii="Times New Roman" w:hAnsi="Times New Roman" w:cs="Times New Roman"/>
                <w:b/>
                <w:bCs/>
                <w:color w:val="000000"/>
                <w:sz w:val="18"/>
                <w:szCs w:val="18"/>
                <w:vertAlign w:val="superscript"/>
                <w:lang w:val="en-GB"/>
              </w:rPr>
              <w:t>7</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DE9AB6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860C8A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1267" w:type="pct"/>
            <w:tcBorders>
              <w:top w:val="nil"/>
              <w:left w:val="nil"/>
              <w:bottom w:val="single" w:sz="4" w:space="0" w:color="auto"/>
              <w:right w:val="single" w:sz="4" w:space="0" w:color="auto"/>
            </w:tcBorders>
            <w:shd w:val="clear" w:color="auto" w:fill="auto"/>
            <w:noWrap/>
            <w:vAlign w:val="center"/>
            <w:hideMark/>
          </w:tcPr>
          <w:p w14:paraId="43FED11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Dried input material </w:t>
            </w:r>
          </w:p>
          <w:p w14:paraId="21A9179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7</w:t>
            </w:r>
            <w:r w:rsidRPr="00C4287A">
              <w:rPr>
                <w:rFonts w:ascii="Times New Roman" w:hAnsi="Times New Roman" w:cs="Times New Roman"/>
                <w:color w:val="000000"/>
                <w:sz w:val="18"/>
                <w:szCs w:val="18"/>
                <w:lang w:val="en-GB"/>
              </w:rPr>
              <w:t>PVC &lt; 10%</w:t>
            </w:r>
          </w:p>
          <w:p w14:paraId="6EFA84F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lastRenderedPageBreak/>
              <w:t>&lt; 5% moisture</w:t>
            </w:r>
          </w:p>
        </w:tc>
        <w:tc>
          <w:tcPr>
            <w:tcW w:w="523" w:type="pct"/>
            <w:tcBorders>
              <w:top w:val="single" w:sz="4" w:space="0" w:color="auto"/>
              <w:left w:val="nil"/>
              <w:bottom w:val="single" w:sz="4" w:space="0" w:color="auto"/>
              <w:right w:val="single" w:sz="4" w:space="0" w:color="auto"/>
            </w:tcBorders>
            <w:vAlign w:val="center"/>
          </w:tcPr>
          <w:p w14:paraId="1BCD0A9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lastRenderedPageBreak/>
              <w:t>Oxygen/</w:t>
            </w:r>
            <w:r w:rsidRPr="00C4287A">
              <w:rPr>
                <w:rFonts w:ascii="Times New Roman" w:hAnsi="Times New Roman" w:cs="Times New Roman"/>
                <w:color w:val="000000"/>
                <w:sz w:val="18"/>
                <w:szCs w:val="18"/>
                <w:lang w:val="en-GB"/>
              </w:rPr>
              <w:br/>
              <w:t>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D4377"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{"citationItems":[{"id":"ITEM-1","itemData":{"abstract":"The Zero Waste Plan published by the Scottish Government in 2010 sets targets of 70% of all waste to be recycled and 5% to be landfilled by 2025. In order to help deliver this plan, The Waste (Scotland) Regulations 2012 require that all dry recyclables are collected separately and that disposal of separately collected dry recyclables to landfill or incineration is banned from 1 January 2014. Plastic items that enter the waste stream are made in a wide range of formats and from a variety of polymer types. According to the market research of material recovery facilities (MRFs), and other waste-processing facilities, conducted as part of this project, there is currently around 18,000–27,000 tonnes per annum (tpa) of low-quality mixed waste plastic film in Scotland which cannot be recovered by current mechanical recycling techniques. The bulk of this material is plastic film from commercial and domestic packaging sources, and arises from municipal MRFs, with the remainder from composting and anaerobic digestion facilities. It is estimated that this volume will increase to up to 50,000tpa as the Zero Waste Plan is implemented. There is the potential to use chemical and thermal processing methods to recover these low-grade mixed waste plastics as useful materials. The purpose of this report is to review the current state of development of processes for conversion of mixed waste plastic to oil and to compare the technical, commercial and environmental potential of the leading process options for implementation in Scotland. The report also reviews the regulatory and fiscal issues relating to implementation of these technologies in Scotland and makes recommendations for changes which could encourage uptake of these technologies.","author":[{"dropping-particle":"","family":"Haig","given":"Sam","non-dropping-particle":"","parse-names":false,"suffix":""},{"dropping-particle":"","family":"Morrish","given":"Liz","non-dropping-particle":"","parse-names":false,"suffix":""},{"dropping-particle":"","family":"Morton","given":"Roger","non-dropping-particle":"","parse-names":false,"suffix":""},{"dropping-particle":"","family":"Onwuamaegbu","given":"Uchenna","non-dropping-particle":"","parse-names":false,"suffix":""},{"dropping-particle":"","family":"Speller","given":"Peter","non-dropping-particle":"","parse-names":false,"suffix":""},{"dropping-particle":"","family":"Wilkinson","given":"Simon","non-dropping-particle":"","parse-names":false,"suffix":""}],"container-title":"Xionconsulting","id":"ITEM-1","issued":{"date-parts":[["2013"]]},"number-of-pages":"155","title":"Plastics to oil products: Final report","type":"report"},"uris":["http://www.mendeley.com/documents/?uuid=1107e736-f1ef-4f03-b7e4-0186b9d77afd"]}],"mendeley":{"formattedCitation":"(Haig et al. 2013)","plainTextFormattedCitation":"(Haig et al. 2013)","previouslyFormattedCitation":"(Haig et al. 2013)"},"properties":{"noteIndex":0},"schema":"https://github.com/citation-style-language/schema/raw/master/csl-citation.json"}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(Haig et al. 2013)</w:t>
            </w:r>
            <w:r w:rsidRPr="00C4287A">
              <w:rPr>
                <w:rFonts w:ascii="Times New Roman" w:eastAsia="Times New Roman" w:hAnsi="Times New Roman" w:cs="Times New Roman"/>
                <w:color w:val="000000"/>
                <w:sz w:val="18"/>
                <w:szCs w:val="18"/>
                <w:lang w:val="en-GB"/>
              </w:rPr>
              <w:fldChar w:fldCharType="end"/>
            </w:r>
          </w:p>
        </w:tc>
      </w:tr>
      <w:tr w:rsidR="00491F49" w:rsidRPr="00C4287A" w14:paraId="726C4B63"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71F3BC7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G8</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2E9358C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Pilot FBG</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5C0F7C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8</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6EF277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8</w:t>
            </w:r>
          </w:p>
        </w:tc>
        <w:tc>
          <w:tcPr>
            <w:tcW w:w="224" w:type="pct"/>
            <w:tcBorders>
              <w:top w:val="nil"/>
              <w:left w:val="nil"/>
              <w:bottom w:val="single" w:sz="4" w:space="0" w:color="auto"/>
              <w:right w:val="single" w:sz="4" w:space="0" w:color="auto"/>
            </w:tcBorders>
            <w:shd w:val="clear" w:color="auto" w:fill="auto"/>
            <w:noWrap/>
            <w:vAlign w:val="center"/>
            <w:hideMark/>
          </w:tcPr>
          <w:p w14:paraId="0FCA290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59956DE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54A607C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0084C3A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00534C5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16A3871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1267" w:type="pct"/>
            <w:tcBorders>
              <w:top w:val="nil"/>
              <w:left w:val="nil"/>
              <w:bottom w:val="single" w:sz="4" w:space="0" w:color="auto"/>
              <w:right w:val="single" w:sz="4" w:space="0" w:color="auto"/>
            </w:tcBorders>
            <w:shd w:val="clear" w:color="auto" w:fill="auto"/>
            <w:noWrap/>
            <w:vAlign w:val="center"/>
            <w:hideMark/>
          </w:tcPr>
          <w:p w14:paraId="1A81224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8</w:t>
            </w:r>
            <w:r w:rsidRPr="00C4287A">
              <w:rPr>
                <w:rFonts w:ascii="Times New Roman" w:hAnsi="Times New Roman" w:cs="Times New Roman"/>
                <w:color w:val="000000"/>
                <w:sz w:val="18"/>
                <w:szCs w:val="18"/>
                <w:lang w:val="en-GB"/>
              </w:rPr>
              <w:t>Sorted PE from municipal waste</w:t>
            </w:r>
          </w:p>
          <w:p w14:paraId="670DBBD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0.2% moisture</w:t>
            </w:r>
          </w:p>
        </w:tc>
        <w:tc>
          <w:tcPr>
            <w:tcW w:w="523" w:type="pct"/>
            <w:tcBorders>
              <w:top w:val="single" w:sz="4" w:space="0" w:color="auto"/>
              <w:left w:val="nil"/>
              <w:bottom w:val="single" w:sz="4" w:space="0" w:color="auto"/>
              <w:right w:val="single" w:sz="4" w:space="0" w:color="auto"/>
            </w:tcBorders>
            <w:vAlign w:val="center"/>
          </w:tcPr>
          <w:p w14:paraId="14ECE99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A6407"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{"citationItems":[{"id":"ITEM-1","itemData":{"DOI":"10.1016/j.energy.2018.09.158","ISSN":"03605442","abstract":"The study provides for the first time a life cycle inventory model for the fluidized bed gasification of wastes, based on a large amount of high-quality data. All of them have been obtained from a pilot scale fluidized bed gasifier, fed with ten types of waste and biomass, under a wide range of operating conditions. The model refers to commercial scale gasifiers having a “thermal configuration” where the generated syngas is immediately burned downstream of the reactor. Key relationships between process- and waste-specific parameters have been defined. The model quantifies the main inputs and outputs of the gasification process (emissions, energy recovery, ash disposal, resource consumptions), providing high-quality data that could contribute to improve life cycle assessment modelling of waste gasification. Finally, some case studies have been implemented in the EASETECH software to illustrate the model applicability, evaluate the role of main parameters, and compare the environmental performances of gasification power units with that of the European electricity mix. The performances appear highly affected by metal contents in the waste-derived fuels, while the model results to a limited extent are sensitive to the equivalence ratio and the net electrical efficiency of the energy conversion.","author":[{"dropping-particle":"","family":"Ardolino","given":"Filomena","non-dropping-particle":"","parse-names":false,"suffix":""},{"dropping-particle":"","family":"Lodato","given":"Concetta","non-dropping-particle":"","parse-names":false,"suffix":""},{"dropping-particle":"","family":"Astrup","given":"Thomas F.","non-dropping-particle":"","parse-names":false,"suffix":""},{"dropping-particle":"","family":"Arena","given":"Umberto","non-dropping-particle":"","parse-names":false,"suffix":""}],"container-title":"Energy","id":"ITEM-1","issued":{"date-parts":[["2018"]]},"page":"299-314","title":"Energy recovery from plastic and biomass waste by means of fluidized bed gasification: A life cycle inventory model","type":"article-journal","volume":"165"},"uris":["http://www.mendeley.com/documents/?uuid=05f65e08-9a01-4752-a32a-3f6251cbdc70"]}],"mendeley":{"formattedCitation":"(Ardolino et al. 2018)","plainTextFormattedCitation":"(Ardolino et al. 2018)","previouslyFormattedCitation":"(Ardolino et al. 2018)"},"properties":{"noteIndex":0},"schema":"https://github.com/citation-style-language/schema/raw/master/csl-citation.json"}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(Ardolino et al. 2018)</w:t>
            </w:r>
            <w:r w:rsidRPr="00C4287A">
              <w:rPr>
                <w:rFonts w:ascii="Times New Roman" w:eastAsia="Times New Roman" w:hAnsi="Times New Roman" w:cs="Times New Roman"/>
                <w:color w:val="000000"/>
                <w:sz w:val="18"/>
                <w:szCs w:val="18"/>
                <w:lang w:val="en-GB"/>
              </w:rPr>
              <w:fldChar w:fldCharType="end"/>
            </w:r>
          </w:p>
        </w:tc>
      </w:tr>
      <w:tr w:rsidR="00491F49" w:rsidRPr="00C4287A" w14:paraId="6070B119"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3F9515E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G9</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5576A31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Pilot FBG</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35AED6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9</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252C95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9</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D039DB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9</w:t>
            </w:r>
          </w:p>
        </w:tc>
        <w:tc>
          <w:tcPr>
            <w:tcW w:w="224" w:type="pct"/>
            <w:tcBorders>
              <w:top w:val="nil"/>
              <w:left w:val="nil"/>
              <w:bottom w:val="single" w:sz="4" w:space="0" w:color="auto"/>
              <w:right w:val="single" w:sz="4" w:space="0" w:color="auto"/>
            </w:tcBorders>
            <w:shd w:val="clear" w:color="auto" w:fill="auto"/>
            <w:noWrap/>
            <w:vAlign w:val="center"/>
            <w:hideMark/>
          </w:tcPr>
          <w:p w14:paraId="5EC5963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224" w:type="pct"/>
            <w:tcBorders>
              <w:top w:val="nil"/>
              <w:left w:val="nil"/>
              <w:bottom w:val="single" w:sz="4" w:space="0" w:color="auto"/>
              <w:right w:val="single" w:sz="4" w:space="0" w:color="auto"/>
            </w:tcBorders>
            <w:shd w:val="clear" w:color="auto" w:fill="auto"/>
            <w:noWrap/>
            <w:vAlign w:val="center"/>
            <w:hideMark/>
          </w:tcPr>
          <w:p w14:paraId="5D21CDE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224" w:type="pct"/>
            <w:tcBorders>
              <w:top w:val="nil"/>
              <w:left w:val="nil"/>
              <w:bottom w:val="single" w:sz="4" w:space="0" w:color="auto"/>
              <w:right w:val="single" w:sz="4" w:space="0" w:color="auto"/>
            </w:tcBorders>
            <w:shd w:val="clear" w:color="auto" w:fill="auto"/>
            <w:noWrap/>
            <w:vAlign w:val="center"/>
            <w:hideMark/>
          </w:tcPr>
          <w:p w14:paraId="74E4B05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44D035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auto"/>
            <w:noWrap/>
            <w:vAlign w:val="center"/>
            <w:hideMark/>
          </w:tcPr>
          <w:p w14:paraId="1987156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p>
        </w:tc>
        <w:tc>
          <w:tcPr>
            <w:tcW w:w="1267" w:type="pct"/>
            <w:tcBorders>
              <w:top w:val="nil"/>
              <w:left w:val="nil"/>
              <w:bottom w:val="single" w:sz="4" w:space="0" w:color="auto"/>
              <w:right w:val="single" w:sz="4" w:space="0" w:color="auto"/>
            </w:tcBorders>
            <w:shd w:val="clear" w:color="auto" w:fill="auto"/>
            <w:noWrap/>
            <w:vAlign w:val="center"/>
            <w:hideMark/>
          </w:tcPr>
          <w:p w14:paraId="6E4BD0C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9</w:t>
            </w:r>
            <w:r w:rsidRPr="00C4287A">
              <w:rPr>
                <w:rFonts w:ascii="Times New Roman" w:hAnsi="Times New Roman" w:cs="Times New Roman"/>
                <w:color w:val="000000"/>
                <w:sz w:val="18"/>
                <w:szCs w:val="18"/>
                <w:lang w:val="en-GB"/>
              </w:rPr>
              <w:t>Polyolefins from food and beverage packaging</w:t>
            </w:r>
          </w:p>
          <w:p w14:paraId="6D943D8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0.3% moisture</w:t>
            </w:r>
          </w:p>
        </w:tc>
        <w:tc>
          <w:tcPr>
            <w:tcW w:w="523" w:type="pct"/>
            <w:tcBorders>
              <w:top w:val="single" w:sz="4" w:space="0" w:color="auto"/>
              <w:left w:val="nil"/>
              <w:bottom w:val="single" w:sz="4" w:space="0" w:color="auto"/>
              <w:right w:val="single" w:sz="4" w:space="0" w:color="auto"/>
            </w:tcBorders>
            <w:vAlign w:val="center"/>
          </w:tcPr>
          <w:p w14:paraId="6B092D8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5350A"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{"citationItems":[{"id":"ITEM-1","itemData":{"DOI":"10.1016/j.energy.2018.09.158","ISSN":"03605442","abstract":"The study provides for the first time a life cycle inventory model for the fluidized bed gasification of wastes, based on a large amount of high-quality data. All of them have been obtained from a pilot scale fluidized bed gasifier, fed with ten types of waste and biomass, under a wide range of operating conditions. The model refers to commercial scale gasifiers having a “thermal configuration” where the generated syngas is immediately burned downstream of the reactor. Key relationships between process- and waste-specific parameters have been defined. The model quantifies the main inputs and outputs of the gasification process (emissions, energy recovery, ash disposal, resource consumptions), providing high-quality data that could contribute to improve life cycle assessment modelling of waste gasification. Finally, some case studies have been implemented in the EASETECH software to illustrate the model applicability, evaluate the role of main parameters, and compare the environmental performances of gasification power units with that of the European electricity mix. The performances appear highly affected by metal contents in the waste-derived fuels, while the model results to a limited extent are sensitive to the equivalence ratio and the net electrical efficiency of the energy conversion.","author":[{"dropping-particle":"","family":"Ardolino","given":"Filomena","non-dropping-particle":"","parse-names":false,"suffix":""},{"dropping-particle":"","family":"Lodato","given":"Concetta","non-dropping-particle":"","parse-names":false,"suffix":""},{"dropping-particle":"","family":"Astrup","given":"Thomas F.","non-dropping-particle":"","parse-names":false,"suffix":""},{"dropping-particle":"","family":"Arena","given":"Umberto","non-dropping-particle":"","parse-names":false,"suffix":""}],"container-title":"Energy","id":"ITEM-1","issued":{"date-parts":[["2018"]]},"page":"299-314","title":"Energy recovery from plastic and biomass waste by means of fluidized bed gasification: A life cycle inventory model","type":"article-journal","volume":"165"},"uris":["http://www.mendeley.com/documents/?uuid=05f65e08-9a01-4752-a32a-3f6251cbdc70"]}],"mendeley":{"formattedCitation":"(Ardolino et al. 2018)","plainTextFormattedCitation":"(Ardolino et al. 2018)","previouslyFormattedCitation":"(Ardolino et al. 2018)"},"properties":{"noteIndex":0},"schema":"https://github.com/citation-style-language/schema/raw/master/csl-citation.json"}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(Ardolino et al. 2018)</w:t>
            </w:r>
            <w:r w:rsidRPr="00C4287A">
              <w:rPr>
                <w:rFonts w:ascii="Times New Roman" w:eastAsia="Times New Roman" w:hAnsi="Times New Roman" w:cs="Times New Roman"/>
                <w:color w:val="000000"/>
                <w:sz w:val="18"/>
                <w:szCs w:val="18"/>
                <w:lang w:val="en-GB"/>
              </w:rPr>
              <w:fldChar w:fldCharType="end"/>
            </w:r>
          </w:p>
        </w:tc>
      </w:tr>
      <w:tr w:rsidR="00491F49" w:rsidRPr="00C4287A" w14:paraId="3211BCF3"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5E46FE9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G10</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64A115D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Neolite</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2D0653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FC72BE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6ECC0C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3AC1CB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CD62F2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FDCF96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B591B1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4713B6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10</w:t>
            </w:r>
          </w:p>
        </w:tc>
        <w:tc>
          <w:tcPr>
            <w:tcW w:w="1267" w:type="pct"/>
            <w:tcBorders>
              <w:top w:val="nil"/>
              <w:left w:val="nil"/>
              <w:bottom w:val="single" w:sz="4" w:space="0" w:color="auto"/>
              <w:right w:val="single" w:sz="4" w:space="0" w:color="auto"/>
            </w:tcBorders>
            <w:shd w:val="clear" w:color="auto" w:fill="auto"/>
            <w:noWrap/>
            <w:vAlign w:val="center"/>
            <w:hideMark/>
          </w:tcPr>
          <w:p w14:paraId="7701273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10</w:t>
            </w:r>
            <w:r w:rsidRPr="00C4287A">
              <w:rPr>
                <w:rFonts w:ascii="Times New Roman" w:hAnsi="Times New Roman" w:cs="Times New Roman"/>
                <w:color w:val="000000"/>
                <w:sz w:val="18"/>
                <w:szCs w:val="18"/>
                <w:lang w:val="en-GB"/>
              </w:rPr>
              <w:t>Mixture of packaging waste with metal inclusions</w:t>
            </w:r>
          </w:p>
          <w:p w14:paraId="024AAE1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0.6% moisture</w:t>
            </w:r>
          </w:p>
        </w:tc>
        <w:tc>
          <w:tcPr>
            <w:tcW w:w="523" w:type="pct"/>
            <w:tcBorders>
              <w:top w:val="single" w:sz="4" w:space="0" w:color="auto"/>
              <w:left w:val="nil"/>
              <w:bottom w:val="single" w:sz="4" w:space="0" w:color="auto"/>
              <w:right w:val="single" w:sz="4" w:space="0" w:color="auto"/>
            </w:tcBorders>
            <w:vAlign w:val="center"/>
          </w:tcPr>
          <w:p w14:paraId="06068AD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9410F"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{"citationItems":[{"id":"ITEM-1","itemData":{"DOI":"10.1016/j.energy.2018.09.158","ISSN":"03605442","abstract":"The study provides for the first time a life cycle inventory model for the fluidized bed gasification of wastes, based on a large amount of high-quality data. All of them have been obtained from a pilot scale fluidized bed gasifier, fed with ten types of waste and biomass, under a wide range of operating conditions. The model refers to commercial scale gasifiers having a “thermal configuration” where the generated syngas is immediately burned downstream of the reactor. Key relationships between process- and waste-specific parameters have been defined. The model quantifies the main inputs and outputs of the gasification process (emissions, energy recovery, ash disposal, resource consumptions), providing high-quality data that could contribute to improve life cycle assessment modelling of waste gasification. Finally, some case studies have been implemented in the EASETECH software to illustrate the model applicability, evaluate the role of main parameters, and compare the environmental performances of gasification power units with that of the European electricity mix. The performances appear highly affected by metal contents in the waste-derived fuels, while the model results to a limited extent are sensitive to the equivalence ratio and the net electrical efficiency of the energy conversion.","author":[{"dropping-particle":"","family":"Ardolino","given":"Filomena","non-dropping-particle":"","parse-names":false,"suffix":""},{"dropping-particle":"","family":"Lodato","given":"Concetta","non-dropping-particle":"","parse-names":false,"suffix":""},{"dropping-particle":"","family":"Astrup","given":"Thomas F.","non-dropping-particle":"","parse-names":false,"suffix":""},{"dropping-particle":"","family":"Arena","given":"Umberto","non-dropping-particle":"","parse-names":false,"suffix":""}],"container-title":"Energy","id":"ITEM-1","issued":{"date-parts":[["2018"]]},"page":"299-314","title":"Energy recovery from plastic and biomass waste by means of fluidized bed gasification: A life cycle inventory model","type":"article-journal","volume":"165"},"uris":["http://www.mendeley.com/documents/?uuid=05f65e08-9a01-4752-a32a-3f6251cbdc70"]}],"mendeley":{"formattedCitation":"(Ardolino et al. 2018)","plainTextFormattedCitation":"(Ardolino et al. 2018)","previouslyFormattedCitation":"(Ardolino et al. 2018)"},"properties":{"noteIndex":0},"schema":"https://github.com/citation-style-language/schema/raw/master/csl-citation.json"}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(Ardolino et al. 2018)</w:t>
            </w:r>
            <w:r w:rsidRPr="00C4287A">
              <w:rPr>
                <w:rFonts w:ascii="Times New Roman" w:eastAsia="Times New Roman" w:hAnsi="Times New Roman" w:cs="Times New Roman"/>
                <w:color w:val="000000"/>
                <w:sz w:val="18"/>
                <w:szCs w:val="18"/>
                <w:lang w:val="en-GB"/>
              </w:rPr>
              <w:fldChar w:fldCharType="end"/>
            </w:r>
          </w:p>
        </w:tc>
      </w:tr>
      <w:tr w:rsidR="00491F49" w:rsidRPr="00C4287A" w14:paraId="0C970101"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6D8A7F0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G11</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75383E0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Plasmix</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9B18B8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B41CDC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67FECB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4A8DC8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D2216A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FCB705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AA2710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4D62FA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11</w:t>
            </w:r>
          </w:p>
        </w:tc>
        <w:tc>
          <w:tcPr>
            <w:tcW w:w="1267" w:type="pct"/>
            <w:tcBorders>
              <w:top w:val="nil"/>
              <w:left w:val="nil"/>
              <w:bottom w:val="single" w:sz="4" w:space="0" w:color="auto"/>
              <w:right w:val="single" w:sz="4" w:space="0" w:color="auto"/>
            </w:tcBorders>
            <w:shd w:val="clear" w:color="auto" w:fill="auto"/>
            <w:noWrap/>
            <w:vAlign w:val="center"/>
            <w:hideMark/>
          </w:tcPr>
          <w:p w14:paraId="77EF9A1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11</w:t>
            </w:r>
            <w:r w:rsidRPr="00C4287A">
              <w:rPr>
                <w:rFonts w:ascii="Times New Roman" w:hAnsi="Times New Roman" w:cs="Times New Roman"/>
                <w:color w:val="000000"/>
                <w:sz w:val="18"/>
                <w:szCs w:val="18"/>
                <w:lang w:val="en-GB"/>
              </w:rPr>
              <w:t>Mixture of packaging waste with metal inclusions</w:t>
            </w:r>
          </w:p>
          <w:p w14:paraId="3DF6946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0.7% moisture</w:t>
            </w:r>
          </w:p>
        </w:tc>
        <w:tc>
          <w:tcPr>
            <w:tcW w:w="523" w:type="pct"/>
            <w:tcBorders>
              <w:top w:val="single" w:sz="4" w:space="0" w:color="auto"/>
              <w:left w:val="nil"/>
              <w:bottom w:val="single" w:sz="4" w:space="0" w:color="auto"/>
              <w:right w:val="single" w:sz="4" w:space="0" w:color="auto"/>
            </w:tcBorders>
            <w:vAlign w:val="center"/>
          </w:tcPr>
          <w:p w14:paraId="37A83AF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ADFC2"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{"citationItems":[{"id":"ITEM-1","itemData":{"DOI":"10.1016/j.energy.2018.09.158","ISSN":"03605442","abstract":"The study provides for the first time a life cycle inventory model for the fluidized bed gasification of wastes, based on a large amount of high-quality data. All of them have been obtained from a pilot scale fluidized bed gasifier, fed with ten types of waste and biomass, under a wide range of operating conditions. The model refers to commercial scale gasifiers having a “thermal configuration” where the generated syngas is immediately burned downstream of the reactor. Key relationships between process- and waste-specific parameters have been defined. The model quantifies the main inputs and outputs of the gasification process (emissions, energy recovery, ash disposal, resource consumptions), providing high-quality data that could contribute to improve life cycle assessment modelling of waste gasification. Finally, some case studies have been implemented in the EASETECH software to illustrate the model applicability, evaluate the role of main parameters, and compare the environmental performances of gasification power units with that of the European electricity mix. The performances appear highly affected by metal contents in the waste-derived fuels, while the model results to a limited extent are sensitive to the equivalence ratio and the net electrical efficiency of the energy conversion.","author":[{"dropping-particle":"","family":"Ardolino","given":"Filomena","non-dropping-particle":"","parse-names":false,"suffix":""},{"dropping-particle":"","family":"Lodato","given":"Concetta","non-dropping-particle":"","parse-names":false,"suffix":""},{"dropping-particle":"","family":"Astrup","given":"Thomas F.","non-dropping-particle":"","parse-names":false,"suffix":""},{"dropping-particle":"","family":"Arena","given":"Umberto","non-dropping-particle":"","parse-names":false,"suffix":""}],"container-title":"Energy","id":"ITEM-1","issued":{"date-parts":[["2018"]]},"page":"299-314","title":"Energy recovery from plastic and biomass waste by means of fluidized bed gasification: A life cycle inventory model","type":"article-journal","volume":"165"},"uris":["http://www.mendeley.com/documents/?uuid=05f65e08-9a01-4752-a32a-3f6251cbdc70"]}],"mendeley":{"formattedCitation":"(Ardolino et al. 2018)","plainTextFormattedCitation":"(Ardolino et al. 2018)","previouslyFormattedCitation":"(Ardolino et al. 2018)"},"properties":{"noteIndex":0},"schema":"https://github.com/citation-style-language/schema/raw/master/csl-citation.json"}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(Ardolino et al. 2018)</w:t>
            </w:r>
            <w:r w:rsidRPr="00C4287A">
              <w:rPr>
                <w:rFonts w:ascii="Times New Roman" w:eastAsia="Times New Roman" w:hAnsi="Times New Roman" w:cs="Times New Roman"/>
                <w:color w:val="000000"/>
                <w:sz w:val="18"/>
                <w:szCs w:val="18"/>
                <w:lang w:val="en-GB"/>
              </w:rPr>
              <w:fldChar w:fldCharType="end"/>
            </w:r>
          </w:p>
        </w:tc>
      </w:tr>
      <w:tr w:rsidR="00491F49" w:rsidRPr="00C4287A" w14:paraId="00029567"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180E299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G12</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725DDEA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PDF - Pilot FBG</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634200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8BDD1E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52AACE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1385B9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A1F37E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AB076A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EC4C76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E23638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1267" w:type="pct"/>
            <w:tcBorders>
              <w:top w:val="nil"/>
              <w:left w:val="nil"/>
              <w:bottom w:val="single" w:sz="4" w:space="0" w:color="auto"/>
              <w:right w:val="single" w:sz="4" w:space="0" w:color="auto"/>
            </w:tcBorders>
            <w:shd w:val="clear" w:color="auto" w:fill="auto"/>
            <w:noWrap/>
            <w:vAlign w:val="center"/>
            <w:hideMark/>
          </w:tcPr>
          <w:p w14:paraId="5EAD53E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12</w:t>
            </w:r>
            <w:r w:rsidRPr="00C4287A">
              <w:rPr>
                <w:rFonts w:ascii="Times New Roman" w:hAnsi="Times New Roman" w:cs="Times New Roman"/>
                <w:color w:val="000000"/>
                <w:sz w:val="18"/>
                <w:szCs w:val="18"/>
                <w:lang w:val="en-GB"/>
              </w:rPr>
              <w:t>Mixture of packaging waste with multilayer packaging</w:t>
            </w:r>
          </w:p>
          <w:p w14:paraId="3A79CC4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5.6% moisture</w:t>
            </w:r>
          </w:p>
        </w:tc>
        <w:tc>
          <w:tcPr>
            <w:tcW w:w="523" w:type="pct"/>
            <w:tcBorders>
              <w:top w:val="single" w:sz="4" w:space="0" w:color="auto"/>
              <w:left w:val="nil"/>
              <w:bottom w:val="single" w:sz="4" w:space="0" w:color="auto"/>
              <w:right w:val="single" w:sz="4" w:space="0" w:color="auto"/>
            </w:tcBorders>
            <w:vAlign w:val="center"/>
          </w:tcPr>
          <w:p w14:paraId="6D9E41B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CE538"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{"citationItems":[{"id":"ITEM-1","itemData":{"DOI":"10.1016/j.energy.2018.09.158","ISSN":"03605442","abstract":"The study provides for the first time a life cycle inventory model for the fluidized bed gasification of wastes, based on a large amount of high-quality data. All of them have been obtained from a pilot scale fluidized bed gasifier, fed with ten types of waste and biomass, under a wide range of operating conditions. The model refers to commercial scale gasifiers having a “thermal configuration” where the generated syngas is immediately burned downstream of the reactor. Key relationships between process- and waste-specific parameters have been defined. The model quantifies the main inputs and outputs of the gasification process (emissions, energy recovery, ash disposal, resource consumptions), providing high-quality data that could contribute to improve life cycle assessment modelling of waste gasification. Finally, some case studies have been implemented in the EASETECH software to illustrate the model applicability, evaluate the role of main parameters, and compare the environmental performances of gasification power units with that of the European electricity mix. The performances appear highly affected by metal contents in the waste-derived fuels, while the model results to a limited extent are sensitive to the equivalence ratio and the net electrical efficiency of the energy conversion.","author":[{"dropping-particle":"","family":"Ardolino","given":"Filomena","non-dropping-particle":"","parse-names":false,"suffix":""},{"dropping-particle":"","family":"Lodato","given":"Concetta","non-dropping-particle":"","parse-names":false,"suffix":""},{"dropping-particle":"","family":"Astrup","given":"Thomas F.","non-dropping-particle":"","parse-names":false,"suffix":""},{"dropping-particle":"","family":"Arena","given":"Umberto","non-dropping-particle":"","parse-names":false,"suffix":""}],"container-title":"Energy","id":"ITEM-1","issued":{"date-parts":[["2018"]]},"page":"299-314","title":"Energy recovery from plastic and biomass waste by means of fluidized bed gasification: A life cycle inventory model","type":"article-journal","volume":"165"},"uris":["http://www.mendeley.com/documents/?uuid=05f65e08-9a01-4752-a32a-3f6251cbdc70"]}],"mendeley":{"formattedCitation":"(Ardolino et al. 2018)","plainTextFormattedCitation":"(Ardolino et al. 2018)","previouslyFormattedCitation":"(Ardolino et al. 2018)"},"properties":{"noteIndex":0},"schema":"https://github.com/citation-style-language/schema/raw/master/csl-citation.json"}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(Ardolino et al. 2018)</w:t>
            </w:r>
            <w:r w:rsidRPr="00C4287A">
              <w:rPr>
                <w:rFonts w:ascii="Times New Roman" w:eastAsia="Times New Roman" w:hAnsi="Times New Roman" w:cs="Times New Roman"/>
                <w:color w:val="000000"/>
                <w:sz w:val="18"/>
                <w:szCs w:val="18"/>
                <w:lang w:val="en-GB"/>
              </w:rPr>
              <w:fldChar w:fldCharType="end"/>
            </w:r>
          </w:p>
        </w:tc>
      </w:tr>
      <w:tr w:rsidR="00491F49" w:rsidRPr="00C4287A" w14:paraId="3D9B75EC" w14:textId="77777777" w:rsidTr="00012FBD">
        <w:trPr>
          <w:trHeight w:val="12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7E2A2DD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G13</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332E5FE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Powerhouse</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5215EC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C3D036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BB878D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F006B3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E1E86D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4276F6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13</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7E9639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F9F436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12</w:t>
            </w:r>
          </w:p>
        </w:tc>
        <w:tc>
          <w:tcPr>
            <w:tcW w:w="1267" w:type="pct"/>
            <w:tcBorders>
              <w:top w:val="nil"/>
              <w:left w:val="nil"/>
              <w:bottom w:val="single" w:sz="4" w:space="0" w:color="auto"/>
              <w:right w:val="single" w:sz="4" w:space="0" w:color="auto"/>
            </w:tcBorders>
            <w:shd w:val="clear" w:color="auto" w:fill="auto"/>
            <w:vAlign w:val="center"/>
            <w:hideMark/>
          </w:tcPr>
          <w:p w14:paraId="6BEA415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12</w:t>
            </w:r>
            <w:r w:rsidRPr="00C4287A">
              <w:rPr>
                <w:rFonts w:ascii="Times New Roman" w:hAnsi="Times New Roman" w:cs="Times New Roman"/>
                <w:color w:val="000000"/>
                <w:sz w:val="18"/>
                <w:szCs w:val="18"/>
                <w:lang w:val="en-GB"/>
              </w:rPr>
              <w:t xml:space="preserve">Mixed plastic waste </w:t>
            </w:r>
          </w:p>
          <w:p w14:paraId="14D9FF9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13</w:t>
            </w:r>
            <w:r w:rsidRPr="00C4287A">
              <w:rPr>
                <w:rFonts w:ascii="Times New Roman" w:hAnsi="Times New Roman" w:cs="Times New Roman"/>
                <w:color w:val="000000"/>
                <w:sz w:val="18"/>
                <w:szCs w:val="18"/>
                <w:lang w:val="en-GB"/>
              </w:rPr>
              <w:t>Can take up to 100% PVC with the addition of natrium hydroxide</w:t>
            </w:r>
          </w:p>
        </w:tc>
        <w:tc>
          <w:tcPr>
            <w:tcW w:w="523" w:type="pct"/>
            <w:tcBorders>
              <w:top w:val="single" w:sz="4" w:space="0" w:color="auto"/>
              <w:left w:val="nil"/>
              <w:bottom w:val="single" w:sz="4" w:space="0" w:color="auto"/>
              <w:right w:val="single" w:sz="4" w:space="0" w:color="auto"/>
            </w:tcBorders>
            <w:vAlign w:val="center"/>
          </w:tcPr>
          <w:p w14:paraId="0A2F6BA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080D6"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{"citationItems":[{"id":"ITEM-1","itemData":{"author":[{"dropping-particle":"","family":"Himebaugh","given":"Eric Thomas","non-dropping-particle":"","parse-names":false,"suffix":""},{"dropping-particle":"","family":"Starr","given":"Robert M","non-dropping-particle":"","parse-names":false,"suffix":""},{"dropping-particle":"","family":"Ciotti","given":"Robert William","non-dropping-particle":"","parse-names":false,"suffix":""},{"dropping-particle":"","family":"Serven","given":"Rebecca F","non-dropping-particle":"","parse-names":false,"suffix":""},{"dropping-particle":"","family":"Bursten","given":"Bruce","non-dropping-particle":"","parse-names":false,"suffix":""},{"dropping-particle":"","family":"Starr","given":"Robert M","non-dropping-particle":"","parse-names":false,"suffix":""}],"id":"ITEM-1","issued":{"date-parts":[["2020"]]},"title":"Assessing the Feasibility of Chemical Recycling for Plastics in Copenhagen Robert Ciotti Eric Himebaugh","type":"book"},"uris":["http://www.mendeley.com/documents/?uuid=52454215-6288-479a-87c3-2dc4dc34738e"]}],"mendeley":{"formattedCitation":"(Himebaugh et al. 2020)","plainTextFormattedCitation":"(Himebaugh et al. 2020)","previouslyFormattedCitation":"(Himebaugh et al. 2020)"},"properties":{"noteIndex":0},"schema":"https://github.com/citation-style-language/schema/raw/master/csl-citation.json"}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(Himebaugh et al. 2020)</w:t>
            </w:r>
            <w:r w:rsidRPr="00C4287A">
              <w:rPr>
                <w:rFonts w:ascii="Times New Roman" w:eastAsia="Times New Roman" w:hAnsi="Times New Roman" w:cs="Times New Roman"/>
                <w:color w:val="000000"/>
                <w:sz w:val="18"/>
                <w:szCs w:val="18"/>
                <w:lang w:val="en-GB"/>
              </w:rPr>
              <w:fldChar w:fldCharType="end"/>
            </w:r>
          </w:p>
        </w:tc>
      </w:tr>
      <w:tr w:rsidR="00491F49" w:rsidRPr="00C4287A" w14:paraId="7739660E"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1007B2F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G14</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12691AC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Texaco</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534F97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C542F4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4A60B0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1022F1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BD6330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FFC000" w:themeFill="accent4"/>
            <w:noWrap/>
            <w:vAlign w:val="center"/>
            <w:hideMark/>
          </w:tcPr>
          <w:p w14:paraId="6370056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 +/-</w:t>
            </w:r>
            <w:r w:rsidRPr="00C4287A">
              <w:rPr>
                <w:rFonts w:ascii="Times New Roman" w:hAnsi="Times New Roman" w:cs="Times New Roman"/>
                <w:b/>
                <w:bCs/>
                <w:color w:val="000000"/>
                <w:sz w:val="18"/>
                <w:szCs w:val="18"/>
                <w:vertAlign w:val="superscript"/>
                <w:lang w:val="en-GB"/>
              </w:rPr>
              <w:t>14</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B8B4DD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15</w:t>
            </w:r>
          </w:p>
        </w:tc>
        <w:tc>
          <w:tcPr>
            <w:tcW w:w="224" w:type="pct"/>
            <w:tcBorders>
              <w:top w:val="nil"/>
              <w:left w:val="nil"/>
              <w:bottom w:val="single" w:sz="4" w:space="0" w:color="auto"/>
              <w:right w:val="single" w:sz="4" w:space="0" w:color="auto"/>
            </w:tcBorders>
            <w:shd w:val="clear" w:color="auto" w:fill="auto"/>
            <w:noWrap/>
            <w:vAlign w:val="center"/>
            <w:hideMark/>
          </w:tcPr>
          <w:p w14:paraId="0A368874" w14:textId="77777777" w:rsidR="00491F49" w:rsidRPr="00C4287A" w:rsidRDefault="00491F49" w:rsidP="00012FBD">
            <w:pPr>
              <w:spacing w:after="0" w:line="240" w:lineRule="auto"/>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1267" w:type="pct"/>
            <w:tcBorders>
              <w:top w:val="nil"/>
              <w:left w:val="nil"/>
              <w:bottom w:val="single" w:sz="4" w:space="0" w:color="auto"/>
              <w:right w:val="single" w:sz="4" w:space="0" w:color="auto"/>
            </w:tcBorders>
            <w:shd w:val="clear" w:color="auto" w:fill="auto"/>
            <w:noWrap/>
            <w:vAlign w:val="center"/>
            <w:hideMark/>
          </w:tcPr>
          <w:p w14:paraId="691D7EF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Mixed polymer waste </w:t>
            </w:r>
          </w:p>
          <w:p w14:paraId="2B9CA5B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Particle size &lt; 10 cm </w:t>
            </w:r>
          </w:p>
          <w:p w14:paraId="338F45F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14</w:t>
            </w:r>
            <w:r w:rsidRPr="00C4287A">
              <w:rPr>
                <w:rFonts w:ascii="Times New Roman" w:hAnsi="Times New Roman" w:cs="Times New Roman"/>
                <w:color w:val="000000"/>
                <w:sz w:val="18"/>
                <w:szCs w:val="18"/>
                <w:lang w:val="en-GB"/>
              </w:rPr>
              <w:t>PVC &lt; 10%</w:t>
            </w:r>
          </w:p>
          <w:p w14:paraId="1A7BC35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15</w:t>
            </w:r>
            <w:r w:rsidRPr="00C4287A">
              <w:rPr>
                <w:rFonts w:ascii="Times New Roman" w:hAnsi="Times New Roman" w:cs="Times New Roman"/>
                <w:color w:val="000000"/>
                <w:sz w:val="18"/>
                <w:szCs w:val="18"/>
                <w:lang w:val="en-GB"/>
              </w:rPr>
              <w:t>&lt; 10% of inorganic material</w:t>
            </w:r>
          </w:p>
          <w:p w14:paraId="1901935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 5% moisture</w:t>
            </w:r>
          </w:p>
        </w:tc>
        <w:tc>
          <w:tcPr>
            <w:tcW w:w="523" w:type="pct"/>
            <w:tcBorders>
              <w:top w:val="single" w:sz="4" w:space="0" w:color="auto"/>
              <w:left w:val="nil"/>
              <w:bottom w:val="single" w:sz="4" w:space="0" w:color="auto"/>
              <w:right w:val="single" w:sz="4" w:space="0" w:color="auto"/>
            </w:tcBorders>
            <w:vAlign w:val="center"/>
          </w:tcPr>
          <w:p w14:paraId="6C7DFC9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Oxygen/</w:t>
            </w:r>
            <w:r w:rsidRPr="00C4287A">
              <w:rPr>
                <w:rFonts w:ascii="Times New Roman" w:hAnsi="Times New Roman" w:cs="Times New Roman"/>
                <w:color w:val="000000"/>
                <w:sz w:val="18"/>
                <w:szCs w:val="18"/>
                <w:lang w:val="en-GB"/>
              </w:rPr>
              <w:br/>
              <w:t>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02F75"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{"citationItems":[{"id":"ITEM-1","itemData":{"abstract":"This game can be conducted with as many as 50 and as few as 15 players. The optimum size includes 4-5 Board members and 4-6 participants in each of the four small-group scenarios. The game takes about 11/2-2 hours to play. This includes a break between Part I and Part II. Existing state and national laws and policies are used in the game so that participants may understand their effects and limitations. The game has no winners or losers. Everyone gains if the decision markers are able to consider the needs of the individuals and the needs of the public, though some individuals may or may not benefit as much as others. This, however, is reality and is inherent in the policy-making process. In primary care, nurse practitioners (NPs) have a crucial responsibility to weigh the impact of their decisions on their clients and the community. The \"Inside Story\" integrates recommended NP curriculum content such as ethical decision making and health policy into a creative and powerful educational experience. This simulation game could be adapted for other topics with ethical, legal, and political implications such as issues regarding allocation of scarce resources. It could be played among students or professionals from many disciplines as part of their curriculum or in a continuing education offering.","author":[{"dropping-particle":"","family":"Tukker","given":"A","non-dropping-particle":"","parse-names":false,"suffix":""},{"dropping-particle":"De","family":"Groot","given":"H","non-dropping-particle":"","parse-names":false,"suffix":""},{"dropping-particle":"","family":"Simons","given":"IL","non-dropping-particle":"","parse-names":false,"suffix":""},{"dropping-particle":"","family":"Wiegersma","given":"S","non-dropping-particle":"","parse-names":false,"suffix":""}],"container-title":"Delft, the Netherland. TNO-","id":"ITEM-1","issued":{"date-parts":[["1999"]]},"number-of-pages":"7-107","title":"Chemical Recycling of Plastics Waste (PVC and other resins)","type":"report"},"uris":["http://www.mendeley.com/documents/?uuid=22e64029-9aa8-4aec-bc10-09e8dd8a4a3a"]}],"mendeley":{"formattedCitation":"(Tukker et al. 1999)","plainTextFormattedCitation":"(Tukker et al. 1999)","previouslyFormattedCitation":"(Tukker et al. 1999)"},"properties":{"noteIndex":0},"schema":"https://github.com/citation-style-language/schema/raw/master/csl-citation.json"}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(Tukker et al. 1999)</w:t>
            </w:r>
            <w:r w:rsidRPr="00C4287A">
              <w:rPr>
                <w:rFonts w:ascii="Times New Roman" w:eastAsia="Times New Roman" w:hAnsi="Times New Roman" w:cs="Times New Roman"/>
                <w:color w:val="000000"/>
                <w:sz w:val="18"/>
                <w:szCs w:val="18"/>
                <w:lang w:val="en-GB"/>
              </w:rPr>
              <w:fldChar w:fldCharType="end"/>
            </w:r>
          </w:p>
        </w:tc>
      </w:tr>
      <w:tr w:rsidR="00491F49" w:rsidRPr="00C4287A" w14:paraId="272C2AFA"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700D1D0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G15</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421F456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4B71CC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FD797E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CEBF0D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283DD4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7CC867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FF0000"/>
            <w:noWrap/>
            <w:vAlign w:val="center"/>
            <w:hideMark/>
          </w:tcPr>
          <w:p w14:paraId="2C50753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xml:space="preserve"> -</w:t>
            </w:r>
            <w:r w:rsidRPr="00C4287A">
              <w:rPr>
                <w:rFonts w:ascii="Times New Roman" w:hAnsi="Times New Roman" w:cs="Times New Roman"/>
                <w:b/>
                <w:bCs/>
                <w:color w:val="000000"/>
                <w:sz w:val="18"/>
                <w:szCs w:val="18"/>
                <w:vertAlign w:val="superscript"/>
                <w:lang w:val="en-GB"/>
              </w:rPr>
              <w:t>16</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5AE09A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auto"/>
            <w:noWrap/>
            <w:vAlign w:val="center"/>
            <w:hideMark/>
          </w:tcPr>
          <w:p w14:paraId="20B57F33" w14:textId="77777777" w:rsidR="00491F49" w:rsidRPr="00C4287A" w:rsidRDefault="00491F49" w:rsidP="00012FBD">
            <w:pPr>
              <w:spacing w:after="0" w:line="240" w:lineRule="auto"/>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1267" w:type="pct"/>
            <w:tcBorders>
              <w:top w:val="nil"/>
              <w:left w:val="nil"/>
              <w:bottom w:val="single" w:sz="4" w:space="0" w:color="auto"/>
              <w:right w:val="single" w:sz="4" w:space="0" w:color="auto"/>
            </w:tcBorders>
            <w:shd w:val="clear" w:color="auto" w:fill="auto"/>
            <w:noWrap/>
            <w:vAlign w:val="center"/>
            <w:hideMark/>
          </w:tcPr>
          <w:p w14:paraId="6DDD831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Mixed polymer waste </w:t>
            </w:r>
          </w:p>
          <w:p w14:paraId="65FB191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Particle size &gt; 2 and &lt; 8 cm </w:t>
            </w:r>
          </w:p>
          <w:p w14:paraId="6CFD89F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16</w:t>
            </w:r>
            <w:r w:rsidRPr="00C4287A">
              <w:rPr>
                <w:rFonts w:ascii="Times New Roman" w:hAnsi="Times New Roman" w:cs="Times New Roman"/>
                <w:color w:val="000000"/>
                <w:sz w:val="18"/>
                <w:szCs w:val="18"/>
                <w:lang w:val="en-GB"/>
              </w:rPr>
              <w:t>Chlor &lt; 2%</w:t>
            </w:r>
          </w:p>
        </w:tc>
        <w:tc>
          <w:tcPr>
            <w:tcW w:w="523" w:type="pct"/>
            <w:tcBorders>
              <w:top w:val="single" w:sz="4" w:space="0" w:color="auto"/>
              <w:left w:val="nil"/>
              <w:bottom w:val="single" w:sz="4" w:space="0" w:color="auto"/>
              <w:right w:val="single" w:sz="4" w:space="0" w:color="auto"/>
            </w:tcBorders>
            <w:vAlign w:val="center"/>
          </w:tcPr>
          <w:p w14:paraId="55A4004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AD14D"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{"citationItems":[{"id":"ITEM-1","itemData":{"abstract":"This game can be conducted with as many as 50 and as few as 15 players. The optimum size includes 4-5 Board members and 4-6 participants in each of the four small-group scenarios. The game takes about 11/2-2 hours to play. This includes a break between Part I and Part II. Existing state and national laws and policies are used in the game so that participants may understand their effects and limitations. The game has no winners or losers. Everyone gains if the decision markers are able to consider the needs of the individuals and the needs of the public, though some individuals may or may not benefit as much as others. This, however, is reality and is inherent in the policy-making process. In primary care, nurse practitioners (NPs) have a crucial responsibility to weigh the impact of their decisions on their clients and the community. The \"Inside Story\" integrates recommended NP curriculum content such as ethical decision making and health policy into a creative and powerful educational experience. This simulation game could be adapted for other topics with ethical, legal, and political implications such as issues regarding allocation of scarce resources. It could be played among students or professionals from many disciplines as part of their curriculum or in a continuing education offering.","author":[{"dropping-particle":"","family":"Tukker","given":"A","non-dropping-particle":"","parse-names":false,"suffix":""},{"dropping-particle":"De","family":"Groot","given":"H","non-dropping-particle":"","parse-names":false,"suffix":""},{"dropping-particle":"","family":"Simons","given":"IL","non-dropping-particle":"","parse-names":false,"suffix":""},{"dropping-particle":"","family":"Wiegersma","given":"S","non-dropping-particle":"","parse-names":false,"suffix":""}],"container-title":"Delft, the Netherland. TNO-","id":"ITEM-1","issued":{"date-parts":[["1999"]]},"number-of-pages":"7-107","title":"Chemical Recycling of Plastics Waste (PVC and other resins)","type":"report"},"uris":["http://www.mendeley.com/documents/?uuid=22e64029-9aa8-4aec-bc10-09e8dd8a4a3a"]}],"mendeley":{"formattedCitation":"(Tukker et al. 1999)","plainTextFormattedCitation":"(Tukker et al. 1999)","previouslyFormattedCitation":"(Tukker et al. 1999)"},"properties":{"noteIndex":0},"schema":"https://github.com/citation-style-language/schema/raw/master/csl-citation.json"}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(Tukker et al. 1999)</w:t>
            </w:r>
            <w:r w:rsidRPr="00C4287A">
              <w:rPr>
                <w:rFonts w:ascii="Times New Roman" w:eastAsia="Times New Roman" w:hAnsi="Times New Roman" w:cs="Times New Roman"/>
                <w:color w:val="000000"/>
                <w:sz w:val="18"/>
                <w:szCs w:val="18"/>
                <w:lang w:val="en-GB"/>
              </w:rPr>
              <w:fldChar w:fldCharType="end"/>
            </w:r>
          </w:p>
        </w:tc>
      </w:tr>
      <w:tr w:rsidR="00491F49" w:rsidRPr="00C4287A" w14:paraId="298B6877"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64796E8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G16</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2192AD67"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Akzo Nobel</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313194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EBD1F2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86189D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auto"/>
            <w:noWrap/>
            <w:vAlign w:val="center"/>
            <w:hideMark/>
          </w:tcPr>
          <w:p w14:paraId="70F0DE8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6396E04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E2EFD9" w:themeFill="accent6" w:themeFillTint="33"/>
            <w:noWrap/>
            <w:vAlign w:val="center"/>
            <w:hideMark/>
          </w:tcPr>
          <w:p w14:paraId="2E27C769"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17</w:t>
            </w:r>
          </w:p>
        </w:tc>
        <w:tc>
          <w:tcPr>
            <w:tcW w:w="224" w:type="pct"/>
            <w:tcBorders>
              <w:top w:val="nil"/>
              <w:left w:val="nil"/>
              <w:bottom w:val="single" w:sz="4" w:space="0" w:color="auto"/>
              <w:right w:val="single" w:sz="4" w:space="0" w:color="auto"/>
            </w:tcBorders>
            <w:shd w:val="clear" w:color="auto" w:fill="auto"/>
            <w:noWrap/>
            <w:vAlign w:val="center"/>
            <w:hideMark/>
          </w:tcPr>
          <w:p w14:paraId="4719CE0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401B5F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r w:rsidRPr="00C4287A">
              <w:rPr>
                <w:rFonts w:ascii="Times New Roman" w:hAnsi="Times New Roman" w:cs="Times New Roman"/>
                <w:b/>
                <w:bCs/>
                <w:color w:val="000000"/>
                <w:sz w:val="18"/>
                <w:szCs w:val="18"/>
                <w:vertAlign w:val="superscript"/>
                <w:lang w:val="en-GB"/>
              </w:rPr>
              <w:t>18</w:t>
            </w:r>
          </w:p>
        </w:tc>
        <w:tc>
          <w:tcPr>
            <w:tcW w:w="1267" w:type="pct"/>
            <w:tcBorders>
              <w:top w:val="nil"/>
              <w:left w:val="nil"/>
              <w:bottom w:val="single" w:sz="4" w:space="0" w:color="auto"/>
              <w:right w:val="single" w:sz="4" w:space="0" w:color="auto"/>
            </w:tcBorders>
            <w:shd w:val="clear" w:color="auto" w:fill="auto"/>
            <w:noWrap/>
            <w:vAlign w:val="center"/>
            <w:hideMark/>
          </w:tcPr>
          <w:p w14:paraId="10AD986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17</w:t>
            </w:r>
            <w:r w:rsidRPr="00C4287A">
              <w:rPr>
                <w:rFonts w:ascii="Times New Roman" w:hAnsi="Times New Roman" w:cs="Times New Roman"/>
                <w:color w:val="000000"/>
                <w:sz w:val="18"/>
                <w:szCs w:val="18"/>
                <w:lang w:val="en-GB"/>
              </w:rPr>
              <w:t>PVC &lt; 40%</w:t>
            </w:r>
          </w:p>
          <w:p w14:paraId="6EBC3D3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18</w:t>
            </w:r>
            <w:r w:rsidRPr="00C4287A">
              <w:rPr>
                <w:rFonts w:ascii="Times New Roman" w:hAnsi="Times New Roman" w:cs="Times New Roman"/>
                <w:color w:val="000000"/>
                <w:sz w:val="18"/>
                <w:szCs w:val="18"/>
                <w:lang w:val="en-GB"/>
              </w:rPr>
              <w:t xml:space="preserve">Accepts inorganic filters up to 25% of input material </w:t>
            </w:r>
          </w:p>
          <w:p w14:paraId="4685881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18</w:t>
            </w:r>
            <w:r w:rsidRPr="00C4287A">
              <w:rPr>
                <w:rFonts w:ascii="Times New Roman" w:hAnsi="Times New Roman" w:cs="Times New Roman"/>
                <w:color w:val="000000"/>
                <w:sz w:val="18"/>
                <w:szCs w:val="18"/>
                <w:lang w:val="en-GB"/>
              </w:rPr>
              <w:t>&lt; 25% of inorganic material</w:t>
            </w:r>
          </w:p>
        </w:tc>
        <w:tc>
          <w:tcPr>
            <w:tcW w:w="523" w:type="pct"/>
            <w:tcBorders>
              <w:top w:val="single" w:sz="4" w:space="0" w:color="auto"/>
              <w:left w:val="nil"/>
              <w:bottom w:val="single" w:sz="4" w:space="0" w:color="auto"/>
              <w:right w:val="single" w:sz="4" w:space="0" w:color="auto"/>
            </w:tcBorders>
            <w:vAlign w:val="center"/>
          </w:tcPr>
          <w:p w14:paraId="0BC22F2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Nitrogen/</w:t>
            </w:r>
          </w:p>
          <w:p w14:paraId="3396998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C5451"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{"citationItems":[{"id":"ITEM-1","itemData":{"abstract":"This game can be conducted with as many as 50 and as few as 15 players. The optimum size includes 4-5 Board members and 4-6 participants in each of the four small-group scenarios. The game takes about 11/2-2 hours to play. This includes a break between Part I and Part II. Existing state and national laws and policies are used in the game so that participants may understand their effects and limitations. The game has no winners or losers. Everyone gains if the decision markers are able to consider the needs of the individuals and the needs of the public, though some individuals may or may not benefit as much as others. This, however, is reality and is inherent in the policy-making process. In primary care, nurse practitioners (NPs) have a crucial responsibility to weigh the impact of their decisions on their clients and the community. The \"Inside Story\" integrates recommended NP curriculum content such as ethical decision making and health policy into a creative and powerful educational experience. This simulation game could be adapted for other topics with ethical, legal, and political implications such as issues regarding allocation of scarce resources. It could be played among students or professionals from many disciplines as part of their curriculum or in a continuing education offering.","author":[{"dropping-particle":"","family":"Tukker","given":"A","non-dropping-particle":"","parse-names":false,"suffix":""},{"dropping-particle":"De","family":"Groot","given":"H","non-dropping-particle":"","parse-names":false,"suffix":""},{"dropping-particle":"","family":"Simons","given":"IL","non-dropping-particle":"","parse-names":false,"suffix":""},{"dropping-particle":"","family":"Wiegersma","given":"S","non-dropping-particle":"","parse-names":false,"suffix":""}],"container-title":"Delft, the Netherland. TNO-","id":"ITEM-1","issued":{"date-parts":[["1999"]]},"number-of-pages":"7-107","title":"Chemical Recycling of Plastics Waste (PVC and other resins)","type":"report"},"uris":["http://www.mendeley.com/documents/?uuid=22e64029-9aa8-4aec-bc10-09e8dd8a4a3a"]}],"mendeley":{"formattedCitation":"(Tukker et al. 1999)","plainTextFormattedCitation":"(Tukker et al. 1999)","previouslyFormattedCitation":"(Tukker et al. 1999)"},"properties":{"noteIndex":0},"schema":"https://github.com/citation-style-language/schema/raw/master/csl-citation.json"}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(Tukker et al. 1999)</w:t>
            </w:r>
            <w:r w:rsidRPr="00C4287A">
              <w:rPr>
                <w:rFonts w:ascii="Times New Roman" w:eastAsia="Times New Roman" w:hAnsi="Times New Roman" w:cs="Times New Roman"/>
                <w:color w:val="000000"/>
                <w:sz w:val="18"/>
                <w:szCs w:val="18"/>
                <w:lang w:val="en-GB"/>
              </w:rPr>
              <w:fldChar w:fldCharType="end"/>
            </w:r>
          </w:p>
        </w:tc>
      </w:tr>
      <w:tr w:rsidR="00491F49" w:rsidRPr="00C4287A" w14:paraId="795AB949"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64336A2E"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G17</w:t>
            </w:r>
            <w:r w:rsidRPr="00C4287A">
              <w:rPr>
                <w:rFonts w:ascii="Times New Roman" w:hAnsi="Times New Roman" w:cs="Times New Roman"/>
                <w:color w:val="000000"/>
                <w:sz w:val="18"/>
                <w:szCs w:val="18"/>
                <w:vertAlign w:val="superscript"/>
                <w:lang w:val="en-GB"/>
              </w:rPr>
              <w:t xml:space="preserve"> T</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237D5575"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Linde KCA</w:t>
            </w:r>
          </w:p>
        </w:tc>
        <w:tc>
          <w:tcPr>
            <w:tcW w:w="224" w:type="pct"/>
            <w:tcBorders>
              <w:top w:val="nil"/>
              <w:left w:val="nil"/>
              <w:bottom w:val="single" w:sz="4" w:space="0" w:color="auto"/>
              <w:right w:val="single" w:sz="4" w:space="0" w:color="auto"/>
            </w:tcBorders>
            <w:shd w:val="clear" w:color="auto" w:fill="auto"/>
            <w:noWrap/>
            <w:vAlign w:val="center"/>
            <w:hideMark/>
          </w:tcPr>
          <w:p w14:paraId="1A442ED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44C4BC1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4A700EED"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47F974C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48012E7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05F511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19</w:t>
            </w:r>
          </w:p>
        </w:tc>
        <w:tc>
          <w:tcPr>
            <w:tcW w:w="224" w:type="pct"/>
            <w:tcBorders>
              <w:top w:val="nil"/>
              <w:left w:val="nil"/>
              <w:bottom w:val="single" w:sz="4" w:space="0" w:color="auto"/>
              <w:right w:val="single" w:sz="4" w:space="0" w:color="auto"/>
            </w:tcBorders>
            <w:shd w:val="clear" w:color="auto" w:fill="auto"/>
            <w:noWrap/>
            <w:vAlign w:val="center"/>
            <w:hideMark/>
          </w:tcPr>
          <w:p w14:paraId="13B7718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224" w:type="pct"/>
            <w:tcBorders>
              <w:top w:val="nil"/>
              <w:left w:val="nil"/>
              <w:bottom w:val="single" w:sz="4" w:space="0" w:color="auto"/>
              <w:right w:val="single" w:sz="4" w:space="0" w:color="auto"/>
            </w:tcBorders>
            <w:shd w:val="clear" w:color="auto" w:fill="auto"/>
            <w:noWrap/>
            <w:vAlign w:val="center"/>
            <w:hideMark/>
          </w:tcPr>
          <w:p w14:paraId="7F8AC6C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 </w:t>
            </w:r>
          </w:p>
        </w:tc>
        <w:tc>
          <w:tcPr>
            <w:tcW w:w="1267" w:type="pct"/>
            <w:tcBorders>
              <w:top w:val="nil"/>
              <w:left w:val="nil"/>
              <w:bottom w:val="single" w:sz="4" w:space="0" w:color="auto"/>
              <w:right w:val="single" w:sz="4" w:space="0" w:color="auto"/>
            </w:tcBorders>
            <w:shd w:val="clear" w:color="auto" w:fill="auto"/>
            <w:noWrap/>
            <w:vAlign w:val="center"/>
            <w:hideMark/>
          </w:tcPr>
          <w:p w14:paraId="09F84A0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vertAlign w:val="superscript"/>
                <w:lang w:val="en-GB"/>
              </w:rPr>
              <w:t>19</w:t>
            </w:r>
            <w:r w:rsidRPr="00C4287A">
              <w:rPr>
                <w:rFonts w:ascii="Times New Roman" w:hAnsi="Times New Roman" w:cs="Times New Roman"/>
                <w:color w:val="000000"/>
                <w:sz w:val="18"/>
                <w:szCs w:val="18"/>
                <w:lang w:val="en-GB"/>
              </w:rPr>
              <w:t>Separately collected PVC waste Ground and separated input material (separation of metals)</w:t>
            </w:r>
          </w:p>
        </w:tc>
        <w:tc>
          <w:tcPr>
            <w:tcW w:w="523" w:type="pct"/>
            <w:tcBorders>
              <w:top w:val="single" w:sz="4" w:space="0" w:color="auto"/>
              <w:left w:val="nil"/>
              <w:bottom w:val="single" w:sz="4" w:space="0" w:color="auto"/>
              <w:right w:val="single" w:sz="4" w:space="0" w:color="auto"/>
            </w:tcBorders>
            <w:vAlign w:val="center"/>
          </w:tcPr>
          <w:p w14:paraId="153D066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Oxygen/</w:t>
            </w:r>
            <w:r w:rsidRPr="00C4287A">
              <w:rPr>
                <w:rFonts w:ascii="Times New Roman" w:hAnsi="Times New Roman" w:cs="Times New Roman"/>
                <w:color w:val="000000"/>
                <w:sz w:val="18"/>
                <w:szCs w:val="18"/>
                <w:lang w:val="en-GB"/>
              </w:rPr>
              <w:br/>
              <w:t>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C3E31"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{"citationItems":[{"id":"ITEM-1","itemData":{"abstract":"This game can be conducted with as many as 50 and as few as 15 players. The optimum size includes 4-5 Board members and 4-6 participants in each of the four small-group scenarios. The game takes about 11/2-2 hours to play. This includes a break between Part I and Part II. Existing state and national laws and policies are used in the game so that participants may understand their effects and limitations. The game has no winners or losers. Everyone gains if the decision markers are able to consider the needs of the individuals and the needs of the public, though some individuals may or may not benefit as much as others. This, however, is reality and is inherent in the policy-making process. In primary care, nurse practitioners (NPs) have a crucial responsibility to weigh the impact of their decisions on their clients and the community. The \"Inside Story\" integrates recommended NP curriculum content such as ethical decision making and health policy into a creative and powerful educational experience. This simulation game could be adapted for other topics with ethical, legal, and political implications such as issues regarding allocation of scarce resources. It could be played among students or professionals from many disciplines as part of their curriculum or in a continuing education offering.","author":[{"dropping-particle":"","family":"Tukker","given":"A","non-dropping-particle":"","parse-names":false,"suffix":""},{"dropping-particle":"De","family":"Groot","given":"H","non-dropping-particle":"","parse-names":false,"suffix":""},{"dropping-particle":"","family":"Simons","given":"IL","non-dropping-particle":"","parse-names":false,"suffix":""},{"dropping-particle":"","family":"Wiegersma","given":"S","non-dropping-particle":"","parse-names":false,"suffix":""}],"container-title":"Delft, the Netherland. TNO-","id":"ITEM-1","issued":{"date-parts":[["1999"]]},"number-of-pages":"7-107","title":"Chemical Recycling of Plastics Waste (PVC and other resins)","type":"report"},"uris":["http://www.mendeley.com/documents/?uuid=22e64029-9aa8-4aec-bc10-09e8dd8a4a3a"]}],"mendeley":{"formattedCitation":"(Tukker et al. 1999)","plainTextFormattedCitation":"(Tukker et al. 1999)","previouslyFormattedCitation":"(Tukker et al. 1999)"},"properties":{"noteIndex":0},"schema":"https://github.com/citation-style-language/schema/raw/master/csl-citation.json"}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(Tukker et al. 1999)</w:t>
            </w:r>
            <w:r w:rsidRPr="00C4287A">
              <w:rPr>
                <w:rFonts w:ascii="Times New Roman" w:eastAsia="Times New Roman" w:hAnsi="Times New Roman" w:cs="Times New Roman"/>
                <w:color w:val="000000"/>
                <w:sz w:val="18"/>
                <w:szCs w:val="18"/>
                <w:lang w:val="en-GB"/>
              </w:rPr>
              <w:fldChar w:fldCharType="end"/>
            </w:r>
          </w:p>
        </w:tc>
      </w:tr>
      <w:tr w:rsidR="00491F49" w:rsidRPr="00C4287A" w14:paraId="59560B9F"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8831D6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G18</w:t>
            </w:r>
            <w:r w:rsidRPr="00C4287A">
              <w:rPr>
                <w:rFonts w:ascii="Times New Roman" w:hAnsi="Times New Roman" w:cs="Times New Roman"/>
                <w:color w:val="000000"/>
                <w:sz w:val="18"/>
                <w:szCs w:val="18"/>
                <w:vertAlign w:val="superscript"/>
                <w:lang w:val="en-GB"/>
              </w:rPr>
              <w:t xml:space="preserve"> P</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490BEA3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InEnTec</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925D64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B99B9B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37627C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6E0BAA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665B62B"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70A621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462F23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2F2EF3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20</w:t>
            </w:r>
          </w:p>
        </w:tc>
        <w:tc>
          <w:tcPr>
            <w:tcW w:w="1267" w:type="pct"/>
            <w:tcBorders>
              <w:top w:val="nil"/>
              <w:left w:val="nil"/>
              <w:bottom w:val="single" w:sz="4" w:space="0" w:color="auto"/>
              <w:right w:val="single" w:sz="4" w:space="0" w:color="auto"/>
            </w:tcBorders>
            <w:shd w:val="clear" w:color="auto" w:fill="auto"/>
            <w:noWrap/>
            <w:vAlign w:val="center"/>
            <w:hideMark/>
          </w:tcPr>
          <w:p w14:paraId="1CD0C70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vertAlign w:val="superscript"/>
                <w:lang w:val="en-GB"/>
              </w:rPr>
              <w:t>20</w:t>
            </w:r>
            <w:r w:rsidRPr="00C4287A">
              <w:rPr>
                <w:rFonts w:ascii="Times New Roman" w:hAnsi="Times New Roman" w:cs="Times New Roman"/>
                <w:color w:val="000000"/>
                <w:sz w:val="18"/>
                <w:szCs w:val="18"/>
                <w:lang w:val="en-GB"/>
              </w:rPr>
              <w:t xml:space="preserve">Input material from municipal waste </w:t>
            </w:r>
          </w:p>
          <w:p w14:paraId="10706FE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Ground input material</w:t>
            </w:r>
          </w:p>
        </w:tc>
        <w:tc>
          <w:tcPr>
            <w:tcW w:w="523" w:type="pct"/>
            <w:tcBorders>
              <w:top w:val="single" w:sz="4" w:space="0" w:color="auto"/>
              <w:left w:val="nil"/>
              <w:bottom w:val="single" w:sz="4" w:space="0" w:color="auto"/>
              <w:right w:val="single" w:sz="4" w:space="0" w:color="auto"/>
            </w:tcBorders>
            <w:vAlign w:val="center"/>
          </w:tcPr>
          <w:p w14:paraId="4480A26A"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Oxygen/</w:t>
            </w:r>
            <w:r w:rsidRPr="00C4287A">
              <w:rPr>
                <w:rFonts w:ascii="Times New Roman" w:hAnsi="Times New Roman" w:cs="Times New Roman"/>
                <w:color w:val="000000"/>
                <w:sz w:val="18"/>
                <w:szCs w:val="18"/>
                <w:lang w:val="en-GB"/>
              </w:rPr>
              <w:br/>
              <w:t>steam</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3A5A3"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{"citationItems":[{"id":"ITEM-1","itemData":{"abstract":"Technical and economic analysis of thermal plasma–assisted Waste-to-Energy 2 EXECUTIVE SUMMARY Increasing interest is focusing on plasma-assisted gasification applied to the treatment of municipal solid waste (MSW), especially as it may be a new way to increase Waste-to-Energy (WTE) worldwide. The aim of this thesis was to investigate different such processes under development and their technical and economic viability. In a simplistic view, a plasma torch is a way to generate heat, via the passage of an electric current through a gas flow. Plasma technology has been used for a long time for surface coating and for destruction of hazardous wastes but its application to MSW has not been explored fully because of the high cost of using electricity as a source of energy. Plasma used entirely for the processing of MSW, i.e. in the absence of partial combustion, was not considered in this study, as it will not be economically feasible for MSW. Hence, we examined what may be called \" plasma-assisted gasification \" in a WTE process that combines the use of plasma with partial oxidation of the hydrocarbons in MSW. The idea is to produce a syngas (synthetic gas) from the gasification of the waste. The plasma heat is used to either provide the heat for gasification, to \"polish\" the syngas, and/or to vitrify the ash product of the gasification process. The syngas product is combusted in a gas engine or turbine generator onsite to produce electricity. Although there are some alternatives uses of syngas, e.g. ethanol production, they were not considered in our study. Some of the thermal energy in the gas stream can be also recovered in a steam boiler and the steam used to produce additional electricity.","author":[{"dropping-particle":"","family":"Caroline Ducharme","given":"","non-dropping-particle":"","parse-names":false,"suffix":""},{"dropping-particle":"","family":"Themelis","given":"Nickolas J","non-dropping-particle":"","parse-names":false,"suffix":""},{"dropping-particle":"","family":"Castaldi","given":"Marco J","non-dropping-particle":"","parse-names":false,"suffix":""}],"id":"ITEM-1","issue":"September","issued":{"date-parts":[["2010"]]},"number-of-pages":"1-75","title":"Technical and economic analysis of Plasma-assisted Waste-to-Energy processes","type":"thesis"},"uris":["http://www.mendeley.com/documents/?uuid=2083c397-b3a8-4450-8bbf-c80c380a19b6"]}],"mendeley":{"formattedCitation":"(Caroline Ducharme et al. 2010)","plainTextFormattedCitation":"(Caroline Ducharme et al. 2010)","previouslyFormattedCitation":"(Caroline Ducharme et al. 2010)"},"properties":{"noteIndex":0},"schema":"https://github.com/citation-style-language/schema/raw/master/csl-citation.json"}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(Caroline Ducharme et al. 2010)</w:t>
            </w:r>
            <w:r w:rsidRPr="00C4287A">
              <w:rPr>
                <w:rFonts w:ascii="Times New Roman" w:eastAsia="Times New Roman" w:hAnsi="Times New Roman" w:cs="Times New Roman"/>
                <w:color w:val="000000"/>
                <w:sz w:val="18"/>
                <w:szCs w:val="18"/>
                <w:lang w:val="en-GB"/>
              </w:rPr>
              <w:fldChar w:fldCharType="end"/>
            </w:r>
          </w:p>
        </w:tc>
      </w:tr>
      <w:tr w:rsidR="00491F49" w:rsidRPr="00C4287A" w14:paraId="7FDEC909"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5508AF72"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G19</w:t>
            </w:r>
            <w:r w:rsidRPr="00C4287A">
              <w:rPr>
                <w:rFonts w:ascii="Times New Roman" w:hAnsi="Times New Roman" w:cs="Times New Roman"/>
                <w:color w:val="000000"/>
                <w:sz w:val="18"/>
                <w:szCs w:val="18"/>
                <w:vertAlign w:val="superscript"/>
                <w:lang w:val="en-GB"/>
              </w:rPr>
              <w:t xml:space="preserve"> P</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493F9CB4"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Alter NRG/ Westinghouse Plasma Corporation</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86B7BA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E72D25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5FB2672"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EFEC60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EFF892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C3D871E"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F755D9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49465F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21</w:t>
            </w:r>
          </w:p>
        </w:tc>
        <w:tc>
          <w:tcPr>
            <w:tcW w:w="1267" w:type="pct"/>
            <w:tcBorders>
              <w:top w:val="nil"/>
              <w:left w:val="nil"/>
              <w:bottom w:val="single" w:sz="4" w:space="0" w:color="auto"/>
              <w:right w:val="single" w:sz="4" w:space="0" w:color="auto"/>
            </w:tcBorders>
            <w:shd w:val="clear" w:color="auto" w:fill="auto"/>
            <w:noWrap/>
            <w:vAlign w:val="center"/>
            <w:hideMark/>
          </w:tcPr>
          <w:p w14:paraId="5C177A3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vertAlign w:val="superscript"/>
                <w:lang w:val="en-GB"/>
              </w:rPr>
              <w:t>21</w:t>
            </w:r>
            <w:r w:rsidRPr="00C4287A">
              <w:rPr>
                <w:rFonts w:ascii="Times New Roman" w:hAnsi="Times New Roman" w:cs="Times New Roman"/>
                <w:color w:val="000000"/>
                <w:sz w:val="18"/>
                <w:szCs w:val="18"/>
                <w:lang w:val="en-GB"/>
              </w:rPr>
              <w:t xml:space="preserve">Input material from municipal waste </w:t>
            </w:r>
          </w:p>
          <w:p w14:paraId="0BB925A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Ground input material</w:t>
            </w:r>
          </w:p>
        </w:tc>
        <w:tc>
          <w:tcPr>
            <w:tcW w:w="523" w:type="pct"/>
            <w:tcBorders>
              <w:top w:val="single" w:sz="4" w:space="0" w:color="auto"/>
              <w:left w:val="nil"/>
              <w:bottom w:val="single" w:sz="4" w:space="0" w:color="auto"/>
              <w:right w:val="single" w:sz="4" w:space="0" w:color="auto"/>
            </w:tcBorders>
            <w:vAlign w:val="center"/>
          </w:tcPr>
          <w:p w14:paraId="58E6CABD"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CA8A7"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{"citationItems":[{"id":"ITEM-1","itemData":{"abstract":"Technical and economic analysis of thermal plasma–assisted Waste-to-Energy 2 EXECUTIVE SUMMARY Increasing interest is focusing on plasma-assisted gasification applied to the treatment of municipal solid waste (MSW), especially as it may be a new way to increase Waste-to-Energy (WTE) worldwide. The aim of this thesis was to investigate different such processes under development and their technical and economic viability. In a simplistic view, a plasma torch is a way to generate heat, via the passage of an electric current through a gas flow. Plasma technology has been used for a long time for surface coating and for destruction of hazardous wastes but its application to MSW has not been explored fully because of the high cost of using electricity as a source of energy. Plasma used entirely for the processing of MSW, i.e. in the absence of partial combustion, was not considered in this study, as it will not be economically feasible for MSW. Hence, we examined what may be called \" plasma-assisted gasification \" in a WTE process that combines the use of plasma with partial oxidation of the hydrocarbons in MSW. The idea is to produce a syngas (synthetic gas) from the gasification of the waste. The plasma heat is used to either provide the heat for gasification, to \"polish\" the syngas, and/or to vitrify the ash product of the gasification process. The syngas product is combusted in a gas engine or turbine generator onsite to produce electricity. Although there are some alternatives uses of syngas, e.g. ethanol production, they were not considered in our study. Some of the thermal energy in the gas stream can be also recovered in a steam boiler and the steam used to produce additional electricity.","author":[{"dropping-particle":"","family":"Caroline Ducharme","given":"","non-dropping-particle":"","parse-names":false,"suffix":""},{"dropping-particle":"","family":"Themelis","given":"Nickolas J","non-dropping-particle":"","parse-names":false,"suffix":""},{"dropping-particle":"","family":"Castaldi","given":"Marco J","non-dropping-particle":"","parse-names":false,"suffix":""}],"id":"ITEM-1","issue":"September","issued":{"date-parts":[["2010"]]},"number-of-pages":"1-75","title":"Technical and economic analysis of Plasma-assisted Waste-to-Energy processes","type":"thesis"},"uris":["http://www.mendeley.com/documents/?uuid=2083c397-b3a8-4450-8bbf-c80c380a19b6"]}],"mendeley":{"formattedCitation":"(Caroline Ducharme et al. 2010)","plainTextFormattedCitation":"(Caroline Ducharme et al. 2010)","previouslyFormattedCitation":"(Caroline Ducharme et al. 2010)"},"properties":{"noteIndex":0},"schema":"https://github.com/citation-style-language/schema/raw/master/csl-citation.json"}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(Caroline Ducharme et al. 2010)</w:t>
            </w:r>
            <w:r w:rsidRPr="00C4287A">
              <w:rPr>
                <w:rFonts w:ascii="Times New Roman" w:eastAsia="Times New Roman" w:hAnsi="Times New Roman" w:cs="Times New Roman"/>
                <w:color w:val="000000"/>
                <w:sz w:val="18"/>
                <w:szCs w:val="18"/>
                <w:lang w:val="en-GB"/>
              </w:rPr>
              <w:fldChar w:fldCharType="end"/>
            </w:r>
          </w:p>
        </w:tc>
      </w:tr>
      <w:tr w:rsidR="00491F49" w:rsidRPr="00C4287A" w14:paraId="53FC8D17"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20D34B38"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G20</w:t>
            </w:r>
            <w:r w:rsidRPr="00C4287A">
              <w:rPr>
                <w:rFonts w:ascii="Times New Roman" w:hAnsi="Times New Roman" w:cs="Times New Roman"/>
                <w:color w:val="000000"/>
                <w:sz w:val="18"/>
                <w:szCs w:val="18"/>
                <w:vertAlign w:val="superscript"/>
                <w:lang w:val="en-GB"/>
              </w:rPr>
              <w:t xml:space="preserve"> P</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64F95B0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Europlasma</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D2580B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2C7EBA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AA7890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841CAC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1F0E302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E5B2B6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A9CEE5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416FD32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22</w:t>
            </w:r>
          </w:p>
        </w:tc>
        <w:tc>
          <w:tcPr>
            <w:tcW w:w="1267" w:type="pct"/>
            <w:tcBorders>
              <w:top w:val="nil"/>
              <w:left w:val="nil"/>
              <w:bottom w:val="single" w:sz="4" w:space="0" w:color="auto"/>
              <w:right w:val="single" w:sz="4" w:space="0" w:color="auto"/>
            </w:tcBorders>
            <w:shd w:val="clear" w:color="auto" w:fill="auto"/>
            <w:noWrap/>
            <w:vAlign w:val="center"/>
            <w:hideMark/>
          </w:tcPr>
          <w:p w14:paraId="7A0523D6"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vertAlign w:val="superscript"/>
                <w:lang w:val="en-GB"/>
              </w:rPr>
              <w:t>22</w:t>
            </w:r>
            <w:r w:rsidRPr="00C4287A">
              <w:rPr>
                <w:rFonts w:ascii="Times New Roman" w:hAnsi="Times New Roman" w:cs="Times New Roman"/>
                <w:color w:val="000000"/>
                <w:sz w:val="18"/>
                <w:szCs w:val="18"/>
                <w:lang w:val="en-GB"/>
              </w:rPr>
              <w:t>Input material from municipal waste and shredded tires</w:t>
            </w:r>
          </w:p>
          <w:p w14:paraId="323CB55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&lt;30% moisture</w:t>
            </w:r>
          </w:p>
        </w:tc>
        <w:tc>
          <w:tcPr>
            <w:tcW w:w="523" w:type="pct"/>
            <w:tcBorders>
              <w:top w:val="single" w:sz="4" w:space="0" w:color="auto"/>
              <w:left w:val="nil"/>
              <w:bottom w:val="single" w:sz="4" w:space="0" w:color="auto"/>
              <w:right w:val="single" w:sz="4" w:space="0" w:color="auto"/>
            </w:tcBorders>
            <w:vAlign w:val="center"/>
          </w:tcPr>
          <w:p w14:paraId="5E049F8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97D65"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{"citationItems":[{"id":"ITEM-1","itemData":{"abstract":"Technical and economic analysis of thermal plasma–assisted Waste-to-Energy 2 EXECUTIVE SUMMARY Increasing interest is focusing on plasma-assisted gasification applied to the treatment of municipal solid waste (MSW), especially as it may be a new way to increase Waste-to-Energy (WTE) worldwide. The aim of this thesis was to investigate different such processes under development and their technical and economic viability. In a simplistic view, a plasma torch is a way to generate heat, via the passage of an electric current through a gas flow. Plasma technology has been used for a long time for surface coating and for destruction of hazardous wastes but its application to MSW has not been explored fully because of the high cost of using electricity as a source of energy. Plasma used entirely for the processing of MSW, i.e. in the absence of partial combustion, was not considered in this study, as it will not be economically feasible for MSW. Hence, we examined what may be called \" plasma-assisted gasification \" in a WTE process that combines the use of plasma with partial oxidation of the hydrocarbons in MSW. The idea is to produce a syngas (synthetic gas) from the gasification of the waste. The plasma heat is used to either provide the heat for gasification, to \"polish\" the syngas, and/or to vitrify the ash product of the gasification process. The syngas product is combusted in a gas engine or turbine generator onsite to produce electricity. Although there are some alternatives uses of syngas, e.g. ethanol production, they were not considered in our study. Some of the thermal energy in the gas stream can be also recovered in a steam boiler and the steam used to produce additional electricity.","author":[{"dropping-particle":"","family":"Caroline Ducharme","given":"","non-dropping-particle":"","parse-names":false,"suffix":""},{"dropping-particle":"","family":"Themelis","given":"Nickolas J","non-dropping-particle":"","parse-names":false,"suffix":""},{"dropping-particle":"","family":"Castaldi","given":"Marco J","non-dropping-particle":"","parse-names":false,"suffix":""}],"id":"ITEM-1","issue":"September","issued":{"date-parts":[["2010"]]},"number-of-pages":"1-75","title":"Technical and economic analysis of Plasma-assisted Waste-to-Energy processes","type":"thesis"},"uris":["http://www.mendeley.com/documents/?uuid=2083c397-b3a8-4450-8bbf-c80c380a19b6"]}],"mendeley":{"formattedCitation":"(Caroline Ducharme et al. 2010)","plainTextFormattedCitation":"(Caroline Ducharme et al. 2010)","previouslyFormattedCitation":"(Caroline Ducharme et al. 2010)"},"properties":{"noteIndex":0},"schema":"https://github.com/citation-style-language/schema/raw/master/csl-citation.json"}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(Caroline Ducharme et al. 2010)</w:t>
            </w:r>
            <w:r w:rsidRPr="00C4287A">
              <w:rPr>
                <w:rFonts w:ascii="Times New Roman" w:eastAsia="Times New Roman" w:hAnsi="Times New Roman" w:cs="Times New Roman"/>
                <w:color w:val="000000"/>
                <w:sz w:val="18"/>
                <w:szCs w:val="18"/>
                <w:lang w:val="en-GB"/>
              </w:rPr>
              <w:fldChar w:fldCharType="end"/>
            </w:r>
          </w:p>
        </w:tc>
      </w:tr>
      <w:tr w:rsidR="00491F49" w:rsidRPr="00C4287A" w14:paraId="161F72B6" w14:textId="77777777" w:rsidTr="00012FBD">
        <w:trPr>
          <w:trHeight w:val="300"/>
          <w:jc w:val="center"/>
        </w:trPr>
        <w:tc>
          <w:tcPr>
            <w:tcW w:w="296" w:type="pct"/>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1ABD9FD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G21</w:t>
            </w:r>
            <w:r w:rsidRPr="00C4287A">
              <w:rPr>
                <w:rFonts w:ascii="Times New Roman" w:hAnsi="Times New Roman" w:cs="Times New Roman"/>
                <w:color w:val="000000"/>
                <w:sz w:val="18"/>
                <w:szCs w:val="18"/>
                <w:vertAlign w:val="superscript"/>
                <w:lang w:val="en-GB"/>
              </w:rPr>
              <w:t xml:space="preserve"> P</w:t>
            </w:r>
          </w:p>
        </w:tc>
        <w:tc>
          <w:tcPr>
            <w:tcW w:w="521" w:type="pct"/>
            <w:tcBorders>
              <w:top w:val="nil"/>
              <w:left w:val="nil"/>
              <w:bottom w:val="single" w:sz="4" w:space="0" w:color="auto"/>
              <w:right w:val="single" w:sz="4" w:space="0" w:color="auto"/>
            </w:tcBorders>
            <w:shd w:val="clear" w:color="auto" w:fill="A8D08D" w:themeFill="accent6" w:themeFillTint="99"/>
            <w:noWrap/>
            <w:vAlign w:val="center"/>
            <w:hideMark/>
          </w:tcPr>
          <w:p w14:paraId="77AAF2C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Geoplasma</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74314C34"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2456DD7"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5C9389D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31B50C0"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69F59B3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0E5028B5"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3436632C"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nil"/>
              <w:left w:val="nil"/>
              <w:bottom w:val="single" w:sz="4" w:space="0" w:color="auto"/>
              <w:right w:val="single" w:sz="4" w:space="0" w:color="auto"/>
            </w:tcBorders>
            <w:shd w:val="clear" w:color="auto" w:fill="70AD47" w:themeFill="accent6"/>
            <w:noWrap/>
            <w:vAlign w:val="center"/>
            <w:hideMark/>
          </w:tcPr>
          <w:p w14:paraId="25876A6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23</w:t>
            </w:r>
          </w:p>
        </w:tc>
        <w:tc>
          <w:tcPr>
            <w:tcW w:w="1267" w:type="pct"/>
            <w:tcBorders>
              <w:top w:val="nil"/>
              <w:left w:val="nil"/>
              <w:bottom w:val="single" w:sz="4" w:space="0" w:color="auto"/>
              <w:right w:val="single" w:sz="4" w:space="0" w:color="auto"/>
            </w:tcBorders>
            <w:shd w:val="clear" w:color="auto" w:fill="auto"/>
            <w:noWrap/>
            <w:vAlign w:val="center"/>
            <w:hideMark/>
          </w:tcPr>
          <w:p w14:paraId="5709959B"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 xml:space="preserve">Adding slaked lime and coke to the input material </w:t>
            </w:r>
            <w:r w:rsidRPr="00C4287A">
              <w:rPr>
                <w:rFonts w:ascii="Times New Roman" w:hAnsi="Times New Roman" w:cs="Times New Roman"/>
                <w:b/>
                <w:bCs/>
                <w:color w:val="000000"/>
                <w:sz w:val="18"/>
                <w:szCs w:val="18"/>
                <w:vertAlign w:val="superscript"/>
                <w:lang w:val="en-GB"/>
              </w:rPr>
              <w:t>23</w:t>
            </w:r>
            <w:r w:rsidRPr="00C4287A">
              <w:rPr>
                <w:rFonts w:ascii="Times New Roman" w:hAnsi="Times New Roman" w:cs="Times New Roman"/>
                <w:color w:val="000000"/>
                <w:sz w:val="18"/>
                <w:szCs w:val="18"/>
                <w:lang w:val="en-GB"/>
              </w:rPr>
              <w:t>Input material from municipal waste, construction waste, and tires</w:t>
            </w:r>
          </w:p>
        </w:tc>
        <w:tc>
          <w:tcPr>
            <w:tcW w:w="523" w:type="pct"/>
            <w:tcBorders>
              <w:top w:val="single" w:sz="4" w:space="0" w:color="auto"/>
              <w:left w:val="nil"/>
              <w:bottom w:val="single" w:sz="4" w:space="0" w:color="auto"/>
              <w:right w:val="single" w:sz="4" w:space="0" w:color="auto"/>
            </w:tcBorders>
            <w:vAlign w:val="center"/>
          </w:tcPr>
          <w:p w14:paraId="25BD513F"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Air</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2B3FA"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{"citationItems":[{"id":"ITEM-1","itemData":{"author":[{"dropping-particle":"","family":"American Chemistry Council","given":"","non-dropping-particle":"","parse-names":false,"suffix":""},{"dropping-particle":"","family":"RTI International","given":"","non-dropping-particle":"","parse-names":false,"suffix":""}],"id":"ITEM-1","issue":"0212876","issued":{"date-parts":[["2012"]]},"page":"65","title":"Environmental and Economic Analysis of Emerging Plastics Conversion Technologies Final Project Report Prepared for American Chemistry Council 700 2","type":"article-journal"},"uris":["http://www.mendeley.com/documents/?uuid=f6d1520a-4dc9-44bd-aaef-db76b2f9a18f"]}],"mendeley":{"formattedCitation":"(American Chemistry Council and RTI International 2012)","plainTextFormattedCitation":"(American Chemistry Council and RTI International 2012)","previouslyFormattedCitation":"(American Chemistry Council and RTI International 2012)"},"properties":{"noteIndex":0},"schema":"https://github.com/citation-style-language/schema/raw/master/csl-citation.json"}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(American Chemistry Council and RTI International 2012)</w:t>
            </w:r>
            <w:r w:rsidRPr="00C4287A">
              <w:rPr>
                <w:rFonts w:ascii="Times New Roman" w:eastAsia="Times New Roman" w:hAnsi="Times New Roman" w:cs="Times New Roman"/>
                <w:color w:val="000000"/>
                <w:sz w:val="18"/>
                <w:szCs w:val="18"/>
                <w:lang w:val="en-GB"/>
              </w:rPr>
              <w:fldChar w:fldCharType="end"/>
            </w:r>
          </w:p>
        </w:tc>
      </w:tr>
      <w:tr w:rsidR="00491F49" w:rsidRPr="00C4287A" w14:paraId="04D27D54" w14:textId="77777777" w:rsidTr="00012FBD">
        <w:trPr>
          <w:trHeight w:val="300"/>
          <w:jc w:val="center"/>
        </w:trPr>
        <w:tc>
          <w:tcPr>
            <w:tcW w:w="296"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4F807161"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G22</w:t>
            </w:r>
            <w:r w:rsidRPr="00C4287A">
              <w:rPr>
                <w:rFonts w:ascii="Times New Roman" w:hAnsi="Times New Roman" w:cs="Times New Roman"/>
                <w:color w:val="000000"/>
                <w:sz w:val="18"/>
                <w:szCs w:val="18"/>
                <w:vertAlign w:val="superscript"/>
                <w:lang w:val="en-GB"/>
              </w:rPr>
              <w:t xml:space="preserve"> T</w:t>
            </w:r>
          </w:p>
        </w:tc>
        <w:tc>
          <w:tcPr>
            <w:tcW w:w="521" w:type="pct"/>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0D8A7819"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Ankur Energy Technology</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142E131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469F92E1"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72D291AF"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132BDF83"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152A5EA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157E4A78"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28FBA59A"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p>
        </w:tc>
        <w:tc>
          <w:tcPr>
            <w:tcW w:w="224" w:type="pct"/>
            <w:tcBorders>
              <w:top w:val="single" w:sz="4" w:space="0" w:color="auto"/>
              <w:left w:val="nil"/>
              <w:bottom w:val="single" w:sz="4" w:space="0" w:color="auto"/>
              <w:right w:val="single" w:sz="4" w:space="0" w:color="auto"/>
            </w:tcBorders>
            <w:shd w:val="clear" w:color="auto" w:fill="70AD47" w:themeFill="accent6"/>
            <w:noWrap/>
            <w:vAlign w:val="center"/>
          </w:tcPr>
          <w:p w14:paraId="590CCDC6" w14:textId="77777777" w:rsidR="00491F49" w:rsidRPr="00C4287A" w:rsidRDefault="00491F49" w:rsidP="00012FBD">
            <w:pPr>
              <w:spacing w:after="0" w:line="240" w:lineRule="auto"/>
              <w:jc w:val="center"/>
              <w:rPr>
                <w:rFonts w:ascii="Times New Roman" w:hAnsi="Times New Roman" w:cs="Times New Roman"/>
                <w:b/>
                <w:bCs/>
                <w:color w:val="000000"/>
                <w:sz w:val="18"/>
                <w:szCs w:val="18"/>
                <w:lang w:val="en-GB"/>
              </w:rPr>
            </w:pPr>
            <w:r w:rsidRPr="00C4287A">
              <w:rPr>
                <w:rFonts w:ascii="Times New Roman" w:hAnsi="Times New Roman" w:cs="Times New Roman"/>
                <w:b/>
                <w:bCs/>
                <w:color w:val="000000"/>
                <w:sz w:val="18"/>
                <w:szCs w:val="18"/>
                <w:lang w:val="en-GB"/>
              </w:rPr>
              <w:t>+</w:t>
            </w:r>
            <w:r w:rsidRPr="00C4287A">
              <w:rPr>
                <w:rFonts w:ascii="Times New Roman" w:hAnsi="Times New Roman" w:cs="Times New Roman"/>
                <w:b/>
                <w:bCs/>
                <w:color w:val="000000"/>
                <w:sz w:val="18"/>
                <w:szCs w:val="18"/>
                <w:vertAlign w:val="superscript"/>
                <w:lang w:val="en-GB"/>
              </w:rPr>
              <w:t>24</w:t>
            </w:r>
          </w:p>
        </w:tc>
        <w:tc>
          <w:tcPr>
            <w:tcW w:w="1267" w:type="pct"/>
            <w:tcBorders>
              <w:top w:val="single" w:sz="4" w:space="0" w:color="auto"/>
              <w:left w:val="nil"/>
              <w:bottom w:val="single" w:sz="4" w:space="0" w:color="auto"/>
              <w:right w:val="single" w:sz="4" w:space="0" w:color="auto"/>
            </w:tcBorders>
            <w:shd w:val="clear" w:color="auto" w:fill="auto"/>
            <w:noWrap/>
            <w:vAlign w:val="center"/>
          </w:tcPr>
          <w:p w14:paraId="5B3F140C"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b/>
                <w:bCs/>
                <w:color w:val="000000"/>
                <w:sz w:val="18"/>
                <w:szCs w:val="18"/>
                <w:vertAlign w:val="superscript"/>
                <w:lang w:val="en-GB"/>
              </w:rPr>
              <w:t>24</w:t>
            </w:r>
            <w:r w:rsidRPr="00C4287A">
              <w:rPr>
                <w:rFonts w:ascii="Times New Roman" w:hAnsi="Times New Roman" w:cs="Times New Roman"/>
                <w:color w:val="000000"/>
                <w:sz w:val="18"/>
                <w:szCs w:val="18"/>
                <w:lang w:val="en-GB"/>
              </w:rPr>
              <w:t>Input material from municipal waste</w:t>
            </w:r>
          </w:p>
          <w:p w14:paraId="1DF0F883"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&lt;35% moisture</w:t>
            </w:r>
          </w:p>
        </w:tc>
        <w:tc>
          <w:tcPr>
            <w:tcW w:w="523" w:type="pct"/>
            <w:tcBorders>
              <w:top w:val="single" w:sz="4" w:space="0" w:color="auto"/>
              <w:left w:val="nil"/>
              <w:bottom w:val="single" w:sz="4" w:space="0" w:color="auto"/>
              <w:right w:val="single" w:sz="4" w:space="0" w:color="auto"/>
            </w:tcBorders>
            <w:vAlign w:val="center"/>
          </w:tcPr>
          <w:p w14:paraId="407A7F80" w14:textId="77777777" w:rsidR="00491F49" w:rsidRPr="00C4287A" w:rsidRDefault="00491F49" w:rsidP="00012FBD">
            <w:pPr>
              <w:spacing w:after="0" w:line="240" w:lineRule="auto"/>
              <w:jc w:val="center"/>
              <w:rPr>
                <w:rFonts w:ascii="Times New Roman" w:hAnsi="Times New Roman" w:cs="Times New Roman"/>
                <w:color w:val="000000"/>
                <w:sz w:val="18"/>
                <w:szCs w:val="18"/>
                <w:lang w:val="en-GB"/>
              </w:rPr>
            </w:pPr>
            <w:r w:rsidRPr="00C4287A">
              <w:rPr>
                <w:rFonts w:ascii="Times New Roman" w:hAnsi="Times New Roman" w:cs="Times New Roman"/>
                <w:color w:val="000000"/>
                <w:sz w:val="18"/>
                <w:szCs w:val="18"/>
                <w:lang w:val="en-GB"/>
              </w:rPr>
              <w:t>-</w:t>
            </w:r>
          </w:p>
        </w:tc>
        <w:tc>
          <w:tcPr>
            <w:tcW w:w="6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7A1709" w14:textId="77777777" w:rsidR="00491F49" w:rsidRPr="00C4287A" w:rsidRDefault="00491F49" w:rsidP="00012FBD">
            <w:pPr>
              <w:spacing w:after="0" w:line="240" w:lineRule="auto"/>
              <w:jc w:val="center"/>
              <w:rPr>
                <w:rFonts w:ascii="Times New Roman" w:eastAsia="Times New Roman" w:hAnsi="Times New Roman" w:cs="Times New Roman"/>
                <w:color w:val="000000"/>
                <w:sz w:val="18"/>
                <w:szCs w:val="18"/>
                <w:lang w:val="en-GB"/>
              </w:rPr>
            </w:pPr>
            <w:r w:rsidRPr="00C4287A">
              <w:rPr>
                <w:rFonts w:ascii="Times New Roman" w:eastAsia="Times New Roman" w:hAnsi="Times New Roman" w:cs="Times New Roman"/>
                <w:color w:val="000000"/>
                <w:sz w:val="18"/>
                <w:szCs w:val="18"/>
                <w:lang w:val="en-GB"/>
              </w:rPr>
              <w:fldChar w:fldCharType="begin" w:fldLock="1"/>
            </w:r>
            <w:r w:rsidRPr="00C4287A">
              <w:rPr>
                <w:rFonts w:ascii="Times New Roman" w:eastAsia="Times New Roman" w:hAnsi="Times New Roman" w:cs="Times New Roman"/>
                <w:color w:val="000000"/>
                <w:sz w:val="18"/>
                <w:szCs w:val="18"/>
                <w:lang w:val="en-GB"/>
              </w:rPr>
              <w:instrText>ADDIN CSL_CITATION {"citationItems":[{"id":"ITEM-1","itemData":{"DOI":"10.22617/TIM200332-2","ISBN":"9789292624842","author":[{"dropping-particle":"","family":"Asian Development Bank","given":"","non-dropping-particle":"","parse-names":false,"suffix":""}],"id":"ITEM-1","issued":{"date-parts":[["2020"]]},"number-of-pages":"162","publisher-place":"Manila, Philippines","title":"Waste to Energy in the Age of the Circular Economy: Compendium of Case Studies and Emerging Technologies","type":"report"},"uris":["http://www.mendeley.com/documents/?uuid=bb69c657-b0f5-49c3-9290-eccea37528f0"]}],"mendeley":{"formattedCitation":"(Asian Development Bank 2020)","plainTextFormattedCitation":"(Asian Development Bank 2020)","previouslyFormattedCitation":"(Asian Development Bank 2020)"},"properties":{"noteIndex":0},"schema":"https://github.com/citation-style-language/schema/raw/master/csl-citation.json"}</w:instrText>
            </w:r>
            <w:r w:rsidRPr="00C4287A">
              <w:rPr>
                <w:rFonts w:ascii="Times New Roman" w:eastAsia="Times New Roman" w:hAnsi="Times New Roman" w:cs="Times New Roman"/>
                <w:color w:val="000000"/>
                <w:sz w:val="18"/>
                <w:szCs w:val="18"/>
                <w:lang w:val="en-GB"/>
              </w:rPr>
              <w:fldChar w:fldCharType="separate"/>
            </w:r>
            <w:r w:rsidRPr="00C4287A">
              <w:rPr>
                <w:rFonts w:ascii="Times New Roman" w:eastAsia="Times New Roman" w:hAnsi="Times New Roman" w:cs="Times New Roman"/>
                <w:color w:val="000000"/>
                <w:sz w:val="18"/>
                <w:szCs w:val="18"/>
                <w:lang w:val="en-GB"/>
              </w:rPr>
              <w:t>(Asian Development Bank 2020)</w:t>
            </w:r>
            <w:r w:rsidRPr="00C4287A">
              <w:rPr>
                <w:rFonts w:ascii="Times New Roman" w:eastAsia="Times New Roman" w:hAnsi="Times New Roman" w:cs="Times New Roman"/>
                <w:color w:val="000000"/>
                <w:sz w:val="18"/>
                <w:szCs w:val="18"/>
                <w:lang w:val="en-GB"/>
              </w:rPr>
              <w:fldChar w:fldCharType="end"/>
            </w:r>
          </w:p>
        </w:tc>
      </w:tr>
      <w:tr w:rsidR="00491F49" w:rsidRPr="00C4287A" w14:paraId="7B9DB4B9" w14:textId="77777777" w:rsidTr="00012FBD">
        <w:trPr>
          <w:trHeight w:val="300"/>
          <w:jc w:val="center"/>
        </w:trPr>
        <w:tc>
          <w:tcPr>
            <w:tcW w:w="1" w:type="pct"/>
            <w:gridSpan w:val="13"/>
            <w:tcBorders>
              <w:top w:val="single" w:sz="4" w:space="0" w:color="auto"/>
            </w:tcBorders>
            <w:shd w:val="clear" w:color="auto" w:fill="auto"/>
            <w:noWrap/>
            <w:vAlign w:val="center"/>
          </w:tcPr>
          <w:p w14:paraId="1A1EB6D1" w14:textId="77777777" w:rsidR="00491F49" w:rsidRPr="00C4287A" w:rsidRDefault="00491F49" w:rsidP="00012FBD">
            <w:pPr>
              <w:spacing w:after="0" w:line="240" w:lineRule="auto"/>
              <w:rPr>
                <w:rFonts w:ascii="Times New Roman" w:hAnsi="Times New Roman" w:cs="Times New Roman"/>
                <w:color w:val="000000"/>
                <w:sz w:val="16"/>
                <w:szCs w:val="16"/>
                <w:lang w:val="en-GB"/>
              </w:rPr>
            </w:pPr>
            <w:r w:rsidRPr="00C4287A">
              <w:rPr>
                <w:rFonts w:ascii="Times New Roman" w:hAnsi="Times New Roman" w:cs="Times New Roman"/>
                <w:color w:val="000000"/>
                <w:sz w:val="16"/>
                <w:szCs w:val="16"/>
                <w:vertAlign w:val="superscript"/>
                <w:lang w:val="en-GB"/>
              </w:rPr>
              <w:t xml:space="preserve">  T</w:t>
            </w:r>
            <w:r w:rsidRPr="00C4287A">
              <w:rPr>
                <w:rFonts w:ascii="Times New Roman" w:hAnsi="Times New Roman" w:cs="Times New Roman"/>
                <w:color w:val="000000"/>
                <w:sz w:val="16"/>
                <w:szCs w:val="16"/>
                <w:lang w:val="en-GB"/>
              </w:rPr>
              <w:t xml:space="preserve"> thermal gasification</w:t>
            </w:r>
          </w:p>
          <w:p w14:paraId="2758255A" w14:textId="77777777" w:rsidR="00491F49" w:rsidRPr="00C4287A" w:rsidRDefault="00491F49" w:rsidP="00012FBD">
            <w:pPr>
              <w:spacing w:after="0" w:line="240" w:lineRule="auto"/>
              <w:rPr>
                <w:rFonts w:ascii="Times New Roman" w:hAnsi="Times New Roman" w:cs="Times New Roman"/>
                <w:color w:val="000000"/>
                <w:sz w:val="16"/>
                <w:szCs w:val="16"/>
                <w:lang w:val="en-GB"/>
              </w:rPr>
            </w:pPr>
            <w:r w:rsidRPr="00C4287A">
              <w:rPr>
                <w:rFonts w:ascii="Times New Roman" w:hAnsi="Times New Roman" w:cs="Times New Roman"/>
                <w:color w:val="000000"/>
                <w:sz w:val="16"/>
                <w:szCs w:val="16"/>
                <w:lang w:val="en-GB"/>
              </w:rPr>
              <w:t xml:space="preserve"> </w:t>
            </w:r>
            <w:r w:rsidRPr="00C4287A">
              <w:rPr>
                <w:rFonts w:ascii="Times New Roman" w:hAnsi="Times New Roman" w:cs="Times New Roman"/>
                <w:color w:val="000000"/>
                <w:sz w:val="16"/>
                <w:szCs w:val="16"/>
                <w:vertAlign w:val="superscript"/>
                <w:lang w:val="en-GB"/>
              </w:rPr>
              <w:t>P</w:t>
            </w:r>
            <w:r w:rsidRPr="00C4287A">
              <w:rPr>
                <w:rFonts w:ascii="Times New Roman" w:hAnsi="Times New Roman" w:cs="Times New Roman"/>
                <w:color w:val="000000"/>
                <w:sz w:val="16"/>
                <w:szCs w:val="16"/>
                <w:lang w:val="en-GB"/>
              </w:rPr>
              <w:t xml:space="preserve"> plasma gasification</w:t>
            </w:r>
          </w:p>
        </w:tc>
      </w:tr>
    </w:tbl>
    <w:p w14:paraId="2A406654" w14:textId="77777777" w:rsidR="00491F49" w:rsidRDefault="00491F49"/>
    <w:sectPr w:rsidR="00491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F49"/>
    <w:rsid w:val="00491F49"/>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DF13"/>
  <w15:chartTrackingRefBased/>
  <w15:docId w15:val="{AA22FA54-C416-4F57-9A8F-36B1D052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F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19516</Words>
  <Characters>111245</Characters>
  <Application>Microsoft Office Word</Application>
  <DocSecurity>0</DocSecurity>
  <Lines>927</Lines>
  <Paragraphs>260</Paragraphs>
  <ScaleCrop>false</ScaleCrop>
  <Company>Springer Nature</Company>
  <LinksUpToDate>false</LinksUpToDate>
  <CharactersWithSpaces>130501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2023-10-30T13:10:00Z</dcterms:created>
  <dcterms:modified xsi:type="dcterms:W3CDTF">2023-10-30T13:12:00Z</dcterms:modified>
</cp:coreProperties>
</file>