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8DD365" w14:textId="77777777" w:rsidR="00E94238" w:rsidRDefault="007402C1">
      <w:pPr>
        <w:spacing w:before="480" w:line="480" w:lineRule="auto"/>
        <w:rPr>
          <w:rFonts w:ascii="Arial" w:eastAsia="Arial" w:hAnsi="Arial" w:cs="Arial"/>
          <w:color w:val="00000A"/>
          <w:sz w:val="24"/>
          <w:szCs w:val="24"/>
        </w:rPr>
      </w:pPr>
      <w:r>
        <w:rPr>
          <w:rFonts w:ascii="Arial" w:eastAsia="Arial" w:hAnsi="Arial" w:cs="Arial"/>
          <w:b/>
          <w:color w:val="00000A"/>
          <w:sz w:val="24"/>
          <w:szCs w:val="24"/>
        </w:rPr>
        <w:t>Extended Methods</w:t>
      </w:r>
    </w:p>
    <w:p w14:paraId="62F3A448" w14:textId="77777777" w:rsidR="00E94238" w:rsidRDefault="007402C1">
      <w:pPr>
        <w:pStyle w:val="Heading3"/>
        <w:keepNext/>
        <w:keepLines/>
        <w:spacing w:before="40" w:after="40" w:line="480" w:lineRule="auto"/>
        <w:rPr>
          <w:rFonts w:ascii="Arial" w:eastAsia="Arial" w:hAnsi="Arial" w:cs="Arial"/>
        </w:rPr>
      </w:pPr>
      <w:bookmarkStart w:id="0" w:name="_1pxezwc" w:colFirst="0" w:colLast="0"/>
      <w:bookmarkEnd w:id="0"/>
      <w:r>
        <w:rPr>
          <w:rFonts w:ascii="Arial" w:eastAsia="Arial" w:hAnsi="Arial" w:cs="Arial"/>
          <w:color w:val="00000A"/>
          <w:sz w:val="24"/>
          <w:szCs w:val="24"/>
        </w:rPr>
        <w:t>Sample Processing</w:t>
      </w:r>
    </w:p>
    <w:p w14:paraId="37F23FCA" w14:textId="77777777" w:rsidR="00E94238" w:rsidRDefault="007402C1">
      <w:pPr>
        <w:pStyle w:val="Heading3"/>
        <w:keepNext/>
        <w:keepLines/>
        <w:spacing w:before="40" w:after="40" w:line="480" w:lineRule="auto"/>
        <w:rPr>
          <w:rFonts w:ascii="Arial" w:eastAsia="Arial" w:hAnsi="Arial" w:cs="Arial"/>
          <w:color w:val="00000A"/>
          <w:sz w:val="24"/>
          <w:szCs w:val="24"/>
        </w:rPr>
      </w:pPr>
      <w:bookmarkStart w:id="1" w:name="_49x2ik5" w:colFirst="0" w:colLast="0"/>
      <w:bookmarkEnd w:id="1"/>
      <w:r>
        <w:rPr>
          <w:rFonts w:ascii="Arial" w:eastAsia="Arial" w:hAnsi="Arial" w:cs="Arial"/>
          <w:color w:val="00000A"/>
          <w:sz w:val="24"/>
          <w:szCs w:val="24"/>
        </w:rPr>
        <w:t>2.5M Illumina SNP array</w:t>
      </w:r>
    </w:p>
    <w:p w14:paraId="6385F5DB" w14:textId="77777777" w:rsidR="00E94238" w:rsidRDefault="007402C1">
      <w:pPr>
        <w:spacing w:line="480" w:lineRule="auto"/>
        <w:rPr>
          <w:rFonts w:ascii="Arial" w:eastAsia="Arial" w:hAnsi="Arial" w:cs="Arial"/>
          <w:sz w:val="24"/>
          <w:szCs w:val="24"/>
        </w:rPr>
      </w:pPr>
      <w:r>
        <w:rPr>
          <w:rFonts w:ascii="Arial" w:eastAsia="Arial" w:hAnsi="Arial" w:cs="Arial"/>
          <w:sz w:val="24"/>
          <w:szCs w:val="24"/>
        </w:rPr>
        <w:t xml:space="preserve">Somatic chromosome alterations (chromosome copy number changes and </w:t>
      </w:r>
      <w:proofErr w:type="spellStart"/>
      <w:r>
        <w:rPr>
          <w:rFonts w:ascii="Arial" w:eastAsia="Arial" w:hAnsi="Arial" w:cs="Arial"/>
          <w:sz w:val="24"/>
          <w:szCs w:val="24"/>
        </w:rPr>
        <w:t>cnLOH</w:t>
      </w:r>
      <w:proofErr w:type="spellEnd"/>
      <w:r>
        <w:rPr>
          <w:rFonts w:ascii="Arial" w:eastAsia="Arial" w:hAnsi="Arial" w:cs="Arial"/>
          <w:sz w:val="24"/>
          <w:szCs w:val="24"/>
        </w:rPr>
        <w:t xml:space="preserve">) were assessed in BE and normal biopsies using the Omni 2.5M 8v1.3 array (Illumina) following manufacturer recommendations. One sample (391-23521-155R-31) was evaluated using Omni 2.5M-8 v1.2. For copy number, B-allele frequency at heterozygous loci, and allele-specific copy number, BE biopsies were paired to their patient’s normal control sample in Genome Studio with </w:t>
      </w:r>
      <w:proofErr w:type="spellStart"/>
      <w:r>
        <w:rPr>
          <w:rFonts w:ascii="Arial" w:eastAsia="Arial" w:hAnsi="Arial" w:cs="Arial"/>
          <w:sz w:val="24"/>
          <w:szCs w:val="24"/>
        </w:rPr>
        <w:t>Partek</w:t>
      </w:r>
      <w:proofErr w:type="spellEnd"/>
      <w:r>
        <w:rPr>
          <w:rFonts w:ascii="Arial" w:eastAsia="Arial" w:hAnsi="Arial" w:cs="Arial"/>
          <w:sz w:val="24"/>
          <w:szCs w:val="24"/>
        </w:rPr>
        <w:t xml:space="preserve"> Plug-in v2.13.1</w:t>
      </w:r>
      <w:hyperlink r:id="rId6">
        <w:r>
          <w:rPr>
            <w:rFonts w:ascii="Arial" w:eastAsia="Arial" w:hAnsi="Arial" w:cs="Arial"/>
            <w:color w:val="000000"/>
            <w:sz w:val="24"/>
            <w:szCs w:val="24"/>
            <w:vertAlign w:val="superscript"/>
          </w:rPr>
          <w:t>1</w:t>
        </w:r>
      </w:hyperlink>
      <w:r>
        <w:rPr>
          <w:rFonts w:ascii="Arial" w:eastAsia="Arial" w:hAnsi="Arial" w:cs="Arial"/>
          <w:sz w:val="24"/>
          <w:szCs w:val="24"/>
        </w:rPr>
        <w:t xml:space="preserve">. </w:t>
      </w:r>
    </w:p>
    <w:p w14:paraId="2535CBB8" w14:textId="77777777" w:rsidR="00E94238" w:rsidRDefault="007402C1">
      <w:pPr>
        <w:pStyle w:val="Heading3"/>
        <w:keepNext/>
        <w:keepLines/>
        <w:spacing w:before="240" w:line="480" w:lineRule="auto"/>
        <w:rPr>
          <w:rFonts w:ascii="Arial" w:eastAsia="Arial" w:hAnsi="Arial" w:cs="Arial"/>
          <w:color w:val="00000A"/>
          <w:sz w:val="24"/>
          <w:szCs w:val="24"/>
        </w:rPr>
      </w:pPr>
      <w:bookmarkStart w:id="2" w:name="_2p2csry" w:colFirst="0" w:colLast="0"/>
      <w:bookmarkEnd w:id="2"/>
      <w:r>
        <w:rPr>
          <w:rFonts w:ascii="Arial" w:eastAsia="Arial" w:hAnsi="Arial" w:cs="Arial"/>
          <w:color w:val="00000A"/>
          <w:sz w:val="24"/>
          <w:szCs w:val="24"/>
        </w:rPr>
        <w:t>WGS library preparation and direct sequencing</w:t>
      </w:r>
    </w:p>
    <w:p w14:paraId="1BD520AC" w14:textId="77777777" w:rsidR="00E94238" w:rsidRDefault="007402C1">
      <w:pPr>
        <w:spacing w:line="480" w:lineRule="auto"/>
        <w:rPr>
          <w:rFonts w:ascii="Arial" w:eastAsia="Arial" w:hAnsi="Arial" w:cs="Arial"/>
          <w:sz w:val="24"/>
          <w:szCs w:val="24"/>
        </w:rPr>
      </w:pPr>
      <w:r>
        <w:rPr>
          <w:rFonts w:ascii="Arial" w:eastAsia="Arial" w:hAnsi="Arial" w:cs="Arial"/>
          <w:sz w:val="24"/>
          <w:szCs w:val="24"/>
        </w:rPr>
        <w:t xml:space="preserve">For 78 patients and 417 biopsies, whole genome sequencing (WGS) libraries were prepared using the </w:t>
      </w:r>
      <w:proofErr w:type="spellStart"/>
      <w:r>
        <w:rPr>
          <w:rFonts w:ascii="Arial" w:eastAsia="Arial" w:hAnsi="Arial" w:cs="Arial"/>
          <w:sz w:val="24"/>
          <w:szCs w:val="24"/>
        </w:rPr>
        <w:t>TruseqDNA</w:t>
      </w:r>
      <w:proofErr w:type="spellEnd"/>
      <w:r>
        <w:rPr>
          <w:rFonts w:ascii="Arial" w:eastAsia="Arial" w:hAnsi="Arial" w:cs="Arial"/>
          <w:sz w:val="24"/>
          <w:szCs w:val="24"/>
        </w:rPr>
        <w:t xml:space="preserve"> PCR-free Library Preparation Kit (Illumina) in accordance with the manufacturer’s instructions. Briefly, 1ug of DNA was sheared using a </w:t>
      </w:r>
      <w:proofErr w:type="spellStart"/>
      <w:r>
        <w:rPr>
          <w:rFonts w:ascii="Arial" w:eastAsia="Arial" w:hAnsi="Arial" w:cs="Arial"/>
          <w:sz w:val="24"/>
          <w:szCs w:val="24"/>
        </w:rPr>
        <w:t>Covaris</w:t>
      </w:r>
      <w:proofErr w:type="spellEnd"/>
      <w:r>
        <w:rPr>
          <w:rFonts w:ascii="Arial" w:eastAsia="Arial" w:hAnsi="Arial" w:cs="Arial"/>
          <w:sz w:val="24"/>
          <w:szCs w:val="24"/>
        </w:rPr>
        <w:t xml:space="preserve"> LE220 </w:t>
      </w:r>
      <w:proofErr w:type="spellStart"/>
      <w:r>
        <w:rPr>
          <w:rFonts w:ascii="Arial" w:eastAsia="Arial" w:hAnsi="Arial" w:cs="Arial"/>
          <w:sz w:val="24"/>
          <w:szCs w:val="24"/>
        </w:rPr>
        <w:t>sonicator</w:t>
      </w:r>
      <w:proofErr w:type="spellEnd"/>
      <w:r>
        <w:rPr>
          <w:rFonts w:ascii="Arial" w:eastAsia="Arial" w:hAnsi="Arial" w:cs="Arial"/>
          <w:sz w:val="24"/>
          <w:szCs w:val="24"/>
        </w:rPr>
        <w:t xml:space="preserve"> (Adaptive Focused Acoustics). DNA fragments underwent bead-based size selection and were subsequently end-repaired, adenylated, and ligated to Illumina sequencing adapters. Final libraries were evaluated using fluorescent-based assays including qPCR with the Universal KAPA Library Quantification Kit and Fragment Analyzer (Advanced Analytics) or </w:t>
      </w:r>
      <w:proofErr w:type="spellStart"/>
      <w:r>
        <w:rPr>
          <w:rFonts w:ascii="Arial" w:eastAsia="Arial" w:hAnsi="Arial" w:cs="Arial"/>
          <w:sz w:val="24"/>
          <w:szCs w:val="24"/>
        </w:rPr>
        <w:t>BioAnalyzer</w:t>
      </w:r>
      <w:proofErr w:type="spellEnd"/>
      <w:r>
        <w:rPr>
          <w:rFonts w:ascii="Arial" w:eastAsia="Arial" w:hAnsi="Arial" w:cs="Arial"/>
          <w:sz w:val="24"/>
          <w:szCs w:val="24"/>
        </w:rPr>
        <w:t xml:space="preserve"> (Agilent 2100). Libraries were sequenced on an Illumina </w:t>
      </w:r>
      <w:proofErr w:type="spellStart"/>
      <w:r>
        <w:rPr>
          <w:rFonts w:ascii="Arial" w:eastAsia="Arial" w:hAnsi="Arial" w:cs="Arial"/>
          <w:sz w:val="24"/>
          <w:szCs w:val="24"/>
        </w:rPr>
        <w:t>HiSeqX</w:t>
      </w:r>
      <w:proofErr w:type="spellEnd"/>
      <w:r>
        <w:rPr>
          <w:rFonts w:ascii="Arial" w:eastAsia="Arial" w:hAnsi="Arial" w:cs="Arial"/>
          <w:sz w:val="24"/>
          <w:szCs w:val="24"/>
        </w:rPr>
        <w:t xml:space="preserve"> sequencer at 2 x 150bp cycles using v2.5 chemistry.</w:t>
      </w:r>
    </w:p>
    <w:p w14:paraId="5A531D41"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3" w:name="_147n2zr" w:colFirst="0" w:colLast="0"/>
      <w:bookmarkEnd w:id="3"/>
      <w:proofErr w:type="spellStart"/>
      <w:r>
        <w:rPr>
          <w:rFonts w:ascii="Arial" w:eastAsia="Arial" w:hAnsi="Arial" w:cs="Arial"/>
          <w:color w:val="00000A"/>
          <w:sz w:val="24"/>
          <w:szCs w:val="24"/>
        </w:rPr>
        <w:lastRenderedPageBreak/>
        <w:t>TruSeqNano</w:t>
      </w:r>
      <w:proofErr w:type="spellEnd"/>
      <w:r>
        <w:rPr>
          <w:rFonts w:ascii="Arial" w:eastAsia="Arial" w:hAnsi="Arial" w:cs="Arial"/>
          <w:i/>
          <w:color w:val="00000A"/>
          <w:sz w:val="24"/>
          <w:szCs w:val="24"/>
        </w:rPr>
        <w:t xml:space="preserve"> </w:t>
      </w:r>
      <w:r>
        <w:rPr>
          <w:rFonts w:ascii="Arial" w:eastAsia="Arial" w:hAnsi="Arial" w:cs="Arial"/>
          <w:color w:val="00000A"/>
          <w:sz w:val="24"/>
          <w:szCs w:val="24"/>
        </w:rPr>
        <w:t>library preparation and sequencing</w:t>
      </w:r>
    </w:p>
    <w:p w14:paraId="41963E59" w14:textId="77777777" w:rsidR="00E94238" w:rsidRDefault="007402C1">
      <w:pPr>
        <w:spacing w:line="480" w:lineRule="auto"/>
        <w:rPr>
          <w:rFonts w:ascii="Arial" w:eastAsia="Arial" w:hAnsi="Arial" w:cs="Arial"/>
          <w:sz w:val="24"/>
          <w:szCs w:val="24"/>
        </w:rPr>
      </w:pPr>
      <w:r>
        <w:rPr>
          <w:rFonts w:ascii="Arial" w:eastAsia="Arial" w:hAnsi="Arial" w:cs="Arial"/>
          <w:sz w:val="24"/>
          <w:szCs w:val="24"/>
        </w:rPr>
        <w:t xml:space="preserve">In two patients (ID 322 and ID 360), one or more biopsies had insufficient DNA to perform PCR-free library preparation and no replacements available. Therefore, WGS libraries were prepared using the Illumina </w:t>
      </w:r>
      <w:proofErr w:type="spellStart"/>
      <w:r>
        <w:rPr>
          <w:rFonts w:ascii="Arial" w:eastAsia="Arial" w:hAnsi="Arial" w:cs="Arial"/>
          <w:sz w:val="24"/>
          <w:szCs w:val="24"/>
        </w:rPr>
        <w:t>TruSeq</w:t>
      </w:r>
      <w:proofErr w:type="spellEnd"/>
      <w:r>
        <w:rPr>
          <w:rFonts w:ascii="Arial" w:eastAsia="Arial" w:hAnsi="Arial" w:cs="Arial"/>
          <w:sz w:val="24"/>
          <w:szCs w:val="24"/>
        </w:rPr>
        <w:t xml:space="preserve"> Nano DNA Library Preparation Kit in all biopsies in these two patients (N=8) and their two normal control samples, in accordance with the manufacturer's instructions. Briefly, 100ng of DNA was sheared using the </w:t>
      </w:r>
      <w:proofErr w:type="spellStart"/>
      <w:r>
        <w:rPr>
          <w:rFonts w:ascii="Arial" w:eastAsia="Arial" w:hAnsi="Arial" w:cs="Arial"/>
          <w:sz w:val="24"/>
          <w:szCs w:val="24"/>
        </w:rPr>
        <w:t>Covaris</w:t>
      </w:r>
      <w:proofErr w:type="spellEnd"/>
      <w:r>
        <w:rPr>
          <w:rFonts w:ascii="Arial" w:eastAsia="Arial" w:hAnsi="Arial" w:cs="Arial"/>
          <w:sz w:val="24"/>
          <w:szCs w:val="24"/>
        </w:rPr>
        <w:t xml:space="preserve"> LE220 </w:t>
      </w:r>
      <w:proofErr w:type="spellStart"/>
      <w:r>
        <w:rPr>
          <w:rFonts w:ascii="Arial" w:eastAsia="Arial" w:hAnsi="Arial" w:cs="Arial"/>
          <w:sz w:val="24"/>
          <w:szCs w:val="24"/>
        </w:rPr>
        <w:t>sonicator</w:t>
      </w:r>
      <w:proofErr w:type="spellEnd"/>
      <w:r>
        <w:rPr>
          <w:rFonts w:ascii="Arial" w:eastAsia="Arial" w:hAnsi="Arial" w:cs="Arial"/>
          <w:sz w:val="24"/>
          <w:szCs w:val="24"/>
        </w:rPr>
        <w:t xml:space="preserve"> (Adaptive Focused Acoustics). DNA fragments underwent end-repair, bead-based size selection, adenylation, and Illumina sequencing adapter ligation. Ligated DNA libraries were enriched with PCR amplification (using 8 cycles). Final libraries were evaluated and sequenced as above. </w:t>
      </w:r>
    </w:p>
    <w:p w14:paraId="3BE2C036" w14:textId="77777777" w:rsidR="00E94238" w:rsidRDefault="007402C1">
      <w:pPr>
        <w:pStyle w:val="Heading3"/>
        <w:keepNext/>
        <w:keepLines/>
        <w:spacing w:before="240" w:line="480" w:lineRule="auto"/>
        <w:rPr>
          <w:rFonts w:ascii="Arial" w:eastAsia="Arial" w:hAnsi="Arial" w:cs="Arial"/>
          <w:color w:val="00000A"/>
          <w:sz w:val="24"/>
          <w:szCs w:val="24"/>
        </w:rPr>
      </w:pPr>
      <w:bookmarkStart w:id="4" w:name="_3o7alnk" w:colFirst="0" w:colLast="0"/>
      <w:bookmarkEnd w:id="4"/>
      <w:r>
        <w:rPr>
          <w:rFonts w:ascii="Arial" w:eastAsia="Arial" w:hAnsi="Arial" w:cs="Arial"/>
          <w:color w:val="00000A"/>
          <w:sz w:val="24"/>
          <w:szCs w:val="24"/>
        </w:rPr>
        <w:t xml:space="preserve">Sample QC Preprocessing </w:t>
      </w:r>
    </w:p>
    <w:p w14:paraId="04F4B655" w14:textId="77777777" w:rsidR="00E94238" w:rsidRDefault="007402C1">
      <w:pPr>
        <w:spacing w:after="0" w:line="480" w:lineRule="auto"/>
        <w:rPr>
          <w:rFonts w:ascii="Arial" w:eastAsia="Arial" w:hAnsi="Arial" w:cs="Arial"/>
          <w:sz w:val="24"/>
          <w:szCs w:val="24"/>
        </w:rPr>
      </w:pPr>
      <w:r>
        <w:rPr>
          <w:rFonts w:ascii="Arial" w:eastAsia="Arial" w:hAnsi="Arial" w:cs="Arial"/>
          <w:sz w:val="24"/>
          <w:szCs w:val="24"/>
        </w:rPr>
        <w:t xml:space="preserve">BE and matched normal DNA sequencing data were preprocessed using the Broad “best practices” pipeline, which includes aligning reads to the GRCh37 human reference genome using the </w:t>
      </w:r>
      <w:proofErr w:type="spellStart"/>
      <w:r>
        <w:rPr>
          <w:rFonts w:ascii="Arial" w:eastAsia="Arial" w:hAnsi="Arial" w:cs="Arial"/>
          <w:sz w:val="24"/>
          <w:szCs w:val="24"/>
        </w:rPr>
        <w:t>BurrowsWheeler</w:t>
      </w:r>
      <w:proofErr w:type="spellEnd"/>
      <w:r>
        <w:rPr>
          <w:rFonts w:ascii="Arial" w:eastAsia="Arial" w:hAnsi="Arial" w:cs="Arial"/>
          <w:sz w:val="24"/>
          <w:szCs w:val="24"/>
        </w:rPr>
        <w:t xml:space="preserve"> Aligner (BWA) </w:t>
      </w:r>
      <w:hyperlink r:id="rId7">
        <w:r>
          <w:rPr>
            <w:rFonts w:ascii="Arial" w:eastAsia="Arial" w:hAnsi="Arial" w:cs="Arial"/>
            <w:color w:val="000000"/>
            <w:sz w:val="24"/>
            <w:szCs w:val="24"/>
            <w:vertAlign w:val="superscript"/>
          </w:rPr>
          <w:t>2</w:t>
        </w:r>
      </w:hyperlink>
      <w:r>
        <w:rPr>
          <w:rFonts w:ascii="Arial" w:eastAsia="Arial" w:hAnsi="Arial" w:cs="Arial"/>
          <w:sz w:val="24"/>
          <w:szCs w:val="24"/>
        </w:rPr>
        <w:t>,</w:t>
      </w:r>
      <w:r>
        <w:rPr>
          <w:rFonts w:ascii="Arial" w:eastAsia="Arial" w:hAnsi="Arial" w:cs="Arial"/>
          <w:color w:val="434343"/>
          <w:sz w:val="24"/>
          <w:szCs w:val="24"/>
        </w:rPr>
        <w:t xml:space="preserve"> </w:t>
      </w:r>
      <w:r>
        <w:rPr>
          <w:rFonts w:ascii="Arial" w:eastAsia="Arial" w:hAnsi="Arial" w:cs="Arial"/>
          <w:sz w:val="24"/>
          <w:szCs w:val="24"/>
        </w:rPr>
        <w:t xml:space="preserve">marking of duplicate reads by the use of Picard tools (http://picard.sourceforge.net); realignment around indels (done jointly for all biopsies derived from one individual, e.g. four or six BE biopsies, gastric test sample, and matched blood or control gastric normal sample) and base recalibration via Genome Analysis Toolkit (GATK) </w:t>
      </w:r>
      <w:hyperlink r:id="rId8">
        <w:r>
          <w:rPr>
            <w:rFonts w:ascii="Arial" w:eastAsia="Arial" w:hAnsi="Arial" w:cs="Arial"/>
            <w:color w:val="000000"/>
            <w:sz w:val="24"/>
            <w:szCs w:val="24"/>
            <w:vertAlign w:val="superscript"/>
          </w:rPr>
          <w:t>3</w:t>
        </w:r>
      </w:hyperlink>
      <w:r>
        <w:rPr>
          <w:rFonts w:ascii="Arial" w:eastAsia="Arial" w:hAnsi="Arial" w:cs="Arial"/>
          <w:sz w:val="24"/>
          <w:szCs w:val="24"/>
        </w:rPr>
        <w:t>.</w:t>
      </w:r>
    </w:p>
    <w:p w14:paraId="3B037EC5" w14:textId="77777777" w:rsidR="00E94238" w:rsidRDefault="00E94238">
      <w:pPr>
        <w:spacing w:after="0" w:line="480" w:lineRule="auto"/>
        <w:rPr>
          <w:rFonts w:ascii="Arial" w:eastAsia="Arial" w:hAnsi="Arial" w:cs="Arial"/>
          <w:sz w:val="24"/>
          <w:szCs w:val="24"/>
        </w:rPr>
      </w:pPr>
    </w:p>
    <w:p w14:paraId="102325A2" w14:textId="77777777" w:rsidR="00E94238" w:rsidRDefault="007402C1">
      <w:pPr>
        <w:pStyle w:val="Heading3"/>
        <w:keepNext/>
        <w:keepLines/>
        <w:spacing w:before="40" w:after="0" w:line="480" w:lineRule="auto"/>
        <w:rPr>
          <w:rFonts w:ascii="Arial" w:eastAsia="Arial" w:hAnsi="Arial" w:cs="Arial"/>
          <w:sz w:val="24"/>
          <w:szCs w:val="24"/>
        </w:rPr>
      </w:pPr>
      <w:bookmarkStart w:id="5" w:name="_23ckvvd" w:colFirst="0" w:colLast="0"/>
      <w:bookmarkEnd w:id="5"/>
      <w:r>
        <w:rPr>
          <w:rFonts w:ascii="Arial" w:eastAsia="Arial" w:hAnsi="Arial" w:cs="Arial"/>
          <w:sz w:val="24"/>
          <w:szCs w:val="24"/>
        </w:rPr>
        <w:t xml:space="preserve">DNA sequencing metrics </w:t>
      </w:r>
    </w:p>
    <w:p w14:paraId="2F677811" w14:textId="77777777" w:rsidR="00E94238" w:rsidRDefault="007402C1">
      <w:pPr>
        <w:spacing w:after="0" w:line="480" w:lineRule="auto"/>
        <w:rPr>
          <w:rFonts w:ascii="Arial" w:eastAsia="Arial" w:hAnsi="Arial" w:cs="Arial"/>
          <w:sz w:val="24"/>
          <w:szCs w:val="24"/>
        </w:rPr>
      </w:pPr>
      <w:r>
        <w:rPr>
          <w:rFonts w:ascii="Arial" w:eastAsia="Arial" w:hAnsi="Arial" w:cs="Arial"/>
          <w:sz w:val="24"/>
          <w:szCs w:val="24"/>
        </w:rPr>
        <w:t>A battery of Picard (</w:t>
      </w:r>
      <w:proofErr w:type="spellStart"/>
      <w:r>
        <w:rPr>
          <w:rFonts w:ascii="Arial" w:eastAsia="Arial" w:hAnsi="Arial" w:cs="Arial"/>
          <w:sz w:val="24"/>
          <w:szCs w:val="24"/>
        </w:rPr>
        <w:t>QualityScoreDistribution</w:t>
      </w:r>
      <w:proofErr w:type="spellEnd"/>
      <w:r>
        <w:rPr>
          <w:rFonts w:ascii="Arial" w:eastAsia="Arial" w:hAnsi="Arial" w:cs="Arial"/>
          <w:sz w:val="24"/>
          <w:szCs w:val="24"/>
        </w:rPr>
        <w:t xml:space="preserve">, </w:t>
      </w:r>
      <w:proofErr w:type="spellStart"/>
      <w:r>
        <w:rPr>
          <w:rFonts w:ascii="Arial" w:eastAsia="Arial" w:hAnsi="Arial" w:cs="Arial"/>
          <w:sz w:val="24"/>
          <w:szCs w:val="24"/>
        </w:rPr>
        <w:t>MeanQualityByCycle</w:t>
      </w:r>
      <w:proofErr w:type="spellEnd"/>
      <w:r>
        <w:rPr>
          <w:rFonts w:ascii="Arial" w:eastAsia="Arial" w:hAnsi="Arial" w:cs="Arial"/>
          <w:sz w:val="24"/>
          <w:szCs w:val="24"/>
        </w:rPr>
        <w:t xml:space="preserve">, </w:t>
      </w:r>
      <w:proofErr w:type="spellStart"/>
      <w:r>
        <w:rPr>
          <w:rFonts w:ascii="Arial" w:eastAsia="Arial" w:hAnsi="Arial" w:cs="Arial"/>
          <w:sz w:val="24"/>
          <w:szCs w:val="24"/>
        </w:rPr>
        <w:t>CollectBaseDistributionByCycle</w:t>
      </w:r>
      <w:proofErr w:type="spellEnd"/>
      <w:r>
        <w:rPr>
          <w:rFonts w:ascii="Arial" w:eastAsia="Arial" w:hAnsi="Arial" w:cs="Arial"/>
          <w:sz w:val="24"/>
          <w:szCs w:val="24"/>
        </w:rPr>
        <w:t xml:space="preserve">, </w:t>
      </w:r>
      <w:proofErr w:type="spellStart"/>
      <w:r>
        <w:rPr>
          <w:rFonts w:ascii="Arial" w:eastAsia="Arial" w:hAnsi="Arial" w:cs="Arial"/>
          <w:sz w:val="24"/>
          <w:szCs w:val="24"/>
        </w:rPr>
        <w:t>CollectAlignmentSummaryMetrics</w:t>
      </w:r>
      <w:proofErr w:type="spellEnd"/>
      <w:r>
        <w:rPr>
          <w:rFonts w:ascii="Arial" w:eastAsia="Arial" w:hAnsi="Arial" w:cs="Arial"/>
          <w:sz w:val="24"/>
          <w:szCs w:val="24"/>
        </w:rPr>
        <w:t xml:space="preserve">, </w:t>
      </w:r>
      <w:proofErr w:type="spellStart"/>
      <w:r>
        <w:rPr>
          <w:rFonts w:ascii="Arial" w:eastAsia="Arial" w:hAnsi="Arial" w:cs="Arial"/>
          <w:sz w:val="24"/>
          <w:szCs w:val="24"/>
        </w:rPr>
        <w:t>CollectInsertSizeMetrics</w:t>
      </w:r>
      <w:proofErr w:type="spellEnd"/>
      <w:r>
        <w:rPr>
          <w:rFonts w:ascii="Arial" w:eastAsia="Arial" w:hAnsi="Arial" w:cs="Arial"/>
          <w:sz w:val="24"/>
          <w:szCs w:val="24"/>
        </w:rPr>
        <w:t xml:space="preserve">, </w:t>
      </w:r>
      <w:proofErr w:type="spellStart"/>
      <w:r>
        <w:rPr>
          <w:rFonts w:ascii="Arial" w:eastAsia="Arial" w:hAnsi="Arial" w:cs="Arial"/>
          <w:sz w:val="24"/>
          <w:szCs w:val="24"/>
        </w:rPr>
        <w:t>CollectGcBiasMetrics</w:t>
      </w:r>
      <w:proofErr w:type="spellEnd"/>
      <w:r>
        <w:rPr>
          <w:rFonts w:ascii="Arial" w:eastAsia="Arial" w:hAnsi="Arial" w:cs="Arial"/>
          <w:sz w:val="24"/>
          <w:szCs w:val="24"/>
        </w:rPr>
        <w:t>) and GATK (</w:t>
      </w:r>
      <w:proofErr w:type="spellStart"/>
      <w:r>
        <w:rPr>
          <w:rFonts w:ascii="Arial" w:eastAsia="Arial" w:hAnsi="Arial" w:cs="Arial"/>
          <w:sz w:val="24"/>
          <w:szCs w:val="24"/>
        </w:rPr>
        <w:t>FlagStat</w:t>
      </w:r>
      <w:proofErr w:type="spellEnd"/>
      <w:r>
        <w:rPr>
          <w:rFonts w:ascii="Arial" w:eastAsia="Arial" w:hAnsi="Arial" w:cs="Arial"/>
          <w:sz w:val="24"/>
          <w:szCs w:val="24"/>
        </w:rPr>
        <w:t xml:space="preserve">, </w:t>
      </w:r>
      <w:proofErr w:type="spellStart"/>
      <w:r>
        <w:rPr>
          <w:rFonts w:ascii="Arial" w:eastAsia="Arial" w:hAnsi="Arial" w:cs="Arial"/>
          <w:sz w:val="24"/>
          <w:szCs w:val="24"/>
        </w:rPr>
        <w:lastRenderedPageBreak/>
        <w:t>ErrorRatePerCycle</w:t>
      </w:r>
      <w:proofErr w:type="spellEnd"/>
      <w:r>
        <w:rPr>
          <w:rFonts w:ascii="Arial" w:eastAsia="Arial" w:hAnsi="Arial" w:cs="Arial"/>
          <w:sz w:val="24"/>
          <w:szCs w:val="24"/>
        </w:rPr>
        <w:t xml:space="preserve">) metrics were run on all samples. Custom R scripts and </w:t>
      </w:r>
      <w:proofErr w:type="spellStart"/>
      <w:r>
        <w:rPr>
          <w:rFonts w:ascii="Arial" w:eastAsia="Arial" w:hAnsi="Arial" w:cs="Arial"/>
          <w:sz w:val="24"/>
          <w:szCs w:val="24"/>
        </w:rPr>
        <w:t>bedToolsCoverage</w:t>
      </w:r>
      <w:proofErr w:type="spellEnd"/>
      <w:r>
        <w:rPr>
          <w:rFonts w:ascii="Arial" w:eastAsia="Arial" w:hAnsi="Arial" w:cs="Arial"/>
          <w:sz w:val="24"/>
          <w:szCs w:val="24"/>
        </w:rPr>
        <w:t xml:space="preserve"> were used to compute sequencing depth of coverage. Outlier detection was performed to identify biopsies requiring manual review. All biopsies included in this study passed these QC metrics. </w:t>
      </w:r>
    </w:p>
    <w:p w14:paraId="2F75F134" w14:textId="77777777" w:rsidR="00E94238" w:rsidRDefault="00E94238">
      <w:pPr>
        <w:spacing w:after="0" w:line="480" w:lineRule="auto"/>
        <w:rPr>
          <w:rFonts w:ascii="Arial" w:eastAsia="Arial" w:hAnsi="Arial" w:cs="Arial"/>
          <w:b/>
          <w:sz w:val="24"/>
          <w:szCs w:val="24"/>
        </w:rPr>
      </w:pPr>
    </w:p>
    <w:p w14:paraId="5AB3273D" w14:textId="77777777" w:rsidR="00E94238" w:rsidRDefault="007402C1">
      <w:pPr>
        <w:pStyle w:val="Heading3"/>
        <w:keepNext/>
        <w:keepLines/>
        <w:spacing w:before="40" w:after="0" w:line="480" w:lineRule="auto"/>
        <w:rPr>
          <w:rFonts w:ascii="Arial" w:eastAsia="Arial" w:hAnsi="Arial" w:cs="Arial"/>
          <w:sz w:val="24"/>
          <w:szCs w:val="24"/>
        </w:rPr>
      </w:pPr>
      <w:bookmarkStart w:id="6" w:name="_ihv636" w:colFirst="0" w:colLast="0"/>
      <w:bookmarkEnd w:id="6"/>
      <w:r>
        <w:rPr>
          <w:rFonts w:ascii="Arial" w:eastAsia="Arial" w:hAnsi="Arial" w:cs="Arial"/>
          <w:sz w:val="24"/>
          <w:szCs w:val="24"/>
        </w:rPr>
        <w:t>Sample contamination and normal concordance</w:t>
      </w:r>
    </w:p>
    <w:p w14:paraId="25F536B7" w14:textId="77777777" w:rsidR="00E94238" w:rsidRDefault="007402C1">
      <w:pPr>
        <w:spacing w:after="0" w:line="480" w:lineRule="auto"/>
        <w:rPr>
          <w:rFonts w:ascii="Arial" w:eastAsia="Arial" w:hAnsi="Arial" w:cs="Arial"/>
          <w:sz w:val="24"/>
          <w:szCs w:val="24"/>
        </w:rPr>
      </w:pPr>
      <w:r>
        <w:rPr>
          <w:rFonts w:ascii="Arial" w:eastAsia="Arial" w:hAnsi="Arial" w:cs="Arial"/>
          <w:sz w:val="24"/>
          <w:szCs w:val="24"/>
        </w:rPr>
        <w:t xml:space="preserve">All samples used in this study were verified to not be contaminated using </w:t>
      </w:r>
      <w:proofErr w:type="spellStart"/>
      <w:r>
        <w:rPr>
          <w:rFonts w:ascii="Arial" w:eastAsia="Arial" w:hAnsi="Arial" w:cs="Arial"/>
          <w:sz w:val="24"/>
          <w:szCs w:val="24"/>
        </w:rPr>
        <w:t>VerifyBamId</w:t>
      </w:r>
      <w:proofErr w:type="spellEnd"/>
      <w:r>
        <w:rPr>
          <w:rFonts w:ascii="Arial" w:eastAsia="Arial" w:hAnsi="Arial" w:cs="Arial"/>
          <w:sz w:val="24"/>
          <w:szCs w:val="24"/>
        </w:rPr>
        <w:t xml:space="preserve"> </w:t>
      </w:r>
      <w:hyperlink r:id="rId9">
        <w:r>
          <w:rPr>
            <w:rFonts w:ascii="Arial" w:eastAsia="Arial" w:hAnsi="Arial" w:cs="Arial"/>
            <w:color w:val="000000"/>
            <w:sz w:val="24"/>
            <w:szCs w:val="24"/>
            <w:vertAlign w:val="superscript"/>
          </w:rPr>
          <w:t>4</w:t>
        </w:r>
      </w:hyperlink>
      <w:r>
        <w:rPr>
          <w:rFonts w:ascii="Arial" w:eastAsia="Arial" w:hAnsi="Arial" w:cs="Arial"/>
          <w:sz w:val="24"/>
          <w:szCs w:val="24"/>
        </w:rPr>
        <w:t xml:space="preserve">, 347 BE samples had low evidence for contamination (median 0.2% (range 0-0.5%),and all 80 </w:t>
      </w:r>
      <w:proofErr w:type="spellStart"/>
      <w:r>
        <w:rPr>
          <w:rFonts w:ascii="Arial" w:eastAsia="Arial" w:hAnsi="Arial" w:cs="Arial"/>
          <w:sz w:val="24"/>
          <w:szCs w:val="24"/>
        </w:rPr>
        <w:t>normals</w:t>
      </w:r>
      <w:proofErr w:type="spellEnd"/>
      <w:r>
        <w:rPr>
          <w:rFonts w:ascii="Arial" w:eastAsia="Arial" w:hAnsi="Arial" w:cs="Arial"/>
          <w:sz w:val="24"/>
          <w:szCs w:val="24"/>
        </w:rPr>
        <w:t xml:space="preserve"> had low evidence for contamination (median 0.2% (range 0-0.7%, Supplementary Table 33). To avoid incorrect pairing of BE biopsies and normal control samples, a small</w:t>
      </w:r>
      <w:r>
        <w:rPr>
          <w:rFonts w:ascii="Arial" w:eastAsia="Arial" w:hAnsi="Arial" w:cs="Arial"/>
          <w:b/>
          <w:sz w:val="24"/>
          <w:szCs w:val="24"/>
        </w:rPr>
        <w:t xml:space="preserve"> </w:t>
      </w:r>
      <w:r>
        <w:rPr>
          <w:rFonts w:ascii="Arial" w:eastAsia="Arial" w:hAnsi="Arial" w:cs="Arial"/>
          <w:sz w:val="24"/>
          <w:szCs w:val="24"/>
        </w:rPr>
        <w:t>panel of polymorphic SNP markers were genotyped in all BE, test gastric and normal control blood/gastric samples and concordance was computed for all pairs. Polymorphic SNVs were taken from</w:t>
      </w:r>
      <w:r>
        <w:rPr>
          <w:rFonts w:ascii="Arial" w:eastAsia="Arial" w:hAnsi="Arial" w:cs="Arial"/>
          <w:b/>
          <w:sz w:val="24"/>
          <w:szCs w:val="24"/>
        </w:rPr>
        <w:t xml:space="preserve"> </w:t>
      </w:r>
      <w:r>
        <w:rPr>
          <w:rFonts w:ascii="Arial" w:eastAsia="Arial" w:hAnsi="Arial" w:cs="Arial"/>
          <w:sz w:val="24"/>
          <w:szCs w:val="24"/>
        </w:rPr>
        <w:t xml:space="preserve">release 3 of the 1000 Genome Project </w:t>
      </w:r>
      <w:hyperlink r:id="rId10">
        <w:r>
          <w:rPr>
            <w:rFonts w:ascii="Arial" w:eastAsia="Arial" w:hAnsi="Arial" w:cs="Arial"/>
            <w:color w:val="000000"/>
            <w:sz w:val="24"/>
            <w:szCs w:val="24"/>
            <w:vertAlign w:val="superscript"/>
          </w:rPr>
          <w:t>5</w:t>
        </w:r>
      </w:hyperlink>
      <w:r>
        <w:rPr>
          <w:rFonts w:ascii="Arial" w:eastAsia="Arial" w:hAnsi="Arial" w:cs="Arial"/>
          <w:sz w:val="24"/>
          <w:szCs w:val="24"/>
        </w:rPr>
        <w:t>, and defined</w:t>
      </w:r>
      <w:r>
        <w:rPr>
          <w:rFonts w:ascii="Arial" w:eastAsia="Arial" w:hAnsi="Arial" w:cs="Arial"/>
          <w:b/>
          <w:sz w:val="24"/>
          <w:szCs w:val="24"/>
        </w:rPr>
        <w:t xml:space="preserve"> </w:t>
      </w:r>
      <w:r>
        <w:rPr>
          <w:rFonts w:ascii="Arial" w:eastAsia="Arial" w:hAnsi="Arial" w:cs="Arial"/>
          <w:sz w:val="24"/>
          <w:szCs w:val="24"/>
        </w:rPr>
        <w:t xml:space="preserve">as having MAF &gt;= 40%, being within Agilent </w:t>
      </w:r>
      <w:proofErr w:type="spellStart"/>
      <w:r>
        <w:rPr>
          <w:rFonts w:ascii="Arial" w:eastAsia="Arial" w:hAnsi="Arial" w:cs="Arial"/>
          <w:sz w:val="24"/>
          <w:szCs w:val="24"/>
        </w:rPr>
        <w:t>SureSelect</w:t>
      </w:r>
      <w:proofErr w:type="spellEnd"/>
      <w:r>
        <w:rPr>
          <w:rFonts w:ascii="Arial" w:eastAsia="Arial" w:hAnsi="Arial" w:cs="Arial"/>
          <w:sz w:val="24"/>
          <w:szCs w:val="24"/>
        </w:rPr>
        <w:t xml:space="preserve"> exome targets, and with pairwise LD &gt; 0.8. This allowed detection of gross sample mismatches. All samples included in this study had a minimum concordance of 99.8% with their paired normal control sample (Supplementary Table 34). </w:t>
      </w:r>
    </w:p>
    <w:p w14:paraId="4B40BF01" w14:textId="77777777" w:rsidR="00E94238" w:rsidRDefault="00E94238">
      <w:pPr>
        <w:spacing w:after="0" w:line="480" w:lineRule="auto"/>
        <w:rPr>
          <w:rFonts w:ascii="Arial" w:eastAsia="Arial" w:hAnsi="Arial" w:cs="Arial"/>
          <w:sz w:val="24"/>
          <w:szCs w:val="24"/>
        </w:rPr>
      </w:pPr>
    </w:p>
    <w:p w14:paraId="0DEC6FDE" w14:textId="77777777" w:rsidR="00E94238" w:rsidRDefault="007402C1">
      <w:pPr>
        <w:spacing w:line="480" w:lineRule="auto"/>
        <w:rPr>
          <w:rFonts w:ascii="Arial" w:eastAsia="Arial" w:hAnsi="Arial" w:cs="Arial"/>
          <w:sz w:val="21"/>
          <w:szCs w:val="21"/>
          <w:highlight w:val="white"/>
        </w:rPr>
      </w:pPr>
      <w:r>
        <w:rPr>
          <w:rFonts w:ascii="Arial" w:eastAsia="Arial" w:hAnsi="Arial" w:cs="Arial"/>
          <w:b/>
          <w:sz w:val="24"/>
          <w:szCs w:val="24"/>
        </w:rPr>
        <w:t>Blood vs. gastric normal control</w:t>
      </w:r>
      <w:r>
        <w:rPr>
          <w:rFonts w:ascii="Arial" w:eastAsia="Arial" w:hAnsi="Arial" w:cs="Arial"/>
          <w:i/>
          <w:sz w:val="24"/>
          <w:szCs w:val="24"/>
        </w:rPr>
        <w:br/>
      </w:r>
      <w:r>
        <w:rPr>
          <w:rFonts w:ascii="Arial" w:eastAsia="Arial" w:hAnsi="Arial" w:cs="Arial"/>
          <w:sz w:val="24"/>
          <w:szCs w:val="24"/>
        </w:rPr>
        <w:t xml:space="preserve">In addition to the blood normal control, a normal gastric sample from the fundus (upper stomach) in seven individuals was sequenced at 60X in the same experiments as that patient’s BE biopsies and treated as if it were a BE biopsy (i.e. paired with the blood normal). In these seven gastric samples only 27 - 43 (mean 34) somatic mutations per </w:t>
      </w:r>
      <w:r>
        <w:rPr>
          <w:rFonts w:ascii="Arial" w:eastAsia="Arial" w:hAnsi="Arial" w:cs="Arial"/>
          <w:sz w:val="24"/>
          <w:szCs w:val="24"/>
        </w:rPr>
        <w:lastRenderedPageBreak/>
        <w:t xml:space="preserve">patient were detected, with only 0-2 mutations shared between the gastric sample and all BE biopsies, well within the range of noise. To assess how likely it would be to have five random biopsies share a mutation, a random sampling of five BE samples were compared to check the frequency of the same SNV/Indel mutation appearing in all five samples. Out of 200,000 runs, a maximum of only three mutations were shared in all five randomly selected biopsies. Thus, in the patients for whom only gastric biopsies were available as the normal control, it was concluded random mutations in the normal gastric would have no significant effect on the mutational profile of their paired BE samples. </w:t>
      </w:r>
    </w:p>
    <w:p w14:paraId="428C5DB5"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7" w:name="_32hioqz" w:colFirst="0" w:colLast="0"/>
      <w:bookmarkEnd w:id="7"/>
      <w:r>
        <w:rPr>
          <w:rFonts w:ascii="Arial" w:eastAsia="Arial" w:hAnsi="Arial" w:cs="Arial"/>
          <w:color w:val="00000A"/>
          <w:sz w:val="24"/>
          <w:szCs w:val="24"/>
        </w:rPr>
        <w:t>Sample purity and ploidy</w:t>
      </w:r>
    </w:p>
    <w:p w14:paraId="1DF3BC3A"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Purity and ploidy for each sample were determined by a modified version of ASCAT </w:t>
      </w:r>
      <w:hyperlink r:id="rId11">
        <w:r>
          <w:rPr>
            <w:rFonts w:ascii="Arial" w:eastAsia="Arial" w:hAnsi="Arial" w:cs="Arial"/>
            <w:color w:val="000000"/>
            <w:sz w:val="24"/>
            <w:szCs w:val="24"/>
            <w:vertAlign w:val="superscript"/>
          </w:rPr>
          <w:t>6</w:t>
        </w:r>
      </w:hyperlink>
      <w:r>
        <w:rPr>
          <w:rFonts w:ascii="Arial" w:eastAsia="Arial" w:hAnsi="Arial" w:cs="Arial"/>
          <w:color w:val="00000A"/>
          <w:sz w:val="24"/>
          <w:szCs w:val="24"/>
        </w:rPr>
        <w:t xml:space="preserve">, with a gamma of 500. Accuracy of the calls of copy number change was determined by comparison to a custom algorithm </w:t>
      </w:r>
      <w:hyperlink r:id="rId12">
        <w:r>
          <w:rPr>
            <w:rFonts w:ascii="Arial" w:eastAsia="Arial" w:hAnsi="Arial" w:cs="Arial"/>
            <w:color w:val="000000"/>
            <w:sz w:val="24"/>
            <w:szCs w:val="24"/>
            <w:vertAlign w:val="superscript"/>
          </w:rPr>
          <w:t>1</w:t>
        </w:r>
      </w:hyperlink>
      <w:r>
        <w:rPr>
          <w:rFonts w:ascii="Arial" w:eastAsia="Arial" w:hAnsi="Arial" w:cs="Arial"/>
          <w:color w:val="00000A"/>
          <w:sz w:val="24"/>
          <w:szCs w:val="24"/>
        </w:rPr>
        <w:t>, which provides 1 Mb resolution for copy number changes but does not give an overall purity and ploidy. In cases where the presence of multiple cell populations reduced the accuracy of the ASCAT calls, manual QC was performed that took into account the likelihood of aneuploidy cell populations (based upon the overall DNA content flow cytometric data from that patient, data not shown) as well as evaluation of allele specific copy number differences and relatedness to other samples from the same patient with less ambiguity in their purity/ploidy determinations from the same patient.</w:t>
      </w:r>
    </w:p>
    <w:p w14:paraId="2A88BDE3"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 </w:t>
      </w:r>
    </w:p>
    <w:p w14:paraId="5AE96583"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Since ASCAT determines purity based upon copy number alterations and </w:t>
      </w:r>
      <w:proofErr w:type="spellStart"/>
      <w:r>
        <w:rPr>
          <w:rFonts w:ascii="Arial" w:eastAsia="Arial" w:hAnsi="Arial" w:cs="Arial"/>
          <w:color w:val="00000A"/>
          <w:sz w:val="24"/>
          <w:szCs w:val="24"/>
        </w:rPr>
        <w:t>cnLOH</w:t>
      </w:r>
      <w:proofErr w:type="spellEnd"/>
      <w:r>
        <w:rPr>
          <w:rFonts w:ascii="Arial" w:eastAsia="Arial" w:hAnsi="Arial" w:cs="Arial"/>
          <w:color w:val="00000A"/>
          <w:sz w:val="24"/>
          <w:szCs w:val="24"/>
        </w:rPr>
        <w:t xml:space="preserve">, it is not able to accurately score purity if a sample contains a large percentage of cells </w:t>
      </w:r>
      <w:r>
        <w:rPr>
          <w:rFonts w:ascii="Arial" w:eastAsia="Arial" w:hAnsi="Arial" w:cs="Arial"/>
          <w:color w:val="00000A"/>
          <w:sz w:val="24"/>
          <w:szCs w:val="24"/>
        </w:rPr>
        <w:lastRenderedPageBreak/>
        <w:t>derived from non-Barrett’s epithelium, e.g., mixed with gastric cardia if the sample was near the GEJ. If a sample displayed evidence of non-BE cell contamination, such as a VAF distribution with a sharp peak around 0.1 rather than around 0.5, and also had a low mutation load (2+ caller mutation load in lowest decile (&lt;5,296 mutations)), purity values derived from mutation based algorithms (NYGC) were used for those samples.</w:t>
      </w:r>
    </w:p>
    <w:p w14:paraId="46E82755"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8" w:name="_1hmsyys" w:colFirst="0" w:colLast="0"/>
      <w:bookmarkEnd w:id="8"/>
      <w:r>
        <w:rPr>
          <w:rFonts w:ascii="Arial" w:eastAsia="Arial" w:hAnsi="Arial" w:cs="Arial"/>
          <w:color w:val="00000A"/>
          <w:sz w:val="24"/>
          <w:szCs w:val="24"/>
        </w:rPr>
        <w:t>SNV and INDEL calling details</w:t>
      </w:r>
    </w:p>
    <w:p w14:paraId="5339D26D" w14:textId="77777777" w:rsidR="00E94238" w:rsidRDefault="007402C1">
      <w:pPr>
        <w:spacing w:after="0" w:line="480" w:lineRule="auto"/>
        <w:rPr>
          <w:rFonts w:ascii="Arial" w:eastAsia="Arial" w:hAnsi="Arial" w:cs="Arial"/>
          <w:color w:val="00000A"/>
          <w:sz w:val="24"/>
          <w:szCs w:val="24"/>
          <w:highlight w:val="yellow"/>
        </w:rPr>
      </w:pPr>
      <w:r>
        <w:rPr>
          <w:rFonts w:ascii="Arial" w:eastAsia="Arial" w:hAnsi="Arial" w:cs="Arial"/>
          <w:color w:val="00000A"/>
          <w:sz w:val="24"/>
          <w:szCs w:val="24"/>
        </w:rPr>
        <w:t xml:space="preserve">Somatic SNVs were called by </w:t>
      </w:r>
      <w:proofErr w:type="spellStart"/>
      <w:r>
        <w:rPr>
          <w:rFonts w:ascii="Arial" w:eastAsia="Arial" w:hAnsi="Arial" w:cs="Arial"/>
          <w:color w:val="00000A"/>
          <w:sz w:val="24"/>
          <w:szCs w:val="24"/>
        </w:rPr>
        <w:t>muTect</w:t>
      </w:r>
      <w:proofErr w:type="spellEnd"/>
      <w:r>
        <w:rPr>
          <w:rFonts w:ascii="Arial" w:eastAsia="Arial" w:hAnsi="Arial" w:cs="Arial"/>
          <w:color w:val="00000A"/>
          <w:sz w:val="24"/>
          <w:szCs w:val="24"/>
        </w:rPr>
        <w:t xml:space="preserve">  v1.1.7 </w:t>
      </w:r>
      <w:hyperlink r:id="rId13">
        <w:r>
          <w:rPr>
            <w:rFonts w:ascii="Arial" w:eastAsia="Arial" w:hAnsi="Arial" w:cs="Arial"/>
            <w:color w:val="000000"/>
            <w:sz w:val="24"/>
            <w:szCs w:val="24"/>
            <w:vertAlign w:val="superscript"/>
          </w:rPr>
          <w:t>7</w:t>
        </w:r>
      </w:hyperlink>
      <w:r>
        <w:rPr>
          <w:rFonts w:ascii="Arial" w:eastAsia="Arial" w:hAnsi="Arial" w:cs="Arial"/>
          <w:color w:val="00000A"/>
          <w:sz w:val="24"/>
          <w:szCs w:val="24"/>
        </w:rPr>
        <w:t xml:space="preserve">, </w:t>
      </w:r>
      <w:proofErr w:type="spellStart"/>
      <w:r>
        <w:rPr>
          <w:rFonts w:ascii="Arial" w:eastAsia="Arial" w:hAnsi="Arial" w:cs="Arial"/>
          <w:color w:val="00000A"/>
          <w:sz w:val="24"/>
          <w:szCs w:val="24"/>
        </w:rPr>
        <w:t>Strelka</w:t>
      </w:r>
      <w:proofErr w:type="spellEnd"/>
      <w:r>
        <w:rPr>
          <w:rFonts w:ascii="Arial" w:eastAsia="Arial" w:hAnsi="Arial" w:cs="Arial"/>
          <w:color w:val="00000A"/>
          <w:sz w:val="24"/>
          <w:szCs w:val="24"/>
        </w:rPr>
        <w:t xml:space="preserve"> v1.0.14 </w:t>
      </w:r>
      <w:hyperlink r:id="rId14">
        <w:r>
          <w:rPr>
            <w:rFonts w:ascii="Arial" w:eastAsia="Arial" w:hAnsi="Arial" w:cs="Arial"/>
            <w:color w:val="000000"/>
            <w:sz w:val="24"/>
            <w:szCs w:val="24"/>
            <w:vertAlign w:val="superscript"/>
          </w:rPr>
          <w:t>8</w:t>
        </w:r>
      </w:hyperlink>
      <w:r>
        <w:rPr>
          <w:rFonts w:ascii="Arial" w:eastAsia="Arial" w:hAnsi="Arial" w:cs="Arial"/>
          <w:color w:val="00000A"/>
          <w:sz w:val="24"/>
          <w:szCs w:val="24"/>
        </w:rPr>
        <w:t xml:space="preserve"> and </w:t>
      </w:r>
      <w:proofErr w:type="spellStart"/>
      <w:r>
        <w:rPr>
          <w:rFonts w:ascii="Arial" w:eastAsia="Arial" w:hAnsi="Arial" w:cs="Arial"/>
          <w:color w:val="00000A"/>
          <w:sz w:val="24"/>
          <w:szCs w:val="24"/>
        </w:rPr>
        <w:t>LoFreq</w:t>
      </w:r>
      <w:proofErr w:type="spellEnd"/>
      <w:r>
        <w:rPr>
          <w:rFonts w:ascii="Arial" w:eastAsia="Arial" w:hAnsi="Arial" w:cs="Arial"/>
          <w:color w:val="00000A"/>
          <w:sz w:val="24"/>
          <w:szCs w:val="24"/>
        </w:rPr>
        <w:t xml:space="preserve"> v2.1.3a </w:t>
      </w:r>
      <w:hyperlink r:id="rId15">
        <w:r>
          <w:rPr>
            <w:rFonts w:ascii="Arial" w:eastAsia="Arial" w:hAnsi="Arial" w:cs="Arial"/>
            <w:color w:val="000000"/>
            <w:sz w:val="24"/>
            <w:szCs w:val="24"/>
            <w:vertAlign w:val="superscript"/>
          </w:rPr>
          <w:t>9</w:t>
        </w:r>
      </w:hyperlink>
      <w:r>
        <w:rPr>
          <w:rFonts w:ascii="Arial" w:eastAsia="Arial" w:hAnsi="Arial" w:cs="Arial"/>
          <w:color w:val="00000A"/>
          <w:sz w:val="24"/>
          <w:szCs w:val="24"/>
        </w:rPr>
        <w:t xml:space="preserve">. Indels were called using </w:t>
      </w:r>
      <w:proofErr w:type="spellStart"/>
      <w:r>
        <w:rPr>
          <w:rFonts w:ascii="Arial" w:eastAsia="Arial" w:hAnsi="Arial" w:cs="Arial"/>
          <w:color w:val="00000A"/>
          <w:sz w:val="24"/>
          <w:szCs w:val="24"/>
        </w:rPr>
        <w:t>Strelka</w:t>
      </w:r>
      <w:proofErr w:type="spellEnd"/>
      <w:r>
        <w:rPr>
          <w:rFonts w:ascii="Arial" w:eastAsia="Arial" w:hAnsi="Arial" w:cs="Arial"/>
          <w:color w:val="00000A"/>
          <w:sz w:val="24"/>
          <w:szCs w:val="24"/>
        </w:rPr>
        <w:t xml:space="preserve">, and somatic versions of </w:t>
      </w:r>
      <w:proofErr w:type="spellStart"/>
      <w:r>
        <w:rPr>
          <w:rFonts w:ascii="Arial" w:eastAsia="Arial" w:hAnsi="Arial" w:cs="Arial"/>
          <w:color w:val="00000A"/>
          <w:sz w:val="24"/>
          <w:szCs w:val="24"/>
        </w:rPr>
        <w:t>Pindel</w:t>
      </w:r>
      <w:proofErr w:type="spellEnd"/>
      <w:r>
        <w:rPr>
          <w:rFonts w:ascii="Arial" w:eastAsia="Arial" w:hAnsi="Arial" w:cs="Arial"/>
          <w:color w:val="00000A"/>
          <w:sz w:val="24"/>
          <w:szCs w:val="24"/>
        </w:rPr>
        <w:t xml:space="preserve">  v0.2.5 </w:t>
      </w:r>
      <w:hyperlink r:id="rId16">
        <w:r>
          <w:rPr>
            <w:rFonts w:ascii="Arial" w:eastAsia="Arial" w:hAnsi="Arial" w:cs="Arial"/>
            <w:color w:val="000000"/>
            <w:sz w:val="24"/>
            <w:szCs w:val="24"/>
            <w:vertAlign w:val="superscript"/>
          </w:rPr>
          <w:t>10</w:t>
        </w:r>
      </w:hyperlink>
      <w:r>
        <w:rPr>
          <w:rFonts w:ascii="Arial" w:eastAsia="Arial" w:hAnsi="Arial" w:cs="Arial"/>
          <w:color w:val="00000A"/>
          <w:sz w:val="24"/>
          <w:szCs w:val="24"/>
        </w:rPr>
        <w:t xml:space="preserve"> and Scalpel v0.5.3 </w:t>
      </w:r>
      <w:hyperlink r:id="rId17">
        <w:r>
          <w:rPr>
            <w:rFonts w:ascii="Arial" w:eastAsia="Arial" w:hAnsi="Arial" w:cs="Arial"/>
            <w:color w:val="000000"/>
            <w:sz w:val="24"/>
            <w:szCs w:val="24"/>
            <w:vertAlign w:val="superscript"/>
          </w:rPr>
          <w:t>11</w:t>
        </w:r>
      </w:hyperlink>
      <w:r>
        <w:rPr>
          <w:rFonts w:ascii="Arial" w:eastAsia="Arial" w:hAnsi="Arial" w:cs="Arial"/>
          <w:color w:val="00000A"/>
          <w:sz w:val="24"/>
          <w:szCs w:val="24"/>
        </w:rPr>
        <w:t xml:space="preserve">. For all analyses only SNVs and indels that were called by at least two callers (2+) were considered in this study (Source Data File 2).  This conservative approach will under-call a proportion of low coverage and low VAF mutations made by single callers. SNVs and indels were filtered using the default filtering criteria of each of the callers. For </w:t>
      </w:r>
      <w:proofErr w:type="spellStart"/>
      <w:r>
        <w:rPr>
          <w:rFonts w:ascii="Arial" w:eastAsia="Arial" w:hAnsi="Arial" w:cs="Arial"/>
          <w:color w:val="00000A"/>
          <w:sz w:val="24"/>
          <w:szCs w:val="24"/>
        </w:rPr>
        <w:t>Pindel</w:t>
      </w:r>
      <w:proofErr w:type="spellEnd"/>
      <w:r>
        <w:rPr>
          <w:rFonts w:ascii="Arial" w:eastAsia="Arial" w:hAnsi="Arial" w:cs="Arial"/>
          <w:color w:val="00000A"/>
          <w:sz w:val="24"/>
          <w:szCs w:val="24"/>
        </w:rPr>
        <w:t xml:space="preserve"> and Scalpel (natively germline callers) custom in-house scripts were used for filtering. For all callers except </w:t>
      </w:r>
      <w:proofErr w:type="spellStart"/>
      <w:r>
        <w:rPr>
          <w:rFonts w:ascii="Arial" w:eastAsia="Arial" w:hAnsi="Arial" w:cs="Arial"/>
          <w:color w:val="00000A"/>
          <w:sz w:val="24"/>
          <w:szCs w:val="24"/>
        </w:rPr>
        <w:t>muTect</w:t>
      </w:r>
      <w:proofErr w:type="spellEnd"/>
      <w:r>
        <w:rPr>
          <w:rFonts w:ascii="Arial" w:eastAsia="Arial" w:hAnsi="Arial" w:cs="Arial"/>
          <w:color w:val="00000A"/>
          <w:sz w:val="24"/>
          <w:szCs w:val="24"/>
        </w:rPr>
        <w:t xml:space="preserve">, we required FILTER=PASS; for </w:t>
      </w:r>
      <w:proofErr w:type="spellStart"/>
      <w:r>
        <w:rPr>
          <w:rFonts w:ascii="Arial" w:eastAsia="Arial" w:hAnsi="Arial" w:cs="Arial"/>
          <w:color w:val="00000A"/>
          <w:sz w:val="24"/>
          <w:szCs w:val="24"/>
        </w:rPr>
        <w:t>muTect</w:t>
      </w:r>
      <w:proofErr w:type="spellEnd"/>
      <w:r>
        <w:rPr>
          <w:rFonts w:ascii="Arial" w:eastAsia="Arial" w:hAnsi="Arial" w:cs="Arial"/>
          <w:color w:val="00000A"/>
          <w:sz w:val="24"/>
          <w:szCs w:val="24"/>
        </w:rPr>
        <w:t xml:space="preserve"> we required PASS in the filter field of the VCF file. </w:t>
      </w:r>
      <w:proofErr w:type="spellStart"/>
      <w:r>
        <w:rPr>
          <w:rFonts w:ascii="Arial" w:eastAsia="Arial" w:hAnsi="Arial" w:cs="Arial"/>
          <w:color w:val="00000A"/>
          <w:sz w:val="24"/>
          <w:szCs w:val="24"/>
        </w:rPr>
        <w:t>Triallelic</w:t>
      </w:r>
      <w:proofErr w:type="spellEnd"/>
      <w:r>
        <w:rPr>
          <w:rFonts w:ascii="Arial" w:eastAsia="Arial" w:hAnsi="Arial" w:cs="Arial"/>
          <w:color w:val="00000A"/>
          <w:sz w:val="24"/>
          <w:szCs w:val="24"/>
        </w:rPr>
        <w:t xml:space="preserve"> positions were removed as some of the SNV callers (e.g. </w:t>
      </w:r>
      <w:proofErr w:type="spellStart"/>
      <w:r>
        <w:rPr>
          <w:rFonts w:ascii="Arial" w:eastAsia="Arial" w:hAnsi="Arial" w:cs="Arial"/>
          <w:color w:val="00000A"/>
          <w:sz w:val="24"/>
          <w:szCs w:val="24"/>
        </w:rPr>
        <w:t>muTect</w:t>
      </w:r>
      <w:proofErr w:type="spellEnd"/>
      <w:r>
        <w:rPr>
          <w:rFonts w:ascii="Arial" w:eastAsia="Arial" w:hAnsi="Arial" w:cs="Arial"/>
          <w:color w:val="00000A"/>
          <w:sz w:val="24"/>
          <w:szCs w:val="24"/>
        </w:rPr>
        <w:t xml:space="preserve">) remove them by default, and previous experience has shown that a high proportion of </w:t>
      </w:r>
      <w:proofErr w:type="spellStart"/>
      <w:r>
        <w:rPr>
          <w:rFonts w:ascii="Arial" w:eastAsia="Arial" w:hAnsi="Arial" w:cs="Arial"/>
          <w:color w:val="00000A"/>
          <w:sz w:val="24"/>
          <w:szCs w:val="24"/>
        </w:rPr>
        <w:t>triallelic</w:t>
      </w:r>
      <w:proofErr w:type="spellEnd"/>
      <w:r>
        <w:rPr>
          <w:rFonts w:ascii="Arial" w:eastAsia="Arial" w:hAnsi="Arial" w:cs="Arial"/>
          <w:color w:val="00000A"/>
          <w:sz w:val="24"/>
          <w:szCs w:val="24"/>
        </w:rPr>
        <w:t xml:space="preserve"> sites are due to technical errors. In addition, a subset of artifactual calls were removed </w:t>
      </w:r>
      <w:proofErr w:type="gramStart"/>
      <w:r>
        <w:rPr>
          <w:rFonts w:ascii="Arial" w:eastAsia="Arial" w:hAnsi="Arial" w:cs="Arial"/>
          <w:color w:val="00000A"/>
          <w:sz w:val="24"/>
          <w:szCs w:val="24"/>
        </w:rPr>
        <w:t>by the use of</w:t>
      </w:r>
      <w:proofErr w:type="gramEnd"/>
      <w:r>
        <w:rPr>
          <w:rFonts w:ascii="Arial" w:eastAsia="Arial" w:hAnsi="Arial" w:cs="Arial"/>
          <w:color w:val="00000A"/>
          <w:sz w:val="24"/>
          <w:szCs w:val="24"/>
        </w:rPr>
        <w:t xml:space="preserve"> a blacklist created by calling somatic variants on 16 random pairings of 80x/40x in-house sequenced HapMap WGS data. </w:t>
      </w:r>
    </w:p>
    <w:p w14:paraId="6C4A84AC" w14:textId="77777777" w:rsidR="00E94238" w:rsidRDefault="00E94238">
      <w:pPr>
        <w:spacing w:after="0" w:line="480" w:lineRule="auto"/>
        <w:rPr>
          <w:rFonts w:ascii="Arial" w:eastAsia="Arial" w:hAnsi="Arial" w:cs="Arial"/>
          <w:color w:val="00000A"/>
          <w:sz w:val="24"/>
          <w:szCs w:val="24"/>
          <w:highlight w:val="yellow"/>
        </w:rPr>
      </w:pPr>
    </w:p>
    <w:p w14:paraId="01D0BBF7" w14:textId="77777777" w:rsidR="00E94238" w:rsidRDefault="007402C1">
      <w:pPr>
        <w:spacing w:after="0" w:line="480" w:lineRule="auto"/>
        <w:rPr>
          <w:rFonts w:ascii="Arial" w:eastAsia="Arial" w:hAnsi="Arial" w:cs="Arial"/>
          <w:i/>
          <w:color w:val="00000A"/>
          <w:sz w:val="24"/>
          <w:szCs w:val="24"/>
        </w:rPr>
      </w:pPr>
      <w:r>
        <w:rPr>
          <w:rFonts w:ascii="Arial" w:eastAsia="Arial" w:hAnsi="Arial" w:cs="Arial"/>
          <w:i/>
          <w:color w:val="00000A"/>
          <w:sz w:val="24"/>
          <w:szCs w:val="24"/>
        </w:rPr>
        <w:t>Common germline variants</w:t>
      </w:r>
    </w:p>
    <w:p w14:paraId="3FC7A169" w14:textId="77777777" w:rsidR="00E94238" w:rsidRDefault="007402C1">
      <w:pPr>
        <w:spacing w:after="0" w:line="480" w:lineRule="auto"/>
        <w:rPr>
          <w:rFonts w:ascii="Arial" w:eastAsia="Arial" w:hAnsi="Arial" w:cs="Arial"/>
          <w:color w:val="00000A"/>
          <w:sz w:val="24"/>
          <w:szCs w:val="24"/>
        </w:rPr>
      </w:pPr>
      <w:r>
        <w:rPr>
          <w:rFonts w:ascii="Arial Unicode MS" w:eastAsia="Arial Unicode MS" w:hAnsi="Arial Unicode MS" w:cs="Arial Unicode MS"/>
          <w:color w:val="00000A"/>
          <w:sz w:val="24"/>
          <w:szCs w:val="24"/>
        </w:rPr>
        <w:lastRenderedPageBreak/>
        <w:t>The resulting set of SNVs and indels was further filtered to remove common variants seen at MAF ≥ 5% in</w:t>
      </w:r>
      <w:r>
        <w:rPr>
          <w:rFonts w:ascii="Arial" w:eastAsia="Arial" w:hAnsi="Arial" w:cs="Arial"/>
          <w:i/>
          <w:color w:val="00000A"/>
          <w:sz w:val="24"/>
          <w:szCs w:val="24"/>
        </w:rPr>
        <w:t xml:space="preserve"> DNMT3A, TET2, JAK2, ASXL1, TP53, GNAS, PPM1D, BCORL1</w:t>
      </w:r>
      <w:r>
        <w:rPr>
          <w:rFonts w:ascii="Arial" w:eastAsia="Arial" w:hAnsi="Arial" w:cs="Arial"/>
          <w:color w:val="00000A"/>
          <w:sz w:val="24"/>
          <w:szCs w:val="24"/>
        </w:rPr>
        <w:t xml:space="preserve"> and </w:t>
      </w:r>
      <w:r>
        <w:rPr>
          <w:rFonts w:ascii="Arial" w:eastAsia="Arial" w:hAnsi="Arial" w:cs="Arial"/>
          <w:i/>
          <w:color w:val="00000A"/>
          <w:sz w:val="24"/>
          <w:szCs w:val="24"/>
        </w:rPr>
        <w:t>SF3B1</w:t>
      </w:r>
      <w:r>
        <w:rPr>
          <w:rFonts w:ascii="Arial" w:eastAsia="Arial" w:hAnsi="Arial" w:cs="Arial"/>
          <w:color w:val="00000A"/>
          <w:sz w:val="24"/>
          <w:szCs w:val="24"/>
        </w:rPr>
        <w:t xml:space="preserve"> genes (see </w:t>
      </w:r>
      <w:proofErr w:type="spellStart"/>
      <w:r>
        <w:rPr>
          <w:rFonts w:ascii="Arial" w:eastAsia="Arial" w:hAnsi="Arial" w:cs="Arial"/>
          <w:color w:val="00000A"/>
          <w:sz w:val="24"/>
          <w:szCs w:val="24"/>
        </w:rPr>
        <w:t>Xie</w:t>
      </w:r>
      <w:proofErr w:type="spellEnd"/>
      <w:r>
        <w:rPr>
          <w:rFonts w:ascii="Arial" w:eastAsia="Arial" w:hAnsi="Arial" w:cs="Arial"/>
          <w:color w:val="00000A"/>
          <w:sz w:val="24"/>
          <w:szCs w:val="24"/>
        </w:rPr>
        <w:t xml:space="preserve"> et al., 2014 </w:t>
      </w:r>
      <w:hyperlink r:id="rId18">
        <w:r>
          <w:rPr>
            <w:rFonts w:ascii="Arial" w:eastAsia="Arial" w:hAnsi="Arial" w:cs="Arial"/>
            <w:color w:val="000000"/>
            <w:sz w:val="24"/>
            <w:szCs w:val="24"/>
            <w:vertAlign w:val="superscript"/>
          </w:rPr>
          <w:t>12</w:t>
        </w:r>
      </w:hyperlink>
      <w:r>
        <w:rPr>
          <w:rFonts w:ascii="Arial Unicode MS" w:eastAsia="Arial Unicode MS" w:hAnsi="Arial Unicode MS" w:cs="Arial Unicode MS"/>
          <w:color w:val="00000A"/>
          <w:sz w:val="24"/>
          <w:szCs w:val="24"/>
        </w:rPr>
        <w:t xml:space="preserve">) or at MAF ≥ 1% elsewhere in the genome, as reported in the 1000 Genomes Project release 3 </w:t>
      </w:r>
      <w:hyperlink r:id="rId19">
        <w:r>
          <w:rPr>
            <w:rFonts w:ascii="Arial" w:eastAsia="Arial" w:hAnsi="Arial" w:cs="Arial"/>
            <w:color w:val="000000"/>
            <w:sz w:val="24"/>
            <w:szCs w:val="24"/>
            <w:vertAlign w:val="superscript"/>
          </w:rPr>
          <w:t>5</w:t>
        </w:r>
      </w:hyperlink>
      <w:r>
        <w:rPr>
          <w:rFonts w:ascii="Arial" w:eastAsia="Arial" w:hAnsi="Arial" w:cs="Arial"/>
          <w:color w:val="00000A"/>
          <w:sz w:val="24"/>
          <w:szCs w:val="24"/>
        </w:rPr>
        <w:t xml:space="preserve"> and the Exome Aggregation Consortium (</w:t>
      </w:r>
      <w:proofErr w:type="spellStart"/>
      <w:r>
        <w:rPr>
          <w:rFonts w:ascii="Arial" w:eastAsia="Arial" w:hAnsi="Arial" w:cs="Arial"/>
          <w:color w:val="00000A"/>
          <w:sz w:val="24"/>
          <w:szCs w:val="24"/>
        </w:rPr>
        <w:t>ExAC</w:t>
      </w:r>
      <w:proofErr w:type="spellEnd"/>
      <w:r>
        <w:rPr>
          <w:rFonts w:ascii="Arial" w:eastAsia="Arial" w:hAnsi="Arial" w:cs="Arial"/>
          <w:color w:val="00000A"/>
          <w:sz w:val="24"/>
          <w:szCs w:val="24"/>
        </w:rPr>
        <w:t>) server (</w:t>
      </w:r>
      <w:r w:rsidRPr="00FE27B0">
        <w:rPr>
          <w:rFonts w:ascii="Arial" w:eastAsia="Arial" w:hAnsi="Arial" w:cs="Arial"/>
          <w:sz w:val="24"/>
          <w:szCs w:val="24"/>
        </w:rPr>
        <w:t>http://exac.broadinstitute.org</w:t>
      </w:r>
      <w:r>
        <w:rPr>
          <w:rFonts w:ascii="Arial" w:eastAsia="Arial" w:hAnsi="Arial" w:cs="Arial"/>
          <w:color w:val="00000A"/>
          <w:sz w:val="24"/>
          <w:szCs w:val="24"/>
        </w:rPr>
        <w:t>), because these are considered unlikely to be important in cancer.</w:t>
      </w:r>
    </w:p>
    <w:p w14:paraId="68881934" w14:textId="77777777" w:rsidR="00E94238" w:rsidRDefault="00E94238">
      <w:pPr>
        <w:spacing w:after="0" w:line="480" w:lineRule="auto"/>
        <w:rPr>
          <w:rFonts w:ascii="Arial" w:eastAsia="Arial" w:hAnsi="Arial" w:cs="Arial"/>
          <w:color w:val="00000A"/>
          <w:sz w:val="16"/>
          <w:szCs w:val="16"/>
        </w:rPr>
      </w:pPr>
    </w:p>
    <w:p w14:paraId="483BCB7D" w14:textId="77777777" w:rsidR="00E94238" w:rsidRDefault="007402C1">
      <w:pPr>
        <w:spacing w:after="0" w:line="480" w:lineRule="auto"/>
        <w:rPr>
          <w:rFonts w:ascii="Arial" w:eastAsia="Arial" w:hAnsi="Arial" w:cs="Arial"/>
          <w:i/>
          <w:color w:val="00000A"/>
          <w:sz w:val="24"/>
          <w:szCs w:val="24"/>
        </w:rPr>
      </w:pPr>
      <w:r>
        <w:rPr>
          <w:rFonts w:ascii="Arial" w:eastAsia="Arial" w:hAnsi="Arial" w:cs="Arial"/>
          <w:i/>
          <w:color w:val="00000A"/>
          <w:sz w:val="24"/>
          <w:szCs w:val="24"/>
        </w:rPr>
        <w:t>Unified Allele Count filter</w:t>
      </w:r>
    </w:p>
    <w:p w14:paraId="38FA4DF5"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Because callers often return different ref/alt allele counts for the same variant, a unified allele count (UAC) was used. Computation of UAC was based on the </w:t>
      </w:r>
      <w:proofErr w:type="spellStart"/>
      <w:r>
        <w:rPr>
          <w:rFonts w:ascii="Arial" w:eastAsia="Arial" w:hAnsi="Arial" w:cs="Arial"/>
          <w:color w:val="00000A"/>
          <w:sz w:val="24"/>
          <w:szCs w:val="24"/>
        </w:rPr>
        <w:t>bamreadcount</w:t>
      </w:r>
      <w:proofErr w:type="spellEnd"/>
      <w:r>
        <w:rPr>
          <w:rFonts w:ascii="Arial" w:eastAsia="Arial" w:hAnsi="Arial" w:cs="Arial"/>
          <w:color w:val="00000A"/>
          <w:sz w:val="24"/>
          <w:szCs w:val="24"/>
        </w:rPr>
        <w:t xml:space="preserve"> tool </w:t>
      </w:r>
      <w:hyperlink r:id="rId20">
        <w:r>
          <w:rPr>
            <w:rFonts w:ascii="Arial" w:eastAsia="Arial" w:hAnsi="Arial" w:cs="Arial"/>
            <w:color w:val="000000"/>
            <w:sz w:val="24"/>
            <w:szCs w:val="24"/>
            <w:vertAlign w:val="superscript"/>
          </w:rPr>
          <w:t>13</w:t>
        </w:r>
      </w:hyperlink>
      <w:r>
        <w:rPr>
          <w:rFonts w:ascii="Arial" w:eastAsia="Arial" w:hAnsi="Arial" w:cs="Arial"/>
          <w:color w:val="00000A"/>
          <w:sz w:val="24"/>
          <w:szCs w:val="24"/>
        </w:rPr>
        <w:t xml:space="preserve">.  For each variant, four values were generated that were independent of callers: </w:t>
      </w:r>
      <w:proofErr w:type="spellStart"/>
      <w:r>
        <w:rPr>
          <w:rFonts w:ascii="Arial" w:eastAsia="Arial" w:hAnsi="Arial" w:cs="Arial"/>
          <w:color w:val="00000A"/>
          <w:sz w:val="24"/>
          <w:szCs w:val="24"/>
        </w:rPr>
        <w:t>tumorref</w:t>
      </w:r>
      <w:proofErr w:type="spellEnd"/>
      <w:r>
        <w:rPr>
          <w:rFonts w:ascii="Arial" w:eastAsia="Arial" w:hAnsi="Arial" w:cs="Arial"/>
          <w:color w:val="00000A"/>
          <w:sz w:val="24"/>
          <w:szCs w:val="24"/>
        </w:rPr>
        <w:t xml:space="preserve">, </w:t>
      </w:r>
      <w:proofErr w:type="spellStart"/>
      <w:r>
        <w:rPr>
          <w:rFonts w:ascii="Arial" w:eastAsia="Arial" w:hAnsi="Arial" w:cs="Arial"/>
          <w:color w:val="00000A"/>
          <w:sz w:val="24"/>
          <w:szCs w:val="24"/>
        </w:rPr>
        <w:t>tumoralt</w:t>
      </w:r>
      <w:proofErr w:type="spellEnd"/>
      <w:r>
        <w:rPr>
          <w:rFonts w:ascii="Arial" w:eastAsia="Arial" w:hAnsi="Arial" w:cs="Arial"/>
          <w:color w:val="00000A"/>
          <w:sz w:val="24"/>
          <w:szCs w:val="24"/>
        </w:rPr>
        <w:t xml:space="preserve">, </w:t>
      </w:r>
      <w:proofErr w:type="spellStart"/>
      <w:r>
        <w:rPr>
          <w:rFonts w:ascii="Arial" w:eastAsia="Arial" w:hAnsi="Arial" w:cs="Arial"/>
          <w:color w:val="00000A"/>
          <w:sz w:val="24"/>
          <w:szCs w:val="24"/>
        </w:rPr>
        <w:t>normalref</w:t>
      </w:r>
      <w:proofErr w:type="spellEnd"/>
      <w:r>
        <w:rPr>
          <w:rFonts w:ascii="Arial" w:eastAsia="Arial" w:hAnsi="Arial" w:cs="Arial"/>
          <w:color w:val="00000A"/>
          <w:sz w:val="24"/>
          <w:szCs w:val="24"/>
        </w:rPr>
        <w:t xml:space="preserve">, </w:t>
      </w:r>
      <w:proofErr w:type="spellStart"/>
      <w:r>
        <w:rPr>
          <w:rFonts w:ascii="Arial" w:eastAsia="Arial" w:hAnsi="Arial" w:cs="Arial"/>
          <w:color w:val="00000A"/>
          <w:sz w:val="24"/>
          <w:szCs w:val="24"/>
        </w:rPr>
        <w:t>normalalt</w:t>
      </w:r>
      <w:proofErr w:type="spellEnd"/>
      <w:r>
        <w:rPr>
          <w:rFonts w:ascii="Arial" w:eastAsia="Arial" w:hAnsi="Arial" w:cs="Arial"/>
          <w:color w:val="00000A"/>
          <w:sz w:val="24"/>
          <w:szCs w:val="24"/>
        </w:rPr>
        <w:t xml:space="preserve">. If the </w:t>
      </w:r>
      <w:proofErr w:type="spellStart"/>
      <w:r>
        <w:rPr>
          <w:rFonts w:ascii="Arial" w:eastAsia="Arial" w:hAnsi="Arial" w:cs="Arial"/>
          <w:color w:val="00000A"/>
          <w:sz w:val="24"/>
          <w:szCs w:val="24"/>
        </w:rPr>
        <w:t>tumor_VAF</w:t>
      </w:r>
      <w:proofErr w:type="spellEnd"/>
      <w:r>
        <w:rPr>
          <w:rFonts w:ascii="Arial" w:eastAsia="Arial" w:hAnsi="Arial" w:cs="Arial"/>
          <w:color w:val="00000A"/>
          <w:sz w:val="24"/>
          <w:szCs w:val="24"/>
        </w:rPr>
        <w:t xml:space="preserve"> &lt; </w:t>
      </w:r>
      <w:proofErr w:type="spellStart"/>
      <w:r>
        <w:rPr>
          <w:rFonts w:ascii="Arial" w:eastAsia="Arial" w:hAnsi="Arial" w:cs="Arial"/>
          <w:color w:val="00000A"/>
          <w:sz w:val="24"/>
          <w:szCs w:val="24"/>
        </w:rPr>
        <w:t>normal_VAF</w:t>
      </w:r>
      <w:proofErr w:type="spellEnd"/>
      <w:r>
        <w:rPr>
          <w:rFonts w:ascii="Arial" w:eastAsia="Arial" w:hAnsi="Arial" w:cs="Arial"/>
          <w:color w:val="00000A"/>
          <w:sz w:val="24"/>
          <w:szCs w:val="24"/>
        </w:rPr>
        <w:t xml:space="preserve"> the variant was discarded.</w:t>
      </w:r>
    </w:p>
    <w:p w14:paraId="758D77C8" w14:textId="77777777" w:rsidR="00E94238" w:rsidRDefault="00E94238">
      <w:pPr>
        <w:spacing w:after="0" w:line="480" w:lineRule="auto"/>
        <w:rPr>
          <w:rFonts w:ascii="Arial" w:eastAsia="Arial" w:hAnsi="Arial" w:cs="Arial"/>
          <w:color w:val="00000A"/>
          <w:sz w:val="24"/>
          <w:szCs w:val="24"/>
          <w:highlight w:val="yellow"/>
        </w:rPr>
      </w:pPr>
    </w:p>
    <w:p w14:paraId="4F39344F"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9" w:name="_41mghml" w:colFirst="0" w:colLast="0"/>
      <w:bookmarkEnd w:id="9"/>
      <w:r>
        <w:rPr>
          <w:rFonts w:ascii="Arial" w:eastAsia="Arial" w:hAnsi="Arial" w:cs="Arial"/>
          <w:color w:val="00000A"/>
          <w:sz w:val="24"/>
          <w:szCs w:val="24"/>
        </w:rPr>
        <w:t>SNV and Indel annotation</w:t>
      </w:r>
    </w:p>
    <w:p w14:paraId="60988FE4"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Mutations were annotated by </w:t>
      </w:r>
      <w:proofErr w:type="spellStart"/>
      <w:r>
        <w:rPr>
          <w:rFonts w:ascii="Arial" w:eastAsia="Arial" w:hAnsi="Arial" w:cs="Arial"/>
          <w:color w:val="00000A"/>
          <w:sz w:val="24"/>
          <w:szCs w:val="24"/>
        </w:rPr>
        <w:t>SnpEff</w:t>
      </w:r>
      <w:proofErr w:type="spellEnd"/>
      <w:r>
        <w:rPr>
          <w:rFonts w:ascii="Arial" w:eastAsia="Arial" w:hAnsi="Arial" w:cs="Arial"/>
          <w:color w:val="00000A"/>
          <w:sz w:val="24"/>
          <w:szCs w:val="24"/>
        </w:rPr>
        <w:t xml:space="preserve"> version 4.2 (build 2015-12-05) to associate each mutation with </w:t>
      </w:r>
      <w:proofErr w:type="spellStart"/>
      <w:r>
        <w:rPr>
          <w:rFonts w:ascii="Arial" w:eastAsia="Arial" w:hAnsi="Arial" w:cs="Arial"/>
          <w:color w:val="00000A"/>
          <w:sz w:val="24"/>
          <w:szCs w:val="24"/>
        </w:rPr>
        <w:t>Ensembl</w:t>
      </w:r>
      <w:proofErr w:type="spellEnd"/>
      <w:r>
        <w:rPr>
          <w:rFonts w:ascii="Arial" w:eastAsia="Arial" w:hAnsi="Arial" w:cs="Arial"/>
          <w:color w:val="00000A"/>
          <w:sz w:val="24"/>
          <w:szCs w:val="24"/>
        </w:rPr>
        <w:t xml:space="preserve"> 75 transcripts, as well as the predicted impact (High, Moderate, Low, or Modifier) these mutations would have on these transcripts. “Functional” mutations were defined as High or Moderate impact. When multiple annotations were given for the same mutation, the most severe was used.</w:t>
      </w:r>
    </w:p>
    <w:p w14:paraId="57D50BD2" w14:textId="77777777" w:rsidR="00E94238" w:rsidRDefault="00E94238">
      <w:pPr>
        <w:spacing w:after="0" w:line="480" w:lineRule="auto"/>
        <w:rPr>
          <w:rFonts w:ascii="Arial" w:eastAsia="Arial" w:hAnsi="Arial" w:cs="Arial"/>
          <w:color w:val="00000A"/>
          <w:sz w:val="24"/>
          <w:szCs w:val="24"/>
        </w:rPr>
      </w:pPr>
    </w:p>
    <w:p w14:paraId="23336A02" w14:textId="5BE2A99B" w:rsidR="00E94238" w:rsidRDefault="007402C1">
      <w:pPr>
        <w:spacing w:after="0" w:line="480" w:lineRule="auto"/>
        <w:rPr>
          <w:rFonts w:ascii="Arial" w:eastAsia="Arial" w:hAnsi="Arial" w:cs="Arial"/>
          <w:i/>
          <w:color w:val="00000A"/>
          <w:sz w:val="24"/>
          <w:szCs w:val="24"/>
        </w:rPr>
      </w:pPr>
      <w:r>
        <w:rPr>
          <w:rFonts w:ascii="Arial" w:eastAsia="Arial" w:hAnsi="Arial" w:cs="Arial"/>
          <w:color w:val="00000A"/>
          <w:sz w:val="24"/>
          <w:szCs w:val="24"/>
        </w:rPr>
        <w:t xml:space="preserve">Unless indicated otherwise, “mutations” are defined as SNVs and indels, and “unique mutations” as the collection of all mutations within a patient, removing duplicates.  </w:t>
      </w:r>
      <w:r>
        <w:rPr>
          <w:rFonts w:ascii="Arial" w:eastAsia="Arial" w:hAnsi="Arial" w:cs="Arial"/>
          <w:color w:val="00000A"/>
          <w:sz w:val="24"/>
          <w:szCs w:val="24"/>
        </w:rPr>
        <w:lastRenderedPageBreak/>
        <w:t>Mutations were classified as private if found in only one biopsy of a given patient and shared if they were found in more than one.  Mutations were deemed identical if they shared chromosome, position, and REF to ALT change.</w:t>
      </w:r>
    </w:p>
    <w:p w14:paraId="067685BA" w14:textId="77777777" w:rsidR="00E94238" w:rsidRDefault="007402C1">
      <w:pPr>
        <w:pStyle w:val="Heading3"/>
        <w:keepNext/>
        <w:keepLines/>
        <w:spacing w:before="240" w:after="40" w:line="480" w:lineRule="auto"/>
        <w:rPr>
          <w:rFonts w:ascii="Arial" w:eastAsia="Arial" w:hAnsi="Arial" w:cs="Arial"/>
          <w:b w:val="0"/>
          <w:color w:val="00000A"/>
          <w:sz w:val="24"/>
          <w:szCs w:val="24"/>
        </w:rPr>
      </w:pPr>
      <w:bookmarkStart w:id="10" w:name="_2grqrue" w:colFirst="0" w:colLast="0"/>
      <w:bookmarkEnd w:id="10"/>
      <w:r>
        <w:rPr>
          <w:rFonts w:ascii="Arial" w:eastAsia="Arial" w:hAnsi="Arial" w:cs="Arial"/>
          <w:color w:val="00000A"/>
          <w:sz w:val="24"/>
          <w:szCs w:val="24"/>
        </w:rPr>
        <w:t>Gene name aliases</w:t>
      </w:r>
    </w:p>
    <w:p w14:paraId="0BF4F07D" w14:textId="2191758E"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Gene names used by somatic SNV and indel callers, structural variant callers, and pathway sources were brought in concordance with one another. HUGO gene names were used as the standard and a list of aliases for each gene was compiled. Gene names from pathways were cross referenced with the Hugo gene names; those names that didn’t match were further investigated using </w:t>
      </w:r>
      <w:proofErr w:type="spellStart"/>
      <w:r>
        <w:rPr>
          <w:rFonts w:ascii="Arial" w:eastAsia="Arial" w:hAnsi="Arial" w:cs="Arial"/>
          <w:color w:val="00000A"/>
          <w:sz w:val="24"/>
          <w:szCs w:val="24"/>
        </w:rPr>
        <w:t>GenCode</w:t>
      </w:r>
      <w:proofErr w:type="spellEnd"/>
      <w:r>
        <w:rPr>
          <w:rFonts w:ascii="Arial" w:eastAsia="Arial" w:hAnsi="Arial" w:cs="Arial"/>
          <w:color w:val="00000A"/>
          <w:sz w:val="24"/>
          <w:szCs w:val="24"/>
        </w:rPr>
        <w:t xml:space="preserve"> (v18) and </w:t>
      </w:r>
      <w:proofErr w:type="spellStart"/>
      <w:r>
        <w:rPr>
          <w:rFonts w:ascii="Arial" w:eastAsia="Arial" w:hAnsi="Arial" w:cs="Arial"/>
          <w:color w:val="00000A"/>
          <w:sz w:val="24"/>
          <w:szCs w:val="24"/>
        </w:rPr>
        <w:t>UniProt</w:t>
      </w:r>
      <w:proofErr w:type="spellEnd"/>
      <w:r>
        <w:rPr>
          <w:rFonts w:ascii="Arial" w:eastAsia="Arial" w:hAnsi="Arial" w:cs="Arial"/>
          <w:color w:val="00000A"/>
          <w:sz w:val="24"/>
          <w:szCs w:val="24"/>
        </w:rPr>
        <w:t>. Any remaining gene names manually curated to either convert them to our target list or dropped as not being genes. The final target list included 6,293 gene names across the 321 pathways. Pathway names are listed in</w:t>
      </w:r>
      <w:hyperlink r:id="rId21">
        <w:r>
          <w:rPr>
            <w:rFonts w:ascii="Arial" w:eastAsia="Arial" w:hAnsi="Arial" w:cs="Arial"/>
            <w:color w:val="00000A"/>
            <w:sz w:val="24"/>
            <w:szCs w:val="24"/>
          </w:rPr>
          <w:t xml:space="preserve"> </w:t>
        </w:r>
      </w:hyperlink>
      <w:r>
        <w:rPr>
          <w:rFonts w:ascii="Arial" w:eastAsia="Arial" w:hAnsi="Arial" w:cs="Arial"/>
          <w:color w:val="00000A"/>
          <w:sz w:val="24"/>
          <w:szCs w:val="24"/>
        </w:rPr>
        <w:t xml:space="preserve">Supplementary Table 16. </w:t>
      </w:r>
    </w:p>
    <w:p w14:paraId="4EBA9C90" w14:textId="77777777" w:rsidR="00E94238" w:rsidRDefault="00E94238">
      <w:pPr>
        <w:spacing w:after="0" w:line="480" w:lineRule="auto"/>
        <w:rPr>
          <w:rFonts w:ascii="Arial" w:eastAsia="Arial" w:hAnsi="Arial" w:cs="Arial"/>
          <w:color w:val="00000A"/>
          <w:sz w:val="24"/>
          <w:szCs w:val="24"/>
        </w:rPr>
      </w:pPr>
    </w:p>
    <w:p w14:paraId="68152025"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11" w:name="_vx1227" w:colFirst="0" w:colLast="0"/>
      <w:bookmarkEnd w:id="11"/>
      <w:r>
        <w:rPr>
          <w:rFonts w:ascii="Arial" w:eastAsia="Arial" w:hAnsi="Arial" w:cs="Arial"/>
          <w:color w:val="00000A"/>
          <w:sz w:val="24"/>
          <w:szCs w:val="24"/>
        </w:rPr>
        <w:t>Telomere length estimation</w:t>
      </w:r>
    </w:p>
    <w:p w14:paraId="0D7F117F" w14:textId="0BA3DEF6"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To determine average telomere length in each extracted epithelial isolated DNA, a novel method (</w:t>
      </w:r>
      <w:proofErr w:type="spellStart"/>
      <w:r>
        <w:rPr>
          <w:rFonts w:ascii="Arial" w:eastAsia="Arial" w:hAnsi="Arial" w:cs="Arial"/>
          <w:color w:val="00000A"/>
          <w:sz w:val="24"/>
          <w:szCs w:val="24"/>
        </w:rPr>
        <w:t>Telomeasure</w:t>
      </w:r>
      <w:proofErr w:type="spellEnd"/>
      <w:r>
        <w:rPr>
          <w:rFonts w:ascii="Arial" w:eastAsia="Arial" w:hAnsi="Arial" w:cs="Arial"/>
          <w:color w:val="00000A"/>
          <w:sz w:val="24"/>
          <w:szCs w:val="24"/>
        </w:rPr>
        <w:t>) was developed that uses chromosome arm-level coverage to infer the number of telomeres and alignment to mock-human telomeres to estimate telomeric DNA content (</w:t>
      </w:r>
      <w:r w:rsidRPr="00FE27B0">
        <w:rPr>
          <w:rFonts w:ascii="Arial" w:eastAsia="Arial" w:hAnsi="Arial" w:cs="Arial"/>
          <w:sz w:val="24"/>
          <w:szCs w:val="24"/>
          <w:highlight w:val="white"/>
        </w:rPr>
        <w:t>https://github.com/nygenome/telomeasu</w:t>
      </w:r>
      <w:hyperlink r:id="rId22">
        <w:r w:rsidRPr="00FE27B0">
          <w:rPr>
            <w:rFonts w:ascii="Arial" w:eastAsia="Arial" w:hAnsi="Arial" w:cs="Arial"/>
            <w:sz w:val="24"/>
            <w:szCs w:val="24"/>
          </w:rPr>
          <w:t>re</w:t>
        </w:r>
      </w:hyperlink>
      <w:r>
        <w:rPr>
          <w:rFonts w:ascii="Arial" w:eastAsia="Arial" w:hAnsi="Arial" w:cs="Arial"/>
          <w:color w:val="00000A"/>
          <w:sz w:val="24"/>
          <w:szCs w:val="24"/>
        </w:rPr>
        <w:t xml:space="preserve">). Reads with two consecutive telomeric repeats - TTAGGG - were aligned with the fast and exhaustive GEM mapper </w:t>
      </w:r>
      <w:hyperlink r:id="rId23">
        <w:r>
          <w:rPr>
            <w:rFonts w:ascii="Arial" w:eastAsia="Arial" w:hAnsi="Arial" w:cs="Arial"/>
            <w:color w:val="000000"/>
            <w:sz w:val="24"/>
            <w:szCs w:val="24"/>
            <w:vertAlign w:val="superscript"/>
          </w:rPr>
          <w:t>14</w:t>
        </w:r>
      </w:hyperlink>
      <w:r>
        <w:rPr>
          <w:rFonts w:ascii="Arial" w:eastAsia="Arial" w:hAnsi="Arial" w:cs="Arial"/>
          <w:color w:val="00000A"/>
          <w:sz w:val="24"/>
          <w:szCs w:val="24"/>
        </w:rPr>
        <w:t xml:space="preserve">. Because GEM can return gapped alignments, non-canonical telomeric repeats can be detected. Mapping position of the telomeric read is also reported for use in identifying genomic rearrangements that relocate telomeres. </w:t>
      </w:r>
      <w:proofErr w:type="spellStart"/>
      <w:r>
        <w:rPr>
          <w:rFonts w:ascii="Arial" w:eastAsia="Arial" w:hAnsi="Arial" w:cs="Arial"/>
          <w:color w:val="00000A"/>
          <w:sz w:val="24"/>
          <w:szCs w:val="24"/>
        </w:rPr>
        <w:t>Telomeasure</w:t>
      </w:r>
      <w:proofErr w:type="spellEnd"/>
      <w:r>
        <w:rPr>
          <w:rFonts w:ascii="Arial" w:eastAsia="Arial" w:hAnsi="Arial" w:cs="Arial"/>
          <w:color w:val="00000A"/>
          <w:sz w:val="24"/>
          <w:szCs w:val="24"/>
        </w:rPr>
        <w:t xml:space="preserve"> estimated </w:t>
      </w:r>
      <w:r>
        <w:rPr>
          <w:rFonts w:ascii="Arial" w:eastAsia="Arial" w:hAnsi="Arial" w:cs="Arial"/>
          <w:color w:val="00000A"/>
          <w:sz w:val="24"/>
          <w:szCs w:val="24"/>
        </w:rPr>
        <w:lastRenderedPageBreak/>
        <w:t xml:space="preserve">average telomere length. Initially, duplicate reads are filtered and </w:t>
      </w:r>
      <w:proofErr w:type="spellStart"/>
      <w:r>
        <w:rPr>
          <w:rFonts w:ascii="Arial" w:eastAsia="Arial" w:hAnsi="Arial" w:cs="Arial"/>
          <w:color w:val="00000A"/>
          <w:sz w:val="24"/>
          <w:szCs w:val="24"/>
        </w:rPr>
        <w:t>coverage_chromosome</w:t>
      </w:r>
      <w:proofErr w:type="spellEnd"/>
      <w:r>
        <w:rPr>
          <w:rFonts w:ascii="Arial" w:eastAsia="Arial" w:hAnsi="Arial" w:cs="Arial"/>
          <w:color w:val="00000A"/>
          <w:sz w:val="24"/>
          <w:szCs w:val="24"/>
        </w:rPr>
        <w:t xml:space="preserve"> arm/</w:t>
      </w:r>
      <w:proofErr w:type="spellStart"/>
      <w:r>
        <w:rPr>
          <w:rFonts w:ascii="Arial" w:eastAsia="Arial" w:hAnsi="Arial" w:cs="Arial"/>
          <w:color w:val="00000A"/>
          <w:sz w:val="24"/>
          <w:szCs w:val="24"/>
        </w:rPr>
        <w:t>coverage_autosomes</w:t>
      </w:r>
      <w:proofErr w:type="spellEnd"/>
      <w:r>
        <w:rPr>
          <w:rFonts w:ascii="Arial" w:eastAsia="Arial" w:hAnsi="Arial" w:cs="Arial"/>
          <w:color w:val="00000A"/>
          <w:sz w:val="24"/>
          <w:szCs w:val="24"/>
        </w:rPr>
        <w:t xml:space="preserve"> and GC-matched </w:t>
      </w:r>
      <w:proofErr w:type="spellStart"/>
      <w:r>
        <w:rPr>
          <w:rFonts w:ascii="Arial" w:eastAsia="Arial" w:hAnsi="Arial" w:cs="Arial"/>
          <w:color w:val="00000A"/>
          <w:sz w:val="24"/>
          <w:szCs w:val="24"/>
        </w:rPr>
        <w:t>coverage_autosomes</w:t>
      </w:r>
      <w:proofErr w:type="spellEnd"/>
      <w:r>
        <w:rPr>
          <w:rFonts w:ascii="Arial" w:eastAsia="Arial" w:hAnsi="Arial" w:cs="Arial"/>
          <w:color w:val="00000A"/>
          <w:sz w:val="24"/>
          <w:szCs w:val="24"/>
        </w:rPr>
        <w:t xml:space="preserve"> is estimated. Coverage_ autosome is compared to </w:t>
      </w:r>
      <w:proofErr w:type="spellStart"/>
      <w:r>
        <w:rPr>
          <w:rFonts w:ascii="Arial" w:eastAsia="Arial" w:hAnsi="Arial" w:cs="Arial"/>
          <w:color w:val="00000A"/>
          <w:sz w:val="24"/>
          <w:szCs w:val="24"/>
        </w:rPr>
        <w:t>coverage_chromosome</w:t>
      </w:r>
      <w:proofErr w:type="spellEnd"/>
      <w:r>
        <w:rPr>
          <w:rFonts w:ascii="Arial" w:eastAsia="Arial" w:hAnsi="Arial" w:cs="Arial"/>
          <w:color w:val="00000A"/>
          <w:sz w:val="24"/>
          <w:szCs w:val="24"/>
        </w:rPr>
        <w:t xml:space="preserve"> arm to estimate telomere count (Equation 1). Putative telomeric sequence in WGS read is quantified as </w:t>
      </w:r>
      <w:proofErr w:type="spellStart"/>
      <w:r>
        <w:rPr>
          <w:rFonts w:ascii="Arial" w:eastAsia="Arial" w:hAnsi="Arial" w:cs="Arial"/>
          <w:color w:val="00000A"/>
          <w:sz w:val="24"/>
          <w:szCs w:val="24"/>
        </w:rPr>
        <w:t>telo</w:t>
      </w:r>
      <w:proofErr w:type="spellEnd"/>
      <w:r>
        <w:rPr>
          <w:rFonts w:ascii="Arial" w:eastAsia="Arial" w:hAnsi="Arial" w:cs="Arial"/>
          <w:color w:val="00000A"/>
          <w:sz w:val="24"/>
          <w:szCs w:val="24"/>
        </w:rPr>
        <w:t xml:space="preserve">-aligned length. Finally, average </w:t>
      </w:r>
      <w:proofErr w:type="spellStart"/>
      <w:r>
        <w:rPr>
          <w:rFonts w:ascii="Arial" w:eastAsia="Arial" w:hAnsi="Arial" w:cs="Arial"/>
          <w:color w:val="00000A"/>
          <w:sz w:val="24"/>
          <w:szCs w:val="24"/>
        </w:rPr>
        <w:t>telo</w:t>
      </w:r>
      <w:proofErr w:type="spellEnd"/>
      <w:r>
        <w:rPr>
          <w:rFonts w:ascii="Arial" w:eastAsia="Arial" w:hAnsi="Arial" w:cs="Arial"/>
          <w:color w:val="00000A"/>
          <w:sz w:val="24"/>
          <w:szCs w:val="24"/>
        </w:rPr>
        <w:t xml:space="preserve">-length is estimated (Equation 2). </w:t>
      </w:r>
      <w:proofErr w:type="spellStart"/>
      <w:r>
        <w:rPr>
          <w:rFonts w:ascii="Arial" w:eastAsia="Arial" w:hAnsi="Arial" w:cs="Arial"/>
          <w:color w:val="00000A"/>
          <w:sz w:val="24"/>
          <w:szCs w:val="24"/>
        </w:rPr>
        <w:t>Telomeasure</w:t>
      </w:r>
      <w:proofErr w:type="spellEnd"/>
      <w:r>
        <w:rPr>
          <w:rFonts w:ascii="Arial" w:eastAsia="Arial" w:hAnsi="Arial" w:cs="Arial"/>
          <w:color w:val="00000A"/>
          <w:sz w:val="24"/>
          <w:szCs w:val="24"/>
        </w:rPr>
        <w:t xml:space="preserve"> program available upon request from NYGC.</w:t>
      </w:r>
    </w:p>
    <w:p w14:paraId="5ECEF7BF" w14:textId="77777777" w:rsidR="00E94238" w:rsidRDefault="00E94238">
      <w:pPr>
        <w:spacing w:after="0" w:line="480" w:lineRule="auto"/>
        <w:rPr>
          <w:rFonts w:ascii="Arial" w:eastAsia="Arial" w:hAnsi="Arial" w:cs="Arial"/>
          <w:color w:val="00000A"/>
          <w:sz w:val="24"/>
          <w:szCs w:val="24"/>
        </w:rPr>
      </w:pPr>
    </w:p>
    <w:p w14:paraId="45034695" w14:textId="77777777" w:rsidR="00E94238" w:rsidRDefault="007402C1">
      <w:pPr>
        <w:spacing w:after="0" w:line="480" w:lineRule="auto"/>
        <w:rPr>
          <w:rFonts w:ascii="Arial" w:eastAsia="Arial" w:hAnsi="Arial" w:cs="Arial"/>
          <w:color w:val="00000A"/>
          <w:sz w:val="24"/>
          <w:szCs w:val="24"/>
        </w:rPr>
      </w:pPr>
      <w:r>
        <w:rPr>
          <w:rFonts w:ascii="Arial" w:eastAsia="Arial" w:hAnsi="Arial" w:cs="Arial"/>
          <w:noProof/>
          <w:color w:val="00000A"/>
          <w:sz w:val="24"/>
          <w:szCs w:val="24"/>
        </w:rPr>
        <w:drawing>
          <wp:inline distT="114300" distB="114300" distL="114300" distR="114300" wp14:anchorId="5499B22D" wp14:editId="27554A0E">
            <wp:extent cx="5943600" cy="7620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4"/>
                    <a:srcRect/>
                    <a:stretch>
                      <a:fillRect/>
                    </a:stretch>
                  </pic:blipFill>
                  <pic:spPr>
                    <a:xfrm>
                      <a:off x="0" y="0"/>
                      <a:ext cx="5943600" cy="762000"/>
                    </a:xfrm>
                    <a:prstGeom prst="rect">
                      <a:avLst/>
                    </a:prstGeom>
                    <a:ln/>
                  </pic:spPr>
                </pic:pic>
              </a:graphicData>
            </a:graphic>
          </wp:inline>
        </w:drawing>
      </w:r>
    </w:p>
    <w:p w14:paraId="29B7A70F"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12" w:name="_3fwokq0" w:colFirst="0" w:colLast="0"/>
      <w:bookmarkEnd w:id="12"/>
      <w:r>
        <w:rPr>
          <w:rFonts w:ascii="Arial" w:eastAsia="Arial" w:hAnsi="Arial" w:cs="Arial"/>
          <w:color w:val="00000A"/>
          <w:sz w:val="24"/>
          <w:szCs w:val="24"/>
        </w:rPr>
        <w:t>Simple SV calling overview (NYGC)</w:t>
      </w:r>
    </w:p>
    <w:p w14:paraId="0590B7A1"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SVs were called with Crest v1.0 </w:t>
      </w:r>
      <w:hyperlink r:id="rId25">
        <w:r>
          <w:rPr>
            <w:rFonts w:ascii="Arial" w:eastAsia="Arial" w:hAnsi="Arial" w:cs="Arial"/>
            <w:color w:val="000000"/>
            <w:sz w:val="24"/>
            <w:szCs w:val="24"/>
            <w:vertAlign w:val="superscript"/>
          </w:rPr>
          <w:t>15</w:t>
        </w:r>
      </w:hyperlink>
      <w:r>
        <w:rPr>
          <w:rFonts w:ascii="Arial" w:eastAsia="Arial" w:hAnsi="Arial" w:cs="Arial"/>
          <w:color w:val="00000A"/>
          <w:sz w:val="24"/>
          <w:szCs w:val="24"/>
        </w:rPr>
        <w:t xml:space="preserve">, </w:t>
      </w:r>
      <w:proofErr w:type="spellStart"/>
      <w:r>
        <w:rPr>
          <w:rFonts w:ascii="Arial" w:eastAsia="Arial" w:hAnsi="Arial" w:cs="Arial"/>
          <w:color w:val="00000A"/>
          <w:sz w:val="24"/>
          <w:szCs w:val="24"/>
        </w:rPr>
        <w:t>Delly</w:t>
      </w:r>
      <w:proofErr w:type="spellEnd"/>
      <w:r>
        <w:rPr>
          <w:rFonts w:ascii="Arial" w:eastAsia="Arial" w:hAnsi="Arial" w:cs="Arial"/>
          <w:color w:val="00000A"/>
          <w:sz w:val="24"/>
          <w:szCs w:val="24"/>
        </w:rPr>
        <w:t xml:space="preserve"> v0.6.1 </w:t>
      </w:r>
      <w:hyperlink r:id="rId26">
        <w:r>
          <w:rPr>
            <w:rFonts w:ascii="Arial" w:eastAsia="Arial" w:hAnsi="Arial" w:cs="Arial"/>
            <w:color w:val="000000"/>
            <w:sz w:val="24"/>
            <w:szCs w:val="24"/>
            <w:vertAlign w:val="superscript"/>
          </w:rPr>
          <w:t>16</w:t>
        </w:r>
      </w:hyperlink>
      <w:r>
        <w:rPr>
          <w:rFonts w:ascii="Arial" w:eastAsia="Arial" w:hAnsi="Arial" w:cs="Arial"/>
          <w:color w:val="00000A"/>
          <w:sz w:val="24"/>
          <w:szCs w:val="24"/>
        </w:rPr>
        <w:t xml:space="preserve">, and </w:t>
      </w:r>
      <w:proofErr w:type="spellStart"/>
      <w:r>
        <w:rPr>
          <w:rFonts w:ascii="Arial" w:eastAsia="Arial" w:hAnsi="Arial" w:cs="Arial"/>
          <w:color w:val="00000A"/>
          <w:sz w:val="24"/>
          <w:szCs w:val="24"/>
        </w:rPr>
        <w:t>BreakDancer</w:t>
      </w:r>
      <w:proofErr w:type="spellEnd"/>
      <w:r>
        <w:rPr>
          <w:rFonts w:ascii="Arial" w:eastAsia="Arial" w:hAnsi="Arial" w:cs="Arial"/>
          <w:color w:val="00000A"/>
          <w:sz w:val="24"/>
          <w:szCs w:val="24"/>
        </w:rPr>
        <w:t xml:space="preserve"> v1.4.0 </w:t>
      </w:r>
      <w:hyperlink r:id="rId27">
        <w:r>
          <w:rPr>
            <w:rFonts w:ascii="Arial" w:eastAsia="Arial" w:hAnsi="Arial" w:cs="Arial"/>
            <w:color w:val="000000"/>
            <w:sz w:val="24"/>
            <w:szCs w:val="24"/>
            <w:vertAlign w:val="superscript"/>
          </w:rPr>
          <w:t>17</w:t>
        </w:r>
      </w:hyperlink>
      <w:r>
        <w:rPr>
          <w:rFonts w:ascii="Arial" w:eastAsia="Arial" w:hAnsi="Arial" w:cs="Arial"/>
          <w:color w:val="00000A"/>
          <w:sz w:val="24"/>
          <w:szCs w:val="24"/>
        </w:rPr>
        <w:t>. Known germline SVs were filtered out, with corroborating breakpoints used to generate a “high confidence” list of SVs. Only these high confidence SVs were considered in this study (Source Data File 2).</w:t>
      </w:r>
    </w:p>
    <w:p w14:paraId="1BE1526A" w14:textId="77777777" w:rsidR="00E94238" w:rsidRDefault="00E94238">
      <w:pPr>
        <w:shd w:val="clear" w:color="auto" w:fill="FFFFFF"/>
        <w:spacing w:after="0" w:line="480" w:lineRule="auto"/>
        <w:rPr>
          <w:rFonts w:ascii="Arial" w:eastAsia="Arial" w:hAnsi="Arial" w:cs="Arial"/>
          <w:color w:val="00000A"/>
          <w:sz w:val="24"/>
          <w:szCs w:val="24"/>
        </w:rPr>
      </w:pPr>
    </w:p>
    <w:p w14:paraId="2E236574"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13" w:name="_1v1yuxt" w:colFirst="0" w:colLast="0"/>
      <w:bookmarkEnd w:id="13"/>
      <w:r>
        <w:rPr>
          <w:rFonts w:ascii="Arial" w:eastAsia="Arial" w:hAnsi="Arial" w:cs="Arial"/>
          <w:color w:val="00000A"/>
          <w:sz w:val="24"/>
          <w:szCs w:val="24"/>
        </w:rPr>
        <w:t>Filtering and annotation of SVs</w:t>
      </w:r>
    </w:p>
    <w:p w14:paraId="1EF7EEC8" w14:textId="28AD3F9C"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All filtering and annotation of SVs was performed based on </w:t>
      </w:r>
      <w:proofErr w:type="spellStart"/>
      <w:r>
        <w:rPr>
          <w:rFonts w:ascii="Arial" w:eastAsia="Arial" w:hAnsi="Arial" w:cs="Arial"/>
          <w:color w:val="00000A"/>
          <w:sz w:val="24"/>
          <w:szCs w:val="24"/>
        </w:rPr>
        <w:t>bedtools</w:t>
      </w:r>
      <w:proofErr w:type="spellEnd"/>
      <w:r>
        <w:rPr>
          <w:rFonts w:ascii="Arial" w:eastAsia="Arial" w:hAnsi="Arial" w:cs="Arial"/>
          <w:color w:val="00000A"/>
          <w:sz w:val="24"/>
          <w:szCs w:val="24"/>
        </w:rPr>
        <w:t xml:space="preserve"> (</w:t>
      </w:r>
      <w:proofErr w:type="gramStart"/>
      <w:r>
        <w:rPr>
          <w:rFonts w:ascii="Arial" w:eastAsia="Arial" w:hAnsi="Arial" w:cs="Arial"/>
          <w:color w:val="1155CD"/>
          <w:sz w:val="24"/>
          <w:szCs w:val="24"/>
        </w:rPr>
        <w:t xml:space="preserve">http://bedtools.readthedocs.org </w:t>
      </w:r>
      <w:r>
        <w:rPr>
          <w:rFonts w:ascii="Arial" w:eastAsia="Arial" w:hAnsi="Arial" w:cs="Arial"/>
          <w:color w:val="00000A"/>
          <w:sz w:val="24"/>
          <w:szCs w:val="24"/>
        </w:rPr>
        <w:t>)</w:t>
      </w:r>
      <w:proofErr w:type="gramEnd"/>
      <w:r>
        <w:rPr>
          <w:rFonts w:ascii="Arial" w:eastAsia="Arial" w:hAnsi="Arial" w:cs="Arial"/>
          <w:color w:val="00000A"/>
          <w:sz w:val="24"/>
          <w:szCs w:val="24"/>
        </w:rPr>
        <w:t xml:space="preserve">. SVs called by Crest, </w:t>
      </w:r>
      <w:proofErr w:type="spellStart"/>
      <w:r>
        <w:rPr>
          <w:rFonts w:ascii="Arial" w:eastAsia="Arial" w:hAnsi="Arial" w:cs="Arial"/>
          <w:color w:val="00000A"/>
          <w:sz w:val="24"/>
          <w:szCs w:val="24"/>
        </w:rPr>
        <w:t>Delly</w:t>
      </w:r>
      <w:proofErr w:type="spellEnd"/>
      <w:r>
        <w:rPr>
          <w:rFonts w:ascii="Arial" w:eastAsia="Arial" w:hAnsi="Arial" w:cs="Arial"/>
          <w:color w:val="00000A"/>
          <w:sz w:val="24"/>
          <w:szCs w:val="24"/>
        </w:rPr>
        <w:t xml:space="preserve">, and </w:t>
      </w:r>
      <w:proofErr w:type="spellStart"/>
      <w:r>
        <w:rPr>
          <w:rFonts w:ascii="Arial" w:eastAsia="Arial" w:hAnsi="Arial" w:cs="Arial"/>
          <w:color w:val="00000A"/>
          <w:sz w:val="24"/>
          <w:szCs w:val="24"/>
        </w:rPr>
        <w:t>BreakDancer</w:t>
      </w:r>
      <w:proofErr w:type="spellEnd"/>
      <w:r>
        <w:rPr>
          <w:rFonts w:ascii="Arial" w:eastAsia="Arial" w:hAnsi="Arial" w:cs="Arial"/>
          <w:color w:val="00000A"/>
          <w:sz w:val="24"/>
          <w:szCs w:val="24"/>
        </w:rPr>
        <w:t xml:space="preserve"> were merged and annotated using BEDPE format. Two SV calls were merged if they shared at least 50% reciprocal overlap (for intrachromosomal SVs only), their predicted breakpoints were within 300bp of each other and breakpoint strand orientation matched for both breakpoints. Thus, merging was done independent of which SV type was </w:t>
      </w:r>
      <w:r>
        <w:rPr>
          <w:rFonts w:ascii="Arial" w:eastAsia="Arial" w:hAnsi="Arial" w:cs="Arial"/>
          <w:color w:val="00000A"/>
          <w:sz w:val="24"/>
          <w:szCs w:val="24"/>
        </w:rPr>
        <w:lastRenderedPageBreak/>
        <w:t xml:space="preserve">assigned by the SV caller. After merging, each SV was annotated with the closest CNV changepoint as detected by </w:t>
      </w:r>
      <w:proofErr w:type="spellStart"/>
      <w:r>
        <w:rPr>
          <w:rFonts w:ascii="Arial" w:eastAsia="Arial" w:hAnsi="Arial" w:cs="Arial"/>
          <w:color w:val="00000A"/>
          <w:sz w:val="24"/>
          <w:szCs w:val="24"/>
        </w:rPr>
        <w:t>NBICseq</w:t>
      </w:r>
      <w:proofErr w:type="spellEnd"/>
      <w:r>
        <w:rPr>
          <w:rFonts w:ascii="Arial" w:eastAsia="Arial" w:hAnsi="Arial" w:cs="Arial"/>
          <w:color w:val="00000A"/>
          <w:sz w:val="24"/>
          <w:szCs w:val="24"/>
        </w:rPr>
        <w:t xml:space="preserve"> </w:t>
      </w:r>
      <w:hyperlink r:id="rId28">
        <w:r>
          <w:rPr>
            <w:rFonts w:ascii="Arial" w:eastAsia="Arial" w:hAnsi="Arial" w:cs="Arial"/>
            <w:color w:val="000000"/>
            <w:sz w:val="24"/>
            <w:szCs w:val="24"/>
            <w:vertAlign w:val="superscript"/>
          </w:rPr>
          <w:t>18</w:t>
        </w:r>
      </w:hyperlink>
      <w:r>
        <w:rPr>
          <w:rFonts w:ascii="Arial" w:eastAsia="Arial" w:hAnsi="Arial" w:cs="Arial"/>
          <w:color w:val="00000A"/>
          <w:sz w:val="24"/>
          <w:szCs w:val="24"/>
        </w:rPr>
        <w:t xml:space="preserve"> from read depth signals. This added confidence to true SV breakpoints that were not copy neutral. Additionally, an independent sensitive split read check was applied to each breakpoint using </w:t>
      </w:r>
      <w:proofErr w:type="spellStart"/>
      <w:r>
        <w:rPr>
          <w:rFonts w:ascii="Arial" w:eastAsia="Arial" w:hAnsi="Arial" w:cs="Arial"/>
          <w:color w:val="00000A"/>
          <w:sz w:val="24"/>
          <w:szCs w:val="24"/>
        </w:rPr>
        <w:t>SplazerS</w:t>
      </w:r>
      <w:proofErr w:type="spellEnd"/>
      <w:r>
        <w:rPr>
          <w:rFonts w:ascii="Arial" w:eastAsia="Arial" w:hAnsi="Arial" w:cs="Arial"/>
          <w:color w:val="00000A"/>
          <w:sz w:val="24"/>
          <w:szCs w:val="24"/>
        </w:rPr>
        <w:t xml:space="preserve"> </w:t>
      </w:r>
      <w:hyperlink r:id="rId29">
        <w:r>
          <w:rPr>
            <w:rFonts w:ascii="Arial" w:eastAsia="Arial" w:hAnsi="Arial" w:cs="Arial"/>
            <w:color w:val="000000"/>
            <w:sz w:val="24"/>
            <w:szCs w:val="24"/>
            <w:vertAlign w:val="superscript"/>
          </w:rPr>
          <w:t>19</w:t>
        </w:r>
      </w:hyperlink>
      <w:r>
        <w:rPr>
          <w:rFonts w:ascii="Arial" w:eastAsia="Arial" w:hAnsi="Arial" w:cs="Arial"/>
          <w:color w:val="00000A"/>
          <w:sz w:val="24"/>
          <w:szCs w:val="24"/>
        </w:rPr>
        <w:t xml:space="preserve">. Apart from adding confidence and base-pair precision to the breakpoint, this step increased removal of remaining germline SVs also found in the normal control. To minimize the high rate of false positive SV calls due to undetected germline SVs or systematic artifacts due to mapping ambiguities, germline SVs were annotated and filtered through overlap with known SVs </w:t>
      </w:r>
      <w:hyperlink r:id="rId30">
        <w:r>
          <w:rPr>
            <w:rFonts w:ascii="Arial" w:eastAsia="Arial" w:hAnsi="Arial" w:cs="Arial"/>
            <w:color w:val="000000"/>
            <w:sz w:val="24"/>
            <w:szCs w:val="24"/>
            <w:vertAlign w:val="superscript"/>
          </w:rPr>
          <w:t>5</w:t>
        </w:r>
      </w:hyperlink>
      <w:r>
        <w:rPr>
          <w:rFonts w:ascii="Arial" w:eastAsia="Arial" w:hAnsi="Arial" w:cs="Arial"/>
          <w:color w:val="00000A"/>
          <w:sz w:val="24"/>
          <w:szCs w:val="24"/>
        </w:rPr>
        <w:t xml:space="preserve"> as well as through overlap with an in-house blacklist of SVs derived from germline SVs and artifacts called in healthy genomes. Finally, SVs were prioritized if they were called by more than one tool or called by only one tool but also confirmed by 1) a CNV changepoint, or 2) at least three split reads (in BE samples only). In addition, all high-confidence Crest calls were retained due to the specificity of Crest-only high-confidence calls. All predicted copy number and SVs were annotated with gene overlap (</w:t>
      </w:r>
      <w:proofErr w:type="spellStart"/>
      <w:r>
        <w:rPr>
          <w:rFonts w:ascii="Arial" w:eastAsia="Arial" w:hAnsi="Arial" w:cs="Arial"/>
          <w:color w:val="00000A"/>
          <w:sz w:val="24"/>
          <w:szCs w:val="24"/>
        </w:rPr>
        <w:t>RefSeq</w:t>
      </w:r>
      <w:proofErr w:type="spellEnd"/>
      <w:r>
        <w:rPr>
          <w:rFonts w:ascii="Arial" w:eastAsia="Arial" w:hAnsi="Arial" w:cs="Arial"/>
          <w:color w:val="00000A"/>
          <w:sz w:val="24"/>
          <w:szCs w:val="24"/>
        </w:rPr>
        <w:t>, Cancer Census)</w:t>
      </w:r>
      <w:hyperlink r:id="rId31" w:anchor="_msocom_3">
        <w:r>
          <w:rPr>
            <w:rFonts w:ascii="Arial" w:eastAsia="Arial" w:hAnsi="Arial" w:cs="Arial"/>
            <w:color w:val="00000A"/>
            <w:sz w:val="24"/>
            <w:szCs w:val="24"/>
          </w:rPr>
          <w:t xml:space="preserve"> </w:t>
        </w:r>
      </w:hyperlink>
      <w:r>
        <w:rPr>
          <w:rFonts w:ascii="Arial" w:eastAsia="Arial" w:hAnsi="Arial" w:cs="Arial"/>
          <w:color w:val="00000A"/>
          <w:sz w:val="24"/>
          <w:szCs w:val="24"/>
        </w:rPr>
        <w:t xml:space="preserve">and potential effect on gene structure (e.g. disruptive, intronic, intergenic). If a predicted SV was found to disrupt two genes, and strand orientations were compatible, the SV was annotated as a putative gene fusion candidate. Reading frame was not considered. Further annotations included sequence features within breakpoint flanking regions, e.g. </w:t>
      </w:r>
      <w:proofErr w:type="spellStart"/>
      <w:r>
        <w:rPr>
          <w:rFonts w:ascii="Arial" w:eastAsia="Arial" w:hAnsi="Arial" w:cs="Arial"/>
          <w:color w:val="00000A"/>
          <w:sz w:val="24"/>
          <w:szCs w:val="24"/>
        </w:rPr>
        <w:t>mappability</w:t>
      </w:r>
      <w:proofErr w:type="spellEnd"/>
      <w:r>
        <w:rPr>
          <w:rFonts w:ascii="Arial" w:eastAsia="Arial" w:hAnsi="Arial" w:cs="Arial"/>
          <w:color w:val="00000A"/>
          <w:sz w:val="24"/>
          <w:szCs w:val="24"/>
        </w:rPr>
        <w:t>, simple repeat content, segmental duplications and Alu repeats.</w:t>
      </w:r>
    </w:p>
    <w:p w14:paraId="289027C1"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 </w:t>
      </w:r>
    </w:p>
    <w:p w14:paraId="3D51DA53" w14:textId="77777777" w:rsidR="00E94238" w:rsidRDefault="007402C1">
      <w:pPr>
        <w:spacing w:after="0" w:line="480" w:lineRule="auto"/>
        <w:rPr>
          <w:rFonts w:ascii="Arial" w:eastAsia="Arial" w:hAnsi="Arial" w:cs="Arial"/>
          <w:color w:val="00000A"/>
          <w:sz w:val="24"/>
          <w:szCs w:val="24"/>
        </w:rPr>
      </w:pPr>
      <w:proofErr w:type="gramStart"/>
      <w:r>
        <w:rPr>
          <w:rFonts w:ascii="Arial" w:eastAsia="Arial" w:hAnsi="Arial" w:cs="Arial"/>
          <w:color w:val="00000A"/>
          <w:sz w:val="24"/>
          <w:szCs w:val="24"/>
        </w:rPr>
        <w:t>For the purpose of</w:t>
      </w:r>
      <w:proofErr w:type="gramEnd"/>
      <w:r>
        <w:rPr>
          <w:rFonts w:ascii="Arial" w:eastAsia="Arial" w:hAnsi="Arial" w:cs="Arial"/>
          <w:color w:val="00000A"/>
          <w:sz w:val="24"/>
          <w:szCs w:val="24"/>
        </w:rPr>
        <w:t xml:space="preserve"> pathway analysis, </w:t>
      </w:r>
      <w:r>
        <w:rPr>
          <w:rFonts w:ascii="Arial" w:eastAsia="Arial" w:hAnsi="Arial" w:cs="Arial"/>
          <w:sz w:val="24"/>
          <w:szCs w:val="24"/>
        </w:rPr>
        <w:t xml:space="preserve">determination of disruption of a gene by an SV event was performed using NYGC pipeline calls “disrupt L”, “disrupt R”, or “fusion” to </w:t>
      </w:r>
      <w:r>
        <w:rPr>
          <w:rFonts w:ascii="Arial" w:eastAsia="Arial" w:hAnsi="Arial" w:cs="Arial"/>
          <w:sz w:val="24"/>
          <w:szCs w:val="24"/>
        </w:rPr>
        <w:lastRenderedPageBreak/>
        <w:t xml:space="preserve">indicate disruption of the coding sequence by a structural variation. Similarly, </w:t>
      </w:r>
      <w:r>
        <w:rPr>
          <w:rFonts w:ascii="Arial" w:eastAsia="Arial" w:hAnsi="Arial" w:cs="Arial"/>
          <w:color w:val="00000A"/>
          <w:sz w:val="24"/>
          <w:szCs w:val="24"/>
        </w:rPr>
        <w:t xml:space="preserve">a finding of HD that disrupted one or more exons in a gene </w:t>
      </w:r>
      <w:proofErr w:type="gramStart"/>
      <w:r>
        <w:rPr>
          <w:rFonts w:ascii="Arial" w:eastAsia="Arial" w:hAnsi="Arial" w:cs="Arial"/>
          <w:color w:val="00000A"/>
          <w:sz w:val="24"/>
          <w:szCs w:val="24"/>
        </w:rPr>
        <w:t>was considered to be</w:t>
      </w:r>
      <w:proofErr w:type="gramEnd"/>
      <w:r>
        <w:rPr>
          <w:rFonts w:ascii="Arial" w:eastAsia="Arial" w:hAnsi="Arial" w:cs="Arial"/>
          <w:color w:val="00000A"/>
          <w:sz w:val="24"/>
          <w:szCs w:val="24"/>
        </w:rPr>
        <w:t xml:space="preserve"> a functional disruption of the gene and the gene was considered to be mutated.</w:t>
      </w:r>
    </w:p>
    <w:p w14:paraId="0831795F" w14:textId="77777777" w:rsidR="00E94238" w:rsidRDefault="007402C1">
      <w:pPr>
        <w:pStyle w:val="Heading3"/>
        <w:spacing w:before="240" w:after="40" w:line="480" w:lineRule="auto"/>
        <w:rPr>
          <w:rFonts w:ascii="Arial" w:eastAsia="Arial" w:hAnsi="Arial" w:cs="Arial"/>
          <w:color w:val="00000A"/>
          <w:sz w:val="24"/>
          <w:szCs w:val="24"/>
        </w:rPr>
      </w:pPr>
      <w:bookmarkStart w:id="14" w:name="_4f1mdlm" w:colFirst="0" w:colLast="0"/>
      <w:bookmarkEnd w:id="14"/>
      <w:r>
        <w:rPr>
          <w:rFonts w:ascii="Arial" w:eastAsia="Arial" w:hAnsi="Arial" w:cs="Arial"/>
          <w:color w:val="00000A"/>
          <w:sz w:val="24"/>
          <w:szCs w:val="24"/>
        </w:rPr>
        <w:t>Classes of SVs</w:t>
      </w:r>
    </w:p>
    <w:p w14:paraId="6D09F578" w14:textId="77777777" w:rsidR="00E94238" w:rsidRDefault="007402C1">
      <w:pPr>
        <w:spacing w:after="0" w:line="480" w:lineRule="auto"/>
        <w:rPr>
          <w:rFonts w:ascii="Arial" w:eastAsia="Arial" w:hAnsi="Arial" w:cs="Arial"/>
          <w:color w:val="00000A"/>
          <w:sz w:val="26"/>
          <w:szCs w:val="26"/>
        </w:rPr>
      </w:pPr>
      <w:r>
        <w:rPr>
          <w:rFonts w:ascii="Arial" w:eastAsia="Arial" w:hAnsi="Arial" w:cs="Arial"/>
          <w:sz w:val="24"/>
          <w:szCs w:val="24"/>
        </w:rPr>
        <w:t xml:space="preserve">Classifying SVs into features to fit to known rearrangement signatures was performed as described </w:t>
      </w:r>
      <w:hyperlink r:id="rId32">
        <w:r>
          <w:rPr>
            <w:rFonts w:ascii="Arial" w:eastAsia="Arial" w:hAnsi="Arial" w:cs="Arial"/>
            <w:color w:val="000000"/>
            <w:sz w:val="24"/>
            <w:szCs w:val="24"/>
            <w:vertAlign w:val="superscript"/>
          </w:rPr>
          <w:t>20</w:t>
        </w:r>
      </w:hyperlink>
      <w:r>
        <w:rPr>
          <w:rFonts w:ascii="Arial" w:eastAsia="Arial" w:hAnsi="Arial" w:cs="Arial"/>
          <w:sz w:val="24"/>
          <w:szCs w:val="24"/>
        </w:rPr>
        <w:t xml:space="preserve">. Briefly, SV classes for each rearrangement was determined for the following features: junction clustering, type, and size. Clustered rearrangements were identified by candidate junction groups with average inter-breakpoint distances (determined via piecewise constant fitting, with hyperparameters set to gamma = 25, and </w:t>
      </w:r>
      <w:proofErr w:type="spellStart"/>
      <w:r>
        <w:rPr>
          <w:rFonts w:ascii="Arial" w:eastAsia="Arial" w:hAnsi="Arial" w:cs="Arial"/>
          <w:sz w:val="24"/>
          <w:szCs w:val="24"/>
        </w:rPr>
        <w:t>k_min</w:t>
      </w:r>
      <w:proofErr w:type="spellEnd"/>
      <w:r>
        <w:rPr>
          <w:rFonts w:ascii="Arial" w:eastAsia="Arial" w:hAnsi="Arial" w:cs="Arial"/>
          <w:sz w:val="24"/>
          <w:szCs w:val="24"/>
        </w:rPr>
        <w:t xml:space="preserve"> = 10) that were 10x less than the genome-wide average distance. Junction types were categorized as tandem duplications, deletions, </w:t>
      </w:r>
      <w:proofErr w:type="gramStart"/>
      <w:r>
        <w:rPr>
          <w:rFonts w:ascii="Arial" w:eastAsia="Arial" w:hAnsi="Arial" w:cs="Arial"/>
          <w:sz w:val="24"/>
          <w:szCs w:val="24"/>
        </w:rPr>
        <w:t>inversion</w:t>
      </w:r>
      <w:proofErr w:type="gramEnd"/>
      <w:r>
        <w:rPr>
          <w:rFonts w:ascii="Arial" w:eastAsia="Arial" w:hAnsi="Arial" w:cs="Arial"/>
          <w:sz w:val="24"/>
          <w:szCs w:val="24"/>
        </w:rPr>
        <w:t xml:space="preserve"> or translocations, depending on the orientation and chromosomal location of breakpoints. Junction sizes for those rearrangement types which are intrachromosomal were measured in the ranges 1-10 </w:t>
      </w:r>
      <w:proofErr w:type="spellStart"/>
      <w:r>
        <w:rPr>
          <w:rFonts w:ascii="Arial" w:eastAsia="Arial" w:hAnsi="Arial" w:cs="Arial"/>
          <w:sz w:val="24"/>
          <w:szCs w:val="24"/>
        </w:rPr>
        <w:t>kbp</w:t>
      </w:r>
      <w:proofErr w:type="spellEnd"/>
      <w:r>
        <w:rPr>
          <w:rFonts w:ascii="Arial" w:eastAsia="Arial" w:hAnsi="Arial" w:cs="Arial"/>
          <w:sz w:val="24"/>
          <w:szCs w:val="24"/>
        </w:rPr>
        <w:t xml:space="preserve">, 10-100 </w:t>
      </w:r>
      <w:proofErr w:type="spellStart"/>
      <w:r>
        <w:rPr>
          <w:rFonts w:ascii="Arial" w:eastAsia="Arial" w:hAnsi="Arial" w:cs="Arial"/>
          <w:sz w:val="24"/>
          <w:szCs w:val="24"/>
        </w:rPr>
        <w:t>kbp</w:t>
      </w:r>
      <w:proofErr w:type="spellEnd"/>
      <w:r>
        <w:rPr>
          <w:rFonts w:ascii="Arial" w:eastAsia="Arial" w:hAnsi="Arial" w:cs="Arial"/>
          <w:sz w:val="24"/>
          <w:szCs w:val="24"/>
        </w:rPr>
        <w:t xml:space="preserve">, 100 </w:t>
      </w:r>
      <w:proofErr w:type="spellStart"/>
      <w:r>
        <w:rPr>
          <w:rFonts w:ascii="Arial" w:eastAsia="Arial" w:hAnsi="Arial" w:cs="Arial"/>
          <w:sz w:val="24"/>
          <w:szCs w:val="24"/>
        </w:rPr>
        <w:t>kbp</w:t>
      </w:r>
      <w:proofErr w:type="spellEnd"/>
      <w:r>
        <w:rPr>
          <w:rFonts w:ascii="Arial" w:eastAsia="Arial" w:hAnsi="Arial" w:cs="Arial"/>
          <w:sz w:val="24"/>
          <w:szCs w:val="24"/>
        </w:rPr>
        <w:t xml:space="preserve"> - 1 </w:t>
      </w:r>
      <w:proofErr w:type="spellStart"/>
      <w:r>
        <w:rPr>
          <w:rFonts w:ascii="Arial" w:eastAsia="Arial" w:hAnsi="Arial" w:cs="Arial"/>
          <w:sz w:val="24"/>
          <w:szCs w:val="24"/>
        </w:rPr>
        <w:t>Mbp</w:t>
      </w:r>
      <w:proofErr w:type="spellEnd"/>
      <w:r>
        <w:rPr>
          <w:rFonts w:ascii="Arial" w:eastAsia="Arial" w:hAnsi="Arial" w:cs="Arial"/>
          <w:sz w:val="24"/>
          <w:szCs w:val="24"/>
        </w:rPr>
        <w:t xml:space="preserve">, 1Mbp - 10 </w:t>
      </w:r>
      <w:proofErr w:type="spellStart"/>
      <w:r>
        <w:rPr>
          <w:rFonts w:ascii="Arial" w:eastAsia="Arial" w:hAnsi="Arial" w:cs="Arial"/>
          <w:sz w:val="24"/>
          <w:szCs w:val="24"/>
        </w:rPr>
        <w:t>Mbp</w:t>
      </w:r>
      <w:proofErr w:type="spellEnd"/>
      <w:r>
        <w:rPr>
          <w:rFonts w:ascii="Arial" w:eastAsia="Arial" w:hAnsi="Arial" w:cs="Arial"/>
          <w:sz w:val="24"/>
          <w:szCs w:val="24"/>
        </w:rPr>
        <w:t xml:space="preserve">, and &gt; 10 </w:t>
      </w:r>
      <w:proofErr w:type="spellStart"/>
      <w:r>
        <w:rPr>
          <w:rFonts w:ascii="Arial" w:eastAsia="Arial" w:hAnsi="Arial" w:cs="Arial"/>
          <w:sz w:val="24"/>
          <w:szCs w:val="24"/>
        </w:rPr>
        <w:t>Mbp</w:t>
      </w:r>
      <w:proofErr w:type="spellEnd"/>
      <w:r>
        <w:rPr>
          <w:rFonts w:ascii="Arial" w:eastAsia="Arial" w:hAnsi="Arial" w:cs="Arial"/>
          <w:sz w:val="24"/>
          <w:szCs w:val="24"/>
        </w:rPr>
        <w:t xml:space="preserve">. Upon calculating the per sample SV catalogs based on these (32 total) features, SV signatures were determined by fitting the six known SV signature weights </w:t>
      </w:r>
      <w:hyperlink r:id="rId33">
        <w:r>
          <w:rPr>
            <w:rFonts w:ascii="Arial" w:eastAsia="Arial" w:hAnsi="Arial" w:cs="Arial"/>
            <w:color w:val="000000"/>
            <w:sz w:val="24"/>
            <w:szCs w:val="24"/>
            <w:vertAlign w:val="superscript"/>
          </w:rPr>
          <w:t>20</w:t>
        </w:r>
      </w:hyperlink>
      <w:r>
        <w:rPr>
          <w:rFonts w:ascii="Arial" w:eastAsia="Arial" w:hAnsi="Arial" w:cs="Arial"/>
          <w:sz w:val="24"/>
          <w:szCs w:val="24"/>
        </w:rPr>
        <w:t xml:space="preserve"> to the rearrangement counts via non-negative least squares in R (package </w:t>
      </w:r>
      <w:proofErr w:type="spellStart"/>
      <w:r>
        <w:rPr>
          <w:rFonts w:ascii="Arial" w:eastAsia="Arial" w:hAnsi="Arial" w:cs="Arial"/>
          <w:sz w:val="24"/>
          <w:szCs w:val="24"/>
        </w:rPr>
        <w:t>nnls</w:t>
      </w:r>
      <w:proofErr w:type="spellEnd"/>
      <w:r>
        <w:rPr>
          <w:rFonts w:ascii="Arial" w:eastAsia="Arial" w:hAnsi="Arial" w:cs="Arial"/>
          <w:sz w:val="24"/>
          <w:szCs w:val="24"/>
        </w:rPr>
        <w:t>).</w:t>
      </w:r>
    </w:p>
    <w:p w14:paraId="321AF322" w14:textId="77777777" w:rsidR="00E94238" w:rsidRDefault="00E94238">
      <w:pPr>
        <w:spacing w:after="0" w:line="480" w:lineRule="auto"/>
        <w:rPr>
          <w:rFonts w:ascii="Arial" w:eastAsia="Arial" w:hAnsi="Arial" w:cs="Arial"/>
          <w:color w:val="00000A"/>
          <w:sz w:val="24"/>
          <w:szCs w:val="24"/>
        </w:rPr>
      </w:pPr>
    </w:p>
    <w:p w14:paraId="4EEE209D" w14:textId="77777777" w:rsidR="00E94238" w:rsidRDefault="007402C1">
      <w:pPr>
        <w:spacing w:after="0" w:line="480" w:lineRule="auto"/>
        <w:rPr>
          <w:rFonts w:ascii="Arial" w:eastAsia="Arial" w:hAnsi="Arial" w:cs="Arial"/>
          <w:b/>
          <w:color w:val="00000A"/>
          <w:sz w:val="24"/>
          <w:szCs w:val="24"/>
        </w:rPr>
      </w:pPr>
      <w:r>
        <w:rPr>
          <w:rFonts w:ascii="Arial" w:eastAsia="Arial" w:hAnsi="Arial" w:cs="Arial"/>
          <w:b/>
          <w:color w:val="00000A"/>
          <w:sz w:val="24"/>
          <w:szCs w:val="24"/>
        </w:rPr>
        <w:t>Calling complex chromosomal events</w:t>
      </w:r>
    </w:p>
    <w:p w14:paraId="206608E5" w14:textId="77777777" w:rsidR="00E94238" w:rsidRDefault="007402C1">
      <w:pPr>
        <w:shd w:val="clear" w:color="auto" w:fill="FFFFFF"/>
        <w:spacing w:after="0" w:line="480" w:lineRule="auto"/>
        <w:rPr>
          <w:rFonts w:ascii="Arial" w:eastAsia="Arial" w:hAnsi="Arial" w:cs="Arial"/>
          <w:color w:val="201F1E"/>
          <w:sz w:val="24"/>
          <w:szCs w:val="24"/>
        </w:rPr>
      </w:pPr>
      <w:r>
        <w:rPr>
          <w:rFonts w:ascii="Arial" w:eastAsia="Arial" w:hAnsi="Arial" w:cs="Arial"/>
          <w:color w:val="201F1E"/>
          <w:sz w:val="24"/>
          <w:szCs w:val="24"/>
        </w:rPr>
        <w:t xml:space="preserve">Chromosomal complex events were annotated as described in Hadi, et al. 2020 </w:t>
      </w:r>
      <w:hyperlink r:id="rId34">
        <w:r>
          <w:rPr>
            <w:rFonts w:ascii="Arial" w:eastAsia="Arial" w:hAnsi="Arial" w:cs="Arial"/>
            <w:color w:val="000000"/>
            <w:sz w:val="24"/>
            <w:szCs w:val="24"/>
            <w:vertAlign w:val="superscript"/>
          </w:rPr>
          <w:t>21</w:t>
        </w:r>
      </w:hyperlink>
      <w:r>
        <w:rPr>
          <w:rFonts w:ascii="Arial" w:eastAsia="Arial" w:hAnsi="Arial" w:cs="Arial"/>
          <w:color w:val="201F1E"/>
          <w:sz w:val="24"/>
          <w:szCs w:val="24"/>
        </w:rPr>
        <w:t>. Briefly, Junction Balance Analysis (</w:t>
      </w:r>
      <w:proofErr w:type="spellStart"/>
      <w:r>
        <w:rPr>
          <w:rFonts w:ascii="Arial" w:eastAsia="Arial" w:hAnsi="Arial" w:cs="Arial"/>
          <w:color w:val="201F1E"/>
          <w:sz w:val="24"/>
          <w:szCs w:val="24"/>
        </w:rPr>
        <w:t>JaBbA</w:t>
      </w:r>
      <w:proofErr w:type="spellEnd"/>
      <w:r>
        <w:rPr>
          <w:rFonts w:ascii="Arial" w:eastAsia="Arial" w:hAnsi="Arial" w:cs="Arial"/>
          <w:color w:val="201F1E"/>
          <w:sz w:val="24"/>
          <w:szCs w:val="24"/>
        </w:rPr>
        <w:t xml:space="preserve">) was performed on 347 samples across the cohort with merged structural variants called by </w:t>
      </w:r>
      <w:proofErr w:type="spellStart"/>
      <w:r>
        <w:rPr>
          <w:rFonts w:ascii="Arial" w:eastAsia="Arial" w:hAnsi="Arial" w:cs="Arial"/>
          <w:color w:val="201F1E"/>
          <w:sz w:val="24"/>
          <w:szCs w:val="24"/>
        </w:rPr>
        <w:t>SvAbA</w:t>
      </w:r>
      <w:proofErr w:type="spellEnd"/>
      <w:r>
        <w:rPr>
          <w:rFonts w:ascii="Arial" w:eastAsia="Arial" w:hAnsi="Arial" w:cs="Arial"/>
          <w:color w:val="201F1E"/>
          <w:sz w:val="24"/>
          <w:szCs w:val="24"/>
        </w:rPr>
        <w:t xml:space="preserve"> </w:t>
      </w:r>
      <w:hyperlink r:id="rId35">
        <w:r>
          <w:rPr>
            <w:rFonts w:ascii="Arial" w:eastAsia="Arial" w:hAnsi="Arial" w:cs="Arial"/>
            <w:color w:val="000000"/>
            <w:sz w:val="24"/>
            <w:szCs w:val="24"/>
            <w:vertAlign w:val="superscript"/>
          </w:rPr>
          <w:t>22</w:t>
        </w:r>
      </w:hyperlink>
      <w:r>
        <w:rPr>
          <w:rFonts w:ascii="Arial" w:eastAsia="Arial" w:hAnsi="Arial" w:cs="Arial"/>
          <w:color w:val="201F1E"/>
          <w:sz w:val="24"/>
          <w:szCs w:val="24"/>
        </w:rPr>
        <w:t xml:space="preserve">, Crest, </w:t>
      </w:r>
      <w:proofErr w:type="spellStart"/>
      <w:r>
        <w:rPr>
          <w:rFonts w:ascii="Arial" w:eastAsia="Arial" w:hAnsi="Arial" w:cs="Arial"/>
          <w:color w:val="201F1E"/>
          <w:sz w:val="24"/>
          <w:szCs w:val="24"/>
        </w:rPr>
        <w:t>Breakdancer</w:t>
      </w:r>
      <w:proofErr w:type="spellEnd"/>
      <w:r>
        <w:rPr>
          <w:rFonts w:ascii="Arial" w:eastAsia="Arial" w:hAnsi="Arial" w:cs="Arial"/>
          <w:color w:val="201F1E"/>
          <w:sz w:val="24"/>
          <w:szCs w:val="24"/>
        </w:rPr>
        <w:t xml:space="preserve">, and DELLY, and the ratio of tumor to normal GC- and </w:t>
      </w:r>
      <w:proofErr w:type="spellStart"/>
      <w:r>
        <w:rPr>
          <w:rFonts w:ascii="Arial" w:eastAsia="Arial" w:hAnsi="Arial" w:cs="Arial"/>
          <w:color w:val="201F1E"/>
          <w:sz w:val="24"/>
          <w:szCs w:val="24"/>
        </w:rPr>
        <w:t>mappability</w:t>
      </w:r>
      <w:proofErr w:type="spellEnd"/>
      <w:r>
        <w:rPr>
          <w:rFonts w:ascii="Arial" w:eastAsia="Arial" w:hAnsi="Arial" w:cs="Arial"/>
          <w:color w:val="201F1E"/>
          <w:sz w:val="24"/>
          <w:szCs w:val="24"/>
        </w:rPr>
        <w:t xml:space="preserve">-corrected read depths </w:t>
      </w:r>
      <w:r>
        <w:rPr>
          <w:rFonts w:ascii="Arial" w:eastAsia="Arial" w:hAnsi="Arial" w:cs="Arial"/>
          <w:color w:val="201F1E"/>
          <w:sz w:val="24"/>
          <w:szCs w:val="24"/>
        </w:rPr>
        <w:lastRenderedPageBreak/>
        <w:t xml:space="preserve">calculated across 200 bp bins. </w:t>
      </w:r>
      <w:proofErr w:type="spellStart"/>
      <w:r>
        <w:rPr>
          <w:rFonts w:ascii="Arial" w:eastAsia="Arial" w:hAnsi="Arial" w:cs="Arial"/>
          <w:color w:val="201F1E"/>
          <w:sz w:val="24"/>
          <w:szCs w:val="24"/>
        </w:rPr>
        <w:t>SvAbA</w:t>
      </w:r>
      <w:proofErr w:type="spellEnd"/>
      <w:r>
        <w:rPr>
          <w:rFonts w:ascii="Arial" w:eastAsia="Arial" w:hAnsi="Arial" w:cs="Arial"/>
          <w:color w:val="201F1E"/>
          <w:sz w:val="24"/>
          <w:szCs w:val="24"/>
        </w:rPr>
        <w:t xml:space="preserve"> junctions were co-called across samples jointly per patient. For </w:t>
      </w:r>
      <w:proofErr w:type="spellStart"/>
      <w:r>
        <w:rPr>
          <w:rFonts w:ascii="Arial" w:eastAsia="Arial" w:hAnsi="Arial" w:cs="Arial"/>
          <w:color w:val="201F1E"/>
          <w:sz w:val="24"/>
          <w:szCs w:val="24"/>
        </w:rPr>
        <w:t>SvAbA</w:t>
      </w:r>
      <w:proofErr w:type="spellEnd"/>
      <w:r>
        <w:rPr>
          <w:rFonts w:ascii="Arial" w:eastAsia="Arial" w:hAnsi="Arial" w:cs="Arial"/>
          <w:color w:val="201F1E"/>
          <w:sz w:val="24"/>
          <w:szCs w:val="24"/>
        </w:rPr>
        <w:t xml:space="preserve">, only those junctions with both the FILTER field marked as PASS and with at least 5 supporting reads in any sample were used. For all junctions, those across samples overlapping within 300 base pairs that had identical </w:t>
      </w:r>
      <w:proofErr w:type="spellStart"/>
      <w:r>
        <w:rPr>
          <w:rFonts w:ascii="Arial" w:eastAsia="Arial" w:hAnsi="Arial" w:cs="Arial"/>
          <w:color w:val="201F1E"/>
          <w:sz w:val="24"/>
          <w:szCs w:val="24"/>
        </w:rPr>
        <w:t>breakend</w:t>
      </w:r>
      <w:proofErr w:type="spellEnd"/>
      <w:r>
        <w:rPr>
          <w:rFonts w:ascii="Arial" w:eastAsia="Arial" w:hAnsi="Arial" w:cs="Arial"/>
          <w:color w:val="201F1E"/>
          <w:sz w:val="24"/>
          <w:szCs w:val="24"/>
        </w:rPr>
        <w:t xml:space="preserve"> orientations </w:t>
      </w:r>
      <w:proofErr w:type="gramStart"/>
      <w:r>
        <w:rPr>
          <w:rFonts w:ascii="Arial" w:eastAsia="Arial" w:hAnsi="Arial" w:cs="Arial"/>
          <w:color w:val="201F1E"/>
          <w:sz w:val="24"/>
          <w:szCs w:val="24"/>
        </w:rPr>
        <w:t>were considered to be</w:t>
      </w:r>
      <w:proofErr w:type="gramEnd"/>
      <w:r>
        <w:rPr>
          <w:rFonts w:ascii="Arial" w:eastAsia="Arial" w:hAnsi="Arial" w:cs="Arial"/>
          <w:color w:val="201F1E"/>
          <w:sz w:val="24"/>
          <w:szCs w:val="24"/>
        </w:rPr>
        <w:t xml:space="preserve"> present in the samples found.</w:t>
      </w:r>
    </w:p>
    <w:p w14:paraId="056FF536" w14:textId="77777777" w:rsidR="00E94238" w:rsidRDefault="007402C1">
      <w:pPr>
        <w:shd w:val="clear" w:color="auto" w:fill="FFFFFF"/>
        <w:spacing w:after="0" w:line="480" w:lineRule="auto"/>
        <w:rPr>
          <w:rFonts w:ascii="Arial" w:eastAsia="Arial" w:hAnsi="Arial" w:cs="Arial"/>
          <w:color w:val="201F1E"/>
          <w:sz w:val="24"/>
          <w:szCs w:val="24"/>
        </w:rPr>
      </w:pPr>
      <w:r>
        <w:rPr>
          <w:rFonts w:ascii="Arial" w:eastAsia="Arial" w:hAnsi="Arial" w:cs="Arial"/>
          <w:color w:val="201F1E"/>
          <w:sz w:val="24"/>
          <w:szCs w:val="24"/>
        </w:rPr>
        <w:t xml:space="preserve"> </w:t>
      </w:r>
    </w:p>
    <w:p w14:paraId="331EDF0D" w14:textId="30A879AD" w:rsidR="00E94238" w:rsidRDefault="007402C1">
      <w:pPr>
        <w:shd w:val="clear" w:color="auto" w:fill="FFFFFF"/>
        <w:spacing w:after="0" w:line="480" w:lineRule="auto"/>
        <w:rPr>
          <w:rFonts w:ascii="Arial" w:eastAsia="Arial" w:hAnsi="Arial" w:cs="Arial"/>
          <w:color w:val="201F1E"/>
          <w:sz w:val="24"/>
          <w:szCs w:val="24"/>
        </w:rPr>
      </w:pPr>
      <w:r>
        <w:rPr>
          <w:rFonts w:ascii="Arial" w:eastAsia="Arial" w:hAnsi="Arial" w:cs="Arial"/>
          <w:color w:val="201F1E"/>
          <w:sz w:val="24"/>
          <w:szCs w:val="24"/>
        </w:rPr>
        <w:t xml:space="preserve">Junction-balanced genome graphs consist of estimates of both interval and junction copy number resolved genome-wide as well as loose ends, which are coverage changes unexplained by a structural variant. Heuristics to annotate simple and complex events were applied to genome graphs to annotate the following: simple deletions, duplications, translocations, inverted duplications. Complex: templated insertion chains (TIC), </w:t>
      </w:r>
      <w:proofErr w:type="spellStart"/>
      <w:r>
        <w:rPr>
          <w:rFonts w:ascii="Arial" w:eastAsia="Arial" w:hAnsi="Arial" w:cs="Arial"/>
          <w:color w:val="201F1E"/>
          <w:sz w:val="24"/>
          <w:szCs w:val="24"/>
        </w:rPr>
        <w:t>chromoplexy</w:t>
      </w:r>
      <w:proofErr w:type="spellEnd"/>
      <w:r>
        <w:rPr>
          <w:rFonts w:ascii="Arial" w:eastAsia="Arial" w:hAnsi="Arial" w:cs="Arial"/>
          <w:color w:val="201F1E"/>
          <w:sz w:val="24"/>
          <w:szCs w:val="24"/>
        </w:rPr>
        <w:t xml:space="preserve">, </w:t>
      </w:r>
      <w:proofErr w:type="spellStart"/>
      <w:r>
        <w:rPr>
          <w:rFonts w:ascii="Arial" w:eastAsia="Arial" w:hAnsi="Arial" w:cs="Arial"/>
          <w:color w:val="201F1E"/>
          <w:sz w:val="24"/>
          <w:szCs w:val="24"/>
        </w:rPr>
        <w:t>chromothripsis</w:t>
      </w:r>
      <w:proofErr w:type="spellEnd"/>
      <w:r>
        <w:rPr>
          <w:rFonts w:ascii="Arial" w:eastAsia="Arial" w:hAnsi="Arial" w:cs="Arial"/>
          <w:color w:val="201F1E"/>
          <w:sz w:val="24"/>
          <w:szCs w:val="24"/>
        </w:rPr>
        <w:t xml:space="preserve">, breakage fusion bridge cycles, double minutes, and </w:t>
      </w:r>
      <w:proofErr w:type="spellStart"/>
      <w:r>
        <w:rPr>
          <w:rFonts w:ascii="Arial" w:eastAsia="Arial" w:hAnsi="Arial" w:cs="Arial"/>
          <w:color w:val="201F1E"/>
          <w:sz w:val="24"/>
          <w:szCs w:val="24"/>
        </w:rPr>
        <w:t>tyfonas</w:t>
      </w:r>
      <w:proofErr w:type="spellEnd"/>
      <w:r>
        <w:rPr>
          <w:rFonts w:ascii="Arial" w:eastAsia="Arial" w:hAnsi="Arial" w:cs="Arial"/>
          <w:color w:val="201F1E"/>
          <w:sz w:val="24"/>
          <w:szCs w:val="24"/>
        </w:rPr>
        <w:t xml:space="preserve">. Heuristics are described in Hadi et al 2020 </w:t>
      </w:r>
      <w:hyperlink r:id="rId36">
        <w:r>
          <w:rPr>
            <w:rFonts w:ascii="Arial" w:eastAsia="Arial" w:hAnsi="Arial" w:cs="Arial"/>
            <w:color w:val="000000"/>
            <w:sz w:val="24"/>
            <w:szCs w:val="24"/>
            <w:vertAlign w:val="superscript"/>
          </w:rPr>
          <w:t>21</w:t>
        </w:r>
      </w:hyperlink>
      <w:r>
        <w:rPr>
          <w:rFonts w:ascii="Arial" w:eastAsia="Arial" w:hAnsi="Arial" w:cs="Arial"/>
          <w:color w:val="201F1E"/>
          <w:sz w:val="24"/>
          <w:szCs w:val="24"/>
        </w:rPr>
        <w:t xml:space="preserve">, and are available in the </w:t>
      </w:r>
      <w:proofErr w:type="spellStart"/>
      <w:r>
        <w:rPr>
          <w:rFonts w:ascii="Arial" w:eastAsia="Arial" w:hAnsi="Arial" w:cs="Arial"/>
          <w:color w:val="201F1E"/>
          <w:sz w:val="24"/>
          <w:szCs w:val="24"/>
        </w:rPr>
        <w:t>gGnome</w:t>
      </w:r>
      <w:proofErr w:type="spellEnd"/>
      <w:r>
        <w:rPr>
          <w:rFonts w:ascii="Arial" w:eastAsia="Arial" w:hAnsi="Arial" w:cs="Arial"/>
          <w:color w:val="201F1E"/>
          <w:sz w:val="24"/>
          <w:szCs w:val="24"/>
        </w:rPr>
        <w:t xml:space="preserve"> R package at </w:t>
      </w:r>
      <w:r w:rsidRPr="00FE27B0">
        <w:rPr>
          <w:rFonts w:ascii="Arial" w:eastAsia="Arial" w:hAnsi="Arial" w:cs="Arial"/>
          <w:sz w:val="24"/>
          <w:szCs w:val="24"/>
        </w:rPr>
        <w:t>https://github.com/mskilab/gGnome</w:t>
      </w:r>
      <w:r>
        <w:rPr>
          <w:rFonts w:ascii="Arial" w:eastAsia="Arial" w:hAnsi="Arial" w:cs="Arial"/>
          <w:color w:val="201F1E"/>
          <w:sz w:val="24"/>
          <w:szCs w:val="24"/>
        </w:rPr>
        <w:t>.</w:t>
      </w:r>
    </w:p>
    <w:p w14:paraId="425FC5AC" w14:textId="77777777" w:rsidR="00E94238" w:rsidRDefault="007402C1">
      <w:pPr>
        <w:shd w:val="clear" w:color="auto" w:fill="FFFFFF"/>
        <w:spacing w:after="0" w:line="480" w:lineRule="auto"/>
        <w:rPr>
          <w:rFonts w:ascii="Arial" w:eastAsia="Arial" w:hAnsi="Arial" w:cs="Arial"/>
          <w:color w:val="201F1E"/>
          <w:sz w:val="24"/>
          <w:szCs w:val="24"/>
        </w:rPr>
      </w:pPr>
      <w:r>
        <w:rPr>
          <w:rFonts w:ascii="Arial" w:eastAsia="Arial" w:hAnsi="Arial" w:cs="Arial"/>
          <w:color w:val="201F1E"/>
          <w:sz w:val="24"/>
          <w:szCs w:val="24"/>
        </w:rPr>
        <w:t xml:space="preserve"> </w:t>
      </w:r>
    </w:p>
    <w:p w14:paraId="6F2F2A0E" w14:textId="15516B38" w:rsidR="00E94238" w:rsidRDefault="007402C1">
      <w:pPr>
        <w:shd w:val="clear" w:color="auto" w:fill="FFFFFF"/>
        <w:spacing w:after="0" w:line="480" w:lineRule="auto"/>
        <w:rPr>
          <w:rFonts w:ascii="Arial" w:eastAsia="Arial" w:hAnsi="Arial" w:cs="Arial"/>
          <w:color w:val="201F1E"/>
          <w:sz w:val="24"/>
          <w:szCs w:val="24"/>
        </w:rPr>
      </w:pPr>
      <w:r>
        <w:rPr>
          <w:rFonts w:ascii="Arial" w:eastAsia="Arial" w:hAnsi="Arial" w:cs="Arial"/>
          <w:color w:val="201F1E"/>
          <w:sz w:val="24"/>
          <w:szCs w:val="24"/>
        </w:rPr>
        <w:t xml:space="preserve">For track data, GC- and </w:t>
      </w:r>
      <w:proofErr w:type="spellStart"/>
      <w:r>
        <w:rPr>
          <w:rFonts w:ascii="Arial" w:eastAsia="Arial" w:hAnsi="Arial" w:cs="Arial"/>
          <w:color w:val="201F1E"/>
          <w:sz w:val="24"/>
          <w:szCs w:val="24"/>
        </w:rPr>
        <w:t>mappability</w:t>
      </w:r>
      <w:proofErr w:type="spellEnd"/>
      <w:r>
        <w:rPr>
          <w:rFonts w:ascii="Arial" w:eastAsia="Arial" w:hAnsi="Arial" w:cs="Arial"/>
          <w:color w:val="201F1E"/>
          <w:sz w:val="24"/>
          <w:szCs w:val="24"/>
        </w:rPr>
        <w:t xml:space="preserve">-corrected read depth data were collapsed into 1 </w:t>
      </w:r>
      <w:proofErr w:type="spellStart"/>
      <w:r>
        <w:rPr>
          <w:rFonts w:ascii="Arial" w:eastAsia="Arial" w:hAnsi="Arial" w:cs="Arial"/>
          <w:color w:val="201F1E"/>
          <w:sz w:val="24"/>
          <w:szCs w:val="24"/>
        </w:rPr>
        <w:t>kbp</w:t>
      </w:r>
      <w:proofErr w:type="spellEnd"/>
      <w:r>
        <w:rPr>
          <w:rFonts w:ascii="Arial" w:eastAsia="Arial" w:hAnsi="Arial" w:cs="Arial"/>
          <w:color w:val="201F1E"/>
          <w:sz w:val="24"/>
          <w:szCs w:val="24"/>
        </w:rPr>
        <w:t xml:space="preserve"> bins using the median and processed through </w:t>
      </w:r>
      <w:proofErr w:type="spellStart"/>
      <w:r>
        <w:rPr>
          <w:rFonts w:ascii="Arial" w:eastAsia="Arial" w:hAnsi="Arial" w:cs="Arial"/>
          <w:color w:val="201F1E"/>
          <w:sz w:val="24"/>
          <w:szCs w:val="24"/>
        </w:rPr>
        <w:t>Dryclean</w:t>
      </w:r>
      <w:proofErr w:type="spellEnd"/>
      <w:r>
        <w:rPr>
          <w:rFonts w:ascii="Arial" w:eastAsia="Arial" w:hAnsi="Arial" w:cs="Arial"/>
          <w:color w:val="201F1E"/>
          <w:sz w:val="24"/>
          <w:szCs w:val="24"/>
        </w:rPr>
        <w:t xml:space="preserve"> </w:t>
      </w:r>
      <w:hyperlink r:id="rId37">
        <w:r>
          <w:rPr>
            <w:rFonts w:ascii="Arial" w:eastAsia="Arial" w:hAnsi="Arial" w:cs="Arial"/>
            <w:color w:val="000000"/>
            <w:sz w:val="24"/>
            <w:szCs w:val="24"/>
            <w:vertAlign w:val="superscript"/>
          </w:rPr>
          <w:t>23</w:t>
        </w:r>
      </w:hyperlink>
      <w:r>
        <w:rPr>
          <w:rFonts w:ascii="Arial" w:eastAsia="Arial" w:hAnsi="Arial" w:cs="Arial"/>
          <w:color w:val="201F1E"/>
          <w:sz w:val="24"/>
          <w:szCs w:val="24"/>
        </w:rPr>
        <w:t xml:space="preserve"> (</w:t>
      </w:r>
      <w:r w:rsidRPr="00FE27B0">
        <w:rPr>
          <w:rFonts w:ascii="Arial" w:eastAsia="Arial" w:hAnsi="Arial" w:cs="Arial"/>
          <w:sz w:val="24"/>
          <w:szCs w:val="24"/>
        </w:rPr>
        <w:t>https://github.com/mskilab/dryclean</w:t>
      </w:r>
      <w:r>
        <w:rPr>
          <w:rFonts w:ascii="Arial" w:eastAsia="Arial" w:hAnsi="Arial" w:cs="Arial"/>
          <w:color w:val="201F1E"/>
          <w:sz w:val="24"/>
          <w:szCs w:val="24"/>
        </w:rPr>
        <w:t xml:space="preserve">) to isolate the coverage changes attributed to somatic CNV, and to de-noise the coverage profiles. </w:t>
      </w:r>
      <w:proofErr w:type="spellStart"/>
      <w:r>
        <w:rPr>
          <w:rFonts w:ascii="Arial" w:eastAsia="Arial" w:hAnsi="Arial" w:cs="Arial"/>
          <w:color w:val="201F1E"/>
          <w:sz w:val="24"/>
          <w:szCs w:val="24"/>
        </w:rPr>
        <w:t>JaBbA</w:t>
      </w:r>
      <w:proofErr w:type="spellEnd"/>
      <w:r>
        <w:rPr>
          <w:rFonts w:ascii="Arial" w:eastAsia="Arial" w:hAnsi="Arial" w:cs="Arial"/>
          <w:color w:val="201F1E"/>
          <w:sz w:val="24"/>
          <w:szCs w:val="24"/>
        </w:rPr>
        <w:t xml:space="preserve"> models per sample were re-fit jointly across samples using the "balance" function in </w:t>
      </w:r>
      <w:proofErr w:type="spellStart"/>
      <w:r>
        <w:rPr>
          <w:rFonts w:ascii="Arial" w:eastAsia="Arial" w:hAnsi="Arial" w:cs="Arial"/>
          <w:color w:val="201F1E"/>
          <w:sz w:val="24"/>
          <w:szCs w:val="24"/>
        </w:rPr>
        <w:t>gGnome</w:t>
      </w:r>
      <w:proofErr w:type="spellEnd"/>
      <w:r>
        <w:rPr>
          <w:rFonts w:ascii="Arial" w:eastAsia="Arial" w:hAnsi="Arial" w:cs="Arial"/>
          <w:color w:val="201F1E"/>
          <w:sz w:val="24"/>
          <w:szCs w:val="24"/>
        </w:rPr>
        <w:t xml:space="preserve"> within the subgraphs.</w:t>
      </w:r>
    </w:p>
    <w:p w14:paraId="7F6D3B5E"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15" w:name="_2u6wntf" w:colFirst="0" w:colLast="0"/>
      <w:bookmarkEnd w:id="15"/>
      <w:r>
        <w:rPr>
          <w:rFonts w:ascii="Arial" w:eastAsia="Arial" w:hAnsi="Arial" w:cs="Arial"/>
          <w:color w:val="00000A"/>
          <w:sz w:val="24"/>
          <w:szCs w:val="24"/>
        </w:rPr>
        <w:lastRenderedPageBreak/>
        <w:t>Anomalous biopsies</w:t>
      </w:r>
    </w:p>
    <w:p w14:paraId="1C8B6EBA"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Nine of 340 biopsies, (four CO and five NCO biopsies, two of which were from the T3 time point) were in the lowest 5% of mutation load (&lt;4,285 mutations), and lacked hallmarks of BE: no observed chromosome 9p </w:t>
      </w:r>
      <w:proofErr w:type="spellStart"/>
      <w:r>
        <w:rPr>
          <w:rFonts w:ascii="Arial" w:eastAsia="Arial" w:hAnsi="Arial" w:cs="Arial"/>
          <w:color w:val="00000A"/>
          <w:sz w:val="24"/>
          <w:szCs w:val="24"/>
        </w:rPr>
        <w:t>cnLOH</w:t>
      </w:r>
      <w:proofErr w:type="spellEnd"/>
      <w:r>
        <w:rPr>
          <w:rFonts w:ascii="Arial" w:eastAsia="Arial" w:hAnsi="Arial" w:cs="Arial"/>
          <w:color w:val="00000A"/>
          <w:sz w:val="24"/>
          <w:szCs w:val="24"/>
        </w:rPr>
        <w:t xml:space="preserve"> or loss, no high-confidence SVs, deletions, or loss in </w:t>
      </w:r>
      <w:r>
        <w:rPr>
          <w:rFonts w:ascii="Arial" w:eastAsia="Arial" w:hAnsi="Arial" w:cs="Arial"/>
          <w:i/>
          <w:color w:val="00000A"/>
          <w:sz w:val="24"/>
          <w:szCs w:val="24"/>
        </w:rPr>
        <w:t>TP53, FHIT, CDKN2A</w:t>
      </w:r>
      <w:r>
        <w:rPr>
          <w:rFonts w:ascii="Arial" w:eastAsia="Arial" w:hAnsi="Arial" w:cs="Arial"/>
          <w:color w:val="00000A"/>
          <w:sz w:val="24"/>
          <w:szCs w:val="24"/>
        </w:rPr>
        <w:t xml:space="preserve">, or </w:t>
      </w:r>
      <w:r>
        <w:rPr>
          <w:rFonts w:ascii="Arial" w:eastAsia="Arial" w:hAnsi="Arial" w:cs="Arial"/>
          <w:i/>
          <w:color w:val="00000A"/>
          <w:sz w:val="24"/>
          <w:szCs w:val="24"/>
        </w:rPr>
        <w:t>WWOX</w:t>
      </w:r>
      <w:r>
        <w:rPr>
          <w:rFonts w:ascii="Arial" w:eastAsia="Arial" w:hAnsi="Arial" w:cs="Arial"/>
          <w:color w:val="00000A"/>
          <w:sz w:val="24"/>
          <w:szCs w:val="24"/>
        </w:rPr>
        <w:t xml:space="preserve">, and no </w:t>
      </w:r>
      <w:r>
        <w:rPr>
          <w:rFonts w:ascii="Arial" w:eastAsia="Arial" w:hAnsi="Arial" w:cs="Arial"/>
          <w:i/>
          <w:color w:val="00000A"/>
          <w:sz w:val="24"/>
          <w:szCs w:val="24"/>
        </w:rPr>
        <w:t>TP53</w:t>
      </w:r>
      <w:r>
        <w:rPr>
          <w:rFonts w:ascii="Arial" w:eastAsia="Arial" w:hAnsi="Arial" w:cs="Arial"/>
          <w:color w:val="00000A"/>
          <w:sz w:val="24"/>
          <w:szCs w:val="24"/>
        </w:rPr>
        <w:t xml:space="preserve"> alterations of any kind (Supplementary Table 5). We hypothesize that these “atypical” biopsies may have little to no Barrett’s epithelium, but in the absence of corroboration have included them in all analyses unless otherwise indicated.</w:t>
      </w:r>
    </w:p>
    <w:p w14:paraId="2C238680" w14:textId="77777777" w:rsidR="00E94238" w:rsidRDefault="00E94238">
      <w:pPr>
        <w:spacing w:after="0" w:line="480" w:lineRule="auto"/>
        <w:rPr>
          <w:rFonts w:ascii="Arial" w:eastAsia="Arial" w:hAnsi="Arial" w:cs="Arial"/>
          <w:color w:val="00000A"/>
          <w:sz w:val="24"/>
          <w:szCs w:val="24"/>
        </w:rPr>
      </w:pPr>
    </w:p>
    <w:p w14:paraId="69EBA76D" w14:textId="77777777" w:rsidR="00E94238" w:rsidRDefault="00E94238">
      <w:pPr>
        <w:spacing w:after="0" w:line="480" w:lineRule="auto"/>
        <w:rPr>
          <w:rFonts w:ascii="Arial" w:eastAsia="Arial" w:hAnsi="Arial" w:cs="Arial"/>
          <w:color w:val="00000A"/>
          <w:sz w:val="24"/>
          <w:szCs w:val="24"/>
        </w:rPr>
      </w:pPr>
    </w:p>
    <w:p w14:paraId="1082F304" w14:textId="77777777" w:rsidR="00E94238" w:rsidRDefault="007402C1">
      <w:pPr>
        <w:pStyle w:val="Heading2"/>
        <w:keepNext/>
        <w:keepLines/>
        <w:spacing w:after="0" w:line="480" w:lineRule="auto"/>
        <w:rPr>
          <w:rFonts w:ascii="Arial" w:eastAsia="Arial" w:hAnsi="Arial" w:cs="Arial"/>
          <w:color w:val="00000A"/>
          <w:sz w:val="24"/>
          <w:szCs w:val="24"/>
        </w:rPr>
      </w:pPr>
      <w:bookmarkStart w:id="16" w:name="_19c6y18" w:colFirst="0" w:colLast="0"/>
      <w:bookmarkEnd w:id="16"/>
      <w:r>
        <w:rPr>
          <w:rFonts w:ascii="Arial" w:eastAsia="Arial" w:hAnsi="Arial" w:cs="Arial"/>
          <w:color w:val="00000A"/>
          <w:sz w:val="24"/>
          <w:szCs w:val="24"/>
        </w:rPr>
        <w:t>QUANTIFICATION AND STATISTICAL ANALYSIS EXTENDED METHODS</w:t>
      </w:r>
    </w:p>
    <w:p w14:paraId="0AB1A1F2" w14:textId="77777777" w:rsidR="00E94238" w:rsidRDefault="00E94238">
      <w:pPr>
        <w:spacing w:after="0" w:line="480" w:lineRule="auto"/>
        <w:rPr>
          <w:rFonts w:ascii="Arial" w:eastAsia="Arial" w:hAnsi="Arial" w:cs="Arial"/>
          <w:color w:val="00000A"/>
          <w:sz w:val="24"/>
          <w:szCs w:val="24"/>
        </w:rPr>
      </w:pPr>
    </w:p>
    <w:p w14:paraId="5B9E6AF3" w14:textId="77777777" w:rsidR="00E94238" w:rsidRDefault="007402C1">
      <w:pPr>
        <w:pStyle w:val="Heading3"/>
        <w:keepNext/>
        <w:keepLines/>
        <w:spacing w:before="240" w:after="40" w:line="480" w:lineRule="auto"/>
        <w:rPr>
          <w:rFonts w:ascii="Arial" w:eastAsia="Arial" w:hAnsi="Arial" w:cs="Arial"/>
          <w:color w:val="00000A"/>
          <w:sz w:val="24"/>
          <w:szCs w:val="24"/>
        </w:rPr>
      </w:pPr>
      <w:bookmarkStart w:id="17" w:name="_3tbugp1" w:colFirst="0" w:colLast="0"/>
      <w:bookmarkEnd w:id="17"/>
      <w:r>
        <w:rPr>
          <w:rFonts w:ascii="Arial" w:eastAsia="Arial" w:hAnsi="Arial" w:cs="Arial"/>
          <w:color w:val="00000A"/>
          <w:sz w:val="24"/>
          <w:szCs w:val="24"/>
        </w:rPr>
        <w:t>Phylogenetic Analysis</w:t>
      </w:r>
    </w:p>
    <w:p w14:paraId="6779C24B" w14:textId="77777777" w:rsidR="00E94238" w:rsidRDefault="007402C1">
      <w:pPr>
        <w:spacing w:after="0" w:line="480" w:lineRule="auto"/>
        <w:rPr>
          <w:rFonts w:ascii="Arial" w:eastAsia="Arial" w:hAnsi="Arial" w:cs="Arial"/>
          <w:color w:val="00000A"/>
          <w:sz w:val="24"/>
          <w:szCs w:val="24"/>
        </w:rPr>
      </w:pPr>
      <w:r>
        <w:rPr>
          <w:rFonts w:ascii="Arial" w:eastAsia="Arial" w:hAnsi="Arial" w:cs="Arial"/>
          <w:color w:val="00000A"/>
          <w:sz w:val="24"/>
          <w:szCs w:val="24"/>
        </w:rPr>
        <w:t xml:space="preserve">We constructed maximum parsimony trees of the four biopsies per patient based on SNVs only, using </w:t>
      </w:r>
      <w:proofErr w:type="spellStart"/>
      <w:r>
        <w:rPr>
          <w:rFonts w:ascii="Arial" w:eastAsia="Arial" w:hAnsi="Arial" w:cs="Arial"/>
          <w:i/>
          <w:color w:val="00000A"/>
          <w:sz w:val="24"/>
          <w:szCs w:val="24"/>
        </w:rPr>
        <w:t>dnapars</w:t>
      </w:r>
      <w:proofErr w:type="spellEnd"/>
      <w:r>
        <w:rPr>
          <w:rFonts w:ascii="Arial" w:eastAsia="Arial" w:hAnsi="Arial" w:cs="Arial"/>
          <w:color w:val="00000A"/>
          <w:sz w:val="24"/>
          <w:szCs w:val="24"/>
        </w:rPr>
        <w:t xml:space="preserve"> from </w:t>
      </w:r>
      <w:proofErr w:type="spellStart"/>
      <w:r>
        <w:rPr>
          <w:rFonts w:ascii="Arial" w:eastAsia="Arial" w:hAnsi="Arial" w:cs="Arial"/>
          <w:color w:val="00000A"/>
          <w:sz w:val="24"/>
          <w:szCs w:val="24"/>
        </w:rPr>
        <w:t>Phylip</w:t>
      </w:r>
      <w:proofErr w:type="spellEnd"/>
      <w:r>
        <w:rPr>
          <w:rFonts w:ascii="Arial" w:eastAsia="Arial" w:hAnsi="Arial" w:cs="Arial"/>
          <w:color w:val="00000A"/>
          <w:sz w:val="24"/>
          <w:szCs w:val="24"/>
        </w:rPr>
        <w:t xml:space="preserve"> v3.695 </w:t>
      </w:r>
      <w:hyperlink r:id="rId38">
        <w:r>
          <w:rPr>
            <w:rFonts w:ascii="Arial" w:eastAsia="Arial" w:hAnsi="Arial" w:cs="Arial"/>
            <w:color w:val="000000"/>
            <w:sz w:val="24"/>
            <w:szCs w:val="24"/>
            <w:vertAlign w:val="superscript"/>
          </w:rPr>
          <w:t>24</w:t>
        </w:r>
      </w:hyperlink>
      <w:r>
        <w:rPr>
          <w:rFonts w:ascii="Arial" w:eastAsia="Arial" w:hAnsi="Arial" w:cs="Arial"/>
          <w:color w:val="00000A"/>
          <w:sz w:val="24"/>
          <w:szCs w:val="24"/>
        </w:rPr>
        <w:t xml:space="preserve">.  Each biopsy was classified as ‘distal’ or ‘proximal’ based on the relative positions of the four biopsies: biopsies closer to the most distal biopsy than to the most proximal were classified as “distal”, and those closer to the most proximal biopsy were classified as “proximal.”  Any biopsy equidistant between the two was placed in the group with fewer biopsies. This resulted in 55/80 patients with two distal biopsies and two proximal biopsies, 24 patients with three of one type and one of the other, and one patient where all four biopsies were equidistant from the GEJ.  For spatial phylogenetic analysis we used only the 55 patients with two distal and two proximal biopsies, while for temporal analysis we used all 80 patients.  We </w:t>
      </w:r>
      <w:r>
        <w:rPr>
          <w:rFonts w:ascii="Arial" w:eastAsia="Arial" w:hAnsi="Arial" w:cs="Arial"/>
          <w:color w:val="00000A"/>
          <w:sz w:val="24"/>
          <w:szCs w:val="24"/>
        </w:rPr>
        <w:lastRenderedPageBreak/>
        <w:t>computed expected numbers of each of the six possible arrangements of two pairs of biopsies (T1/T2 for temporal analysis, proximal/distal for spatial analysis) assuming random branching-process phylogenies with random assignment of tip labels, and compared the observed values to this random expectation using a chi-squared test.  In addition, we used a chi-square test to determine whether the CO patient topologies differed significantly from the NCO topologies in either spatial or temporal structure.</w:t>
      </w:r>
    </w:p>
    <w:p w14:paraId="451FA52A" w14:textId="77777777" w:rsidR="00E94238" w:rsidRDefault="00E94238">
      <w:pPr>
        <w:spacing w:after="0" w:line="480" w:lineRule="auto"/>
        <w:rPr>
          <w:rFonts w:ascii="Arial" w:eastAsia="Arial" w:hAnsi="Arial" w:cs="Arial"/>
          <w:color w:val="00000A"/>
          <w:sz w:val="24"/>
          <w:szCs w:val="24"/>
        </w:rPr>
      </w:pPr>
    </w:p>
    <w:p w14:paraId="6A102801" w14:textId="77777777" w:rsidR="00E94238" w:rsidRDefault="007402C1">
      <w:pPr>
        <w:spacing w:after="0" w:line="480" w:lineRule="auto"/>
        <w:rPr>
          <w:rFonts w:ascii="Arial" w:eastAsia="Arial" w:hAnsi="Arial" w:cs="Arial"/>
        </w:rPr>
      </w:pPr>
      <w:r>
        <w:rPr>
          <w:rFonts w:ascii="Arial" w:eastAsia="Arial" w:hAnsi="Arial" w:cs="Arial"/>
          <w:color w:val="00000A"/>
          <w:sz w:val="24"/>
          <w:szCs w:val="24"/>
        </w:rPr>
        <w:t xml:space="preserve">Support for the trees was determined based on 1000 bootstrap replicates made using </w:t>
      </w:r>
      <w:proofErr w:type="spellStart"/>
      <w:r>
        <w:rPr>
          <w:rFonts w:ascii="Arial" w:eastAsia="Arial" w:hAnsi="Arial" w:cs="Arial"/>
          <w:i/>
          <w:color w:val="00000A"/>
          <w:sz w:val="24"/>
          <w:szCs w:val="24"/>
        </w:rPr>
        <w:t>seqboot</w:t>
      </w:r>
      <w:proofErr w:type="spellEnd"/>
      <w:r>
        <w:rPr>
          <w:rFonts w:ascii="Arial" w:eastAsia="Arial" w:hAnsi="Arial" w:cs="Arial"/>
          <w:color w:val="00000A"/>
          <w:sz w:val="24"/>
          <w:szCs w:val="24"/>
        </w:rPr>
        <w:t xml:space="preserve"> and</w:t>
      </w:r>
      <w:r>
        <w:rPr>
          <w:rFonts w:ascii="Arial" w:eastAsia="Arial" w:hAnsi="Arial" w:cs="Arial"/>
          <w:i/>
          <w:color w:val="00000A"/>
          <w:sz w:val="24"/>
          <w:szCs w:val="24"/>
        </w:rPr>
        <w:t xml:space="preserve"> </w:t>
      </w:r>
      <w:proofErr w:type="spellStart"/>
      <w:r>
        <w:rPr>
          <w:rFonts w:ascii="Arial" w:eastAsia="Arial" w:hAnsi="Arial" w:cs="Arial"/>
          <w:i/>
          <w:color w:val="00000A"/>
          <w:sz w:val="24"/>
          <w:szCs w:val="24"/>
        </w:rPr>
        <w:t>consense</w:t>
      </w:r>
      <w:proofErr w:type="spellEnd"/>
      <w:r>
        <w:rPr>
          <w:rFonts w:ascii="Arial" w:eastAsia="Arial" w:hAnsi="Arial" w:cs="Arial"/>
          <w:color w:val="00000A"/>
          <w:sz w:val="24"/>
          <w:szCs w:val="24"/>
        </w:rPr>
        <w:t xml:space="preserve"> from </w:t>
      </w:r>
      <w:proofErr w:type="spellStart"/>
      <w:r>
        <w:rPr>
          <w:rFonts w:ascii="Arial" w:eastAsia="Arial" w:hAnsi="Arial" w:cs="Arial"/>
          <w:color w:val="00000A"/>
          <w:sz w:val="24"/>
          <w:szCs w:val="24"/>
        </w:rPr>
        <w:t>Phylip</w:t>
      </w:r>
      <w:proofErr w:type="spellEnd"/>
      <w:r>
        <w:rPr>
          <w:rFonts w:ascii="Arial" w:eastAsia="Arial" w:hAnsi="Arial" w:cs="Arial"/>
          <w:color w:val="00000A"/>
          <w:sz w:val="24"/>
          <w:szCs w:val="24"/>
        </w:rPr>
        <w:t xml:space="preserve"> v3.695 </w:t>
      </w:r>
      <w:hyperlink r:id="rId39">
        <w:r>
          <w:rPr>
            <w:rFonts w:ascii="Arial" w:eastAsia="Arial" w:hAnsi="Arial" w:cs="Arial"/>
            <w:color w:val="000000"/>
            <w:sz w:val="24"/>
            <w:szCs w:val="24"/>
            <w:vertAlign w:val="superscript"/>
          </w:rPr>
          <w:t>25</w:t>
        </w:r>
      </w:hyperlink>
      <w:r>
        <w:rPr>
          <w:rFonts w:ascii="Arial" w:eastAsia="Arial" w:hAnsi="Arial" w:cs="Arial"/>
          <w:color w:val="00000A"/>
          <w:sz w:val="24"/>
          <w:szCs w:val="24"/>
        </w:rPr>
        <w:t>.  Bootstrap support was generally high.  In 65/80 patients all branches had 100% bootstrap support, with 73/80 patients with bootstrap support above 850/1000 for all nodes, which has been suggested as a reasonable approximation of a 95% confidence interval.  No patient showed more than 15% support for a different T1/T2 topology class.  One patient (of the 55 with two distal and two proximal biopsies) showed more than 15% support for a different proximal/distal topology class.  Removing that patient from the analysis did not change the conclusion, nor did removing all 15 patients with &lt;100% support for any node (data not shown).</w:t>
      </w:r>
    </w:p>
    <w:p w14:paraId="08DB8FD9" w14:textId="77777777" w:rsidR="00E94238" w:rsidRDefault="00E94238">
      <w:pPr>
        <w:spacing w:after="0" w:line="480" w:lineRule="auto"/>
        <w:rPr>
          <w:rFonts w:ascii="Arial" w:eastAsia="Arial" w:hAnsi="Arial" w:cs="Arial"/>
        </w:rPr>
      </w:pPr>
    </w:p>
    <w:p w14:paraId="6A2A375E" w14:textId="77777777" w:rsidR="00E94238" w:rsidRDefault="007402C1">
      <w:pPr>
        <w:spacing w:after="0" w:line="480" w:lineRule="auto"/>
        <w:rPr>
          <w:rFonts w:ascii="Arial" w:eastAsia="Arial" w:hAnsi="Arial" w:cs="Arial"/>
          <w:b/>
          <w:sz w:val="24"/>
          <w:szCs w:val="24"/>
        </w:rPr>
      </w:pPr>
      <w:r>
        <w:rPr>
          <w:rFonts w:ascii="Arial" w:eastAsia="Arial" w:hAnsi="Arial" w:cs="Arial"/>
          <w:b/>
          <w:sz w:val="28"/>
          <w:szCs w:val="28"/>
        </w:rPr>
        <w:t>Literature cited in Extended Methods</w:t>
      </w:r>
    </w:p>
    <w:p w14:paraId="709B128C" w14:textId="77777777" w:rsidR="00E94238" w:rsidRDefault="007402C1">
      <w:pPr>
        <w:widowControl w:val="0"/>
        <w:pBdr>
          <w:top w:val="nil"/>
          <w:left w:val="nil"/>
          <w:bottom w:val="nil"/>
          <w:right w:val="nil"/>
          <w:between w:val="nil"/>
        </w:pBdr>
        <w:spacing w:before="240"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w:t>
      </w:r>
      <w:r>
        <w:rPr>
          <w:rFonts w:ascii="Arial" w:eastAsia="Arial" w:hAnsi="Arial" w:cs="Arial"/>
          <w:color w:val="000000"/>
          <w:sz w:val="24"/>
          <w:szCs w:val="24"/>
        </w:rPr>
        <w:tab/>
      </w:r>
      <w:hyperlink r:id="rId40">
        <w:r>
          <w:rPr>
            <w:rFonts w:ascii="Arial" w:eastAsia="Arial" w:hAnsi="Arial" w:cs="Arial"/>
            <w:color w:val="000000"/>
            <w:sz w:val="24"/>
            <w:szCs w:val="24"/>
          </w:rPr>
          <w:t xml:space="preserve">Li, X. </w:t>
        </w:r>
      </w:hyperlink>
      <w:hyperlink r:id="rId41">
        <w:r>
          <w:rPr>
            <w:rFonts w:ascii="Arial" w:eastAsia="Arial" w:hAnsi="Arial" w:cs="Arial"/>
            <w:i/>
            <w:color w:val="000000"/>
            <w:sz w:val="24"/>
            <w:szCs w:val="24"/>
          </w:rPr>
          <w:t>et al.</w:t>
        </w:r>
      </w:hyperlink>
      <w:hyperlink r:id="rId42">
        <w:r>
          <w:rPr>
            <w:rFonts w:ascii="Arial" w:eastAsia="Arial" w:hAnsi="Arial" w:cs="Arial"/>
            <w:color w:val="000000"/>
            <w:sz w:val="24"/>
            <w:szCs w:val="24"/>
          </w:rPr>
          <w:t xml:space="preserve"> Temporal and spatial evolution of somatic chromosomal alterations: a case-cohort study of Barrett’s esophagus. </w:t>
        </w:r>
      </w:hyperlink>
      <w:hyperlink r:id="rId43">
        <w:r>
          <w:rPr>
            <w:rFonts w:ascii="Arial" w:eastAsia="Arial" w:hAnsi="Arial" w:cs="Arial"/>
            <w:i/>
            <w:color w:val="000000"/>
            <w:sz w:val="24"/>
            <w:szCs w:val="24"/>
          </w:rPr>
          <w:t xml:space="preserve">Cancer Prev. Res. </w:t>
        </w:r>
      </w:hyperlink>
      <w:hyperlink r:id="rId44">
        <w:r>
          <w:rPr>
            <w:rFonts w:ascii="Arial" w:eastAsia="Arial" w:hAnsi="Arial" w:cs="Arial"/>
            <w:color w:val="000000"/>
            <w:sz w:val="24"/>
            <w:szCs w:val="24"/>
          </w:rPr>
          <w:t xml:space="preserve"> </w:t>
        </w:r>
      </w:hyperlink>
      <w:hyperlink r:id="rId45">
        <w:r>
          <w:rPr>
            <w:rFonts w:ascii="Arial" w:eastAsia="Arial" w:hAnsi="Arial" w:cs="Arial"/>
            <w:b/>
            <w:color w:val="000000"/>
            <w:sz w:val="24"/>
            <w:szCs w:val="24"/>
          </w:rPr>
          <w:t>7</w:t>
        </w:r>
      </w:hyperlink>
      <w:hyperlink r:id="rId46">
        <w:r>
          <w:rPr>
            <w:rFonts w:ascii="Arial" w:eastAsia="Arial" w:hAnsi="Arial" w:cs="Arial"/>
            <w:color w:val="000000"/>
            <w:sz w:val="24"/>
            <w:szCs w:val="24"/>
          </w:rPr>
          <w:t>, 114–127 (2014).</w:t>
        </w:r>
      </w:hyperlink>
    </w:p>
    <w:p w14:paraId="0823794D"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2.</w:t>
      </w:r>
      <w:r>
        <w:rPr>
          <w:rFonts w:ascii="Arial" w:eastAsia="Arial" w:hAnsi="Arial" w:cs="Arial"/>
          <w:color w:val="000000"/>
          <w:sz w:val="24"/>
          <w:szCs w:val="24"/>
        </w:rPr>
        <w:tab/>
      </w:r>
      <w:hyperlink r:id="rId47">
        <w:r>
          <w:rPr>
            <w:rFonts w:ascii="Arial" w:eastAsia="Arial" w:hAnsi="Arial" w:cs="Arial"/>
            <w:color w:val="000000"/>
            <w:sz w:val="24"/>
            <w:szCs w:val="24"/>
          </w:rPr>
          <w:t xml:space="preserve">Li, H. &amp; Durbin, R. Fast and accurate short read alignment with Burrows-Wheeler transform. </w:t>
        </w:r>
      </w:hyperlink>
      <w:hyperlink r:id="rId48">
        <w:r>
          <w:rPr>
            <w:rFonts w:ascii="Arial" w:eastAsia="Arial" w:hAnsi="Arial" w:cs="Arial"/>
            <w:i/>
            <w:color w:val="000000"/>
            <w:sz w:val="24"/>
            <w:szCs w:val="24"/>
          </w:rPr>
          <w:t>Bioinformatics</w:t>
        </w:r>
      </w:hyperlink>
      <w:hyperlink r:id="rId49">
        <w:r>
          <w:rPr>
            <w:rFonts w:ascii="Arial" w:eastAsia="Arial" w:hAnsi="Arial" w:cs="Arial"/>
            <w:color w:val="000000"/>
            <w:sz w:val="24"/>
            <w:szCs w:val="24"/>
          </w:rPr>
          <w:t xml:space="preserve"> </w:t>
        </w:r>
      </w:hyperlink>
      <w:hyperlink r:id="rId50">
        <w:r>
          <w:rPr>
            <w:rFonts w:ascii="Arial" w:eastAsia="Arial" w:hAnsi="Arial" w:cs="Arial"/>
            <w:b/>
            <w:color w:val="000000"/>
            <w:sz w:val="24"/>
            <w:szCs w:val="24"/>
          </w:rPr>
          <w:t>25</w:t>
        </w:r>
      </w:hyperlink>
      <w:hyperlink r:id="rId51">
        <w:r>
          <w:rPr>
            <w:rFonts w:ascii="Arial" w:eastAsia="Arial" w:hAnsi="Arial" w:cs="Arial"/>
            <w:color w:val="000000"/>
            <w:sz w:val="24"/>
            <w:szCs w:val="24"/>
          </w:rPr>
          <w:t>, 1754–1760 (2009).</w:t>
        </w:r>
      </w:hyperlink>
    </w:p>
    <w:p w14:paraId="53F13CF0"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lastRenderedPageBreak/>
        <w:t>3.</w:t>
      </w:r>
      <w:r>
        <w:rPr>
          <w:rFonts w:ascii="Arial" w:eastAsia="Arial" w:hAnsi="Arial" w:cs="Arial"/>
          <w:color w:val="000000"/>
          <w:sz w:val="24"/>
          <w:szCs w:val="24"/>
        </w:rPr>
        <w:tab/>
      </w:r>
      <w:hyperlink r:id="rId52">
        <w:r>
          <w:rPr>
            <w:rFonts w:ascii="Arial" w:eastAsia="Arial" w:hAnsi="Arial" w:cs="Arial"/>
            <w:color w:val="000000"/>
            <w:sz w:val="24"/>
            <w:szCs w:val="24"/>
          </w:rPr>
          <w:t xml:space="preserve">McKenna, A. </w:t>
        </w:r>
      </w:hyperlink>
      <w:hyperlink r:id="rId53">
        <w:r>
          <w:rPr>
            <w:rFonts w:ascii="Arial" w:eastAsia="Arial" w:hAnsi="Arial" w:cs="Arial"/>
            <w:i/>
            <w:color w:val="000000"/>
            <w:sz w:val="24"/>
            <w:szCs w:val="24"/>
          </w:rPr>
          <w:t>et al.</w:t>
        </w:r>
      </w:hyperlink>
      <w:hyperlink r:id="rId54">
        <w:r>
          <w:rPr>
            <w:rFonts w:ascii="Arial" w:eastAsia="Arial" w:hAnsi="Arial" w:cs="Arial"/>
            <w:color w:val="000000"/>
            <w:sz w:val="24"/>
            <w:szCs w:val="24"/>
          </w:rPr>
          <w:t xml:space="preserve"> The Genome Analysis Toolkit: a MapReduce framework for analyzing next-generation DNA sequencing data. </w:t>
        </w:r>
      </w:hyperlink>
      <w:hyperlink r:id="rId55">
        <w:r>
          <w:rPr>
            <w:rFonts w:ascii="Arial" w:eastAsia="Arial" w:hAnsi="Arial" w:cs="Arial"/>
            <w:i/>
            <w:color w:val="000000"/>
            <w:sz w:val="24"/>
            <w:szCs w:val="24"/>
          </w:rPr>
          <w:t>Genome Res.</w:t>
        </w:r>
      </w:hyperlink>
      <w:hyperlink r:id="rId56">
        <w:r>
          <w:rPr>
            <w:rFonts w:ascii="Arial" w:eastAsia="Arial" w:hAnsi="Arial" w:cs="Arial"/>
            <w:color w:val="000000"/>
            <w:sz w:val="24"/>
            <w:szCs w:val="24"/>
          </w:rPr>
          <w:t xml:space="preserve"> </w:t>
        </w:r>
      </w:hyperlink>
      <w:hyperlink r:id="rId57">
        <w:r>
          <w:rPr>
            <w:rFonts w:ascii="Arial" w:eastAsia="Arial" w:hAnsi="Arial" w:cs="Arial"/>
            <w:b/>
            <w:color w:val="000000"/>
            <w:sz w:val="24"/>
            <w:szCs w:val="24"/>
          </w:rPr>
          <w:t>20</w:t>
        </w:r>
      </w:hyperlink>
      <w:hyperlink r:id="rId58">
        <w:r>
          <w:rPr>
            <w:rFonts w:ascii="Arial" w:eastAsia="Arial" w:hAnsi="Arial" w:cs="Arial"/>
            <w:color w:val="000000"/>
            <w:sz w:val="24"/>
            <w:szCs w:val="24"/>
          </w:rPr>
          <w:t>, 1297–1303 (2010).</w:t>
        </w:r>
      </w:hyperlink>
    </w:p>
    <w:p w14:paraId="68BBA557"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4.</w:t>
      </w:r>
      <w:r>
        <w:rPr>
          <w:rFonts w:ascii="Arial" w:eastAsia="Arial" w:hAnsi="Arial" w:cs="Arial"/>
          <w:color w:val="000000"/>
          <w:sz w:val="24"/>
          <w:szCs w:val="24"/>
        </w:rPr>
        <w:tab/>
      </w:r>
      <w:hyperlink r:id="rId59">
        <w:r>
          <w:rPr>
            <w:rFonts w:ascii="Arial" w:eastAsia="Arial" w:hAnsi="Arial" w:cs="Arial"/>
            <w:color w:val="000000"/>
            <w:sz w:val="24"/>
            <w:szCs w:val="24"/>
          </w:rPr>
          <w:t xml:space="preserve">Jun, G. </w:t>
        </w:r>
      </w:hyperlink>
      <w:hyperlink r:id="rId60">
        <w:r>
          <w:rPr>
            <w:rFonts w:ascii="Arial" w:eastAsia="Arial" w:hAnsi="Arial" w:cs="Arial"/>
            <w:i/>
            <w:color w:val="000000"/>
            <w:sz w:val="24"/>
            <w:szCs w:val="24"/>
          </w:rPr>
          <w:t>et al.</w:t>
        </w:r>
      </w:hyperlink>
      <w:hyperlink r:id="rId61">
        <w:r>
          <w:rPr>
            <w:rFonts w:ascii="Arial" w:eastAsia="Arial" w:hAnsi="Arial" w:cs="Arial"/>
            <w:color w:val="000000"/>
            <w:sz w:val="24"/>
            <w:szCs w:val="24"/>
          </w:rPr>
          <w:t xml:space="preserve"> Detecting and estimating contamination of human DNA samples in sequencing and array-based genotype data. </w:t>
        </w:r>
      </w:hyperlink>
      <w:hyperlink r:id="rId62">
        <w:r>
          <w:rPr>
            <w:rFonts w:ascii="Arial" w:eastAsia="Arial" w:hAnsi="Arial" w:cs="Arial"/>
            <w:i/>
            <w:color w:val="000000"/>
            <w:sz w:val="24"/>
            <w:szCs w:val="24"/>
          </w:rPr>
          <w:t>Am. J. Hum. Genet.</w:t>
        </w:r>
      </w:hyperlink>
      <w:hyperlink r:id="rId63">
        <w:r>
          <w:rPr>
            <w:rFonts w:ascii="Arial" w:eastAsia="Arial" w:hAnsi="Arial" w:cs="Arial"/>
            <w:color w:val="000000"/>
            <w:sz w:val="24"/>
            <w:szCs w:val="24"/>
          </w:rPr>
          <w:t xml:space="preserve"> </w:t>
        </w:r>
      </w:hyperlink>
      <w:hyperlink r:id="rId64">
        <w:r>
          <w:rPr>
            <w:rFonts w:ascii="Arial" w:eastAsia="Arial" w:hAnsi="Arial" w:cs="Arial"/>
            <w:b/>
            <w:color w:val="000000"/>
            <w:sz w:val="24"/>
            <w:szCs w:val="24"/>
          </w:rPr>
          <w:t>91</w:t>
        </w:r>
      </w:hyperlink>
      <w:hyperlink r:id="rId65">
        <w:r>
          <w:rPr>
            <w:rFonts w:ascii="Arial" w:eastAsia="Arial" w:hAnsi="Arial" w:cs="Arial"/>
            <w:color w:val="000000"/>
            <w:sz w:val="24"/>
            <w:szCs w:val="24"/>
          </w:rPr>
          <w:t>, 839–848 (2012).</w:t>
        </w:r>
      </w:hyperlink>
    </w:p>
    <w:p w14:paraId="01C2F8DD"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5.</w:t>
      </w:r>
      <w:r>
        <w:rPr>
          <w:rFonts w:ascii="Arial" w:eastAsia="Arial" w:hAnsi="Arial" w:cs="Arial"/>
          <w:color w:val="000000"/>
          <w:sz w:val="24"/>
          <w:szCs w:val="24"/>
        </w:rPr>
        <w:tab/>
      </w:r>
      <w:hyperlink r:id="rId66">
        <w:r>
          <w:rPr>
            <w:rFonts w:ascii="Arial" w:eastAsia="Arial" w:hAnsi="Arial" w:cs="Arial"/>
            <w:color w:val="000000"/>
            <w:sz w:val="24"/>
            <w:szCs w:val="24"/>
          </w:rPr>
          <w:t xml:space="preserve">Genomes Project, Consortium </w:t>
        </w:r>
      </w:hyperlink>
      <w:hyperlink r:id="rId67">
        <w:r>
          <w:rPr>
            <w:rFonts w:ascii="Arial" w:eastAsia="Arial" w:hAnsi="Arial" w:cs="Arial"/>
            <w:i/>
            <w:color w:val="000000"/>
            <w:sz w:val="24"/>
            <w:szCs w:val="24"/>
          </w:rPr>
          <w:t>et al.</w:t>
        </w:r>
      </w:hyperlink>
      <w:hyperlink r:id="rId68">
        <w:r>
          <w:rPr>
            <w:rFonts w:ascii="Arial" w:eastAsia="Arial" w:hAnsi="Arial" w:cs="Arial"/>
            <w:color w:val="000000"/>
            <w:sz w:val="24"/>
            <w:szCs w:val="24"/>
          </w:rPr>
          <w:t xml:space="preserve"> An integrated map of genetic variation from 1,092 human genomes. </w:t>
        </w:r>
      </w:hyperlink>
      <w:hyperlink r:id="rId69">
        <w:r>
          <w:rPr>
            <w:rFonts w:ascii="Arial" w:eastAsia="Arial" w:hAnsi="Arial" w:cs="Arial"/>
            <w:i/>
            <w:color w:val="000000"/>
            <w:sz w:val="24"/>
            <w:szCs w:val="24"/>
          </w:rPr>
          <w:t>Nature</w:t>
        </w:r>
      </w:hyperlink>
      <w:hyperlink r:id="rId70">
        <w:r>
          <w:rPr>
            <w:rFonts w:ascii="Arial" w:eastAsia="Arial" w:hAnsi="Arial" w:cs="Arial"/>
            <w:color w:val="000000"/>
            <w:sz w:val="24"/>
            <w:szCs w:val="24"/>
          </w:rPr>
          <w:t xml:space="preserve"> </w:t>
        </w:r>
      </w:hyperlink>
      <w:hyperlink r:id="rId71">
        <w:r>
          <w:rPr>
            <w:rFonts w:ascii="Arial" w:eastAsia="Arial" w:hAnsi="Arial" w:cs="Arial"/>
            <w:b/>
            <w:color w:val="000000"/>
            <w:sz w:val="24"/>
            <w:szCs w:val="24"/>
          </w:rPr>
          <w:t>491</w:t>
        </w:r>
      </w:hyperlink>
      <w:hyperlink r:id="rId72">
        <w:r>
          <w:rPr>
            <w:rFonts w:ascii="Arial" w:eastAsia="Arial" w:hAnsi="Arial" w:cs="Arial"/>
            <w:color w:val="000000"/>
            <w:sz w:val="24"/>
            <w:szCs w:val="24"/>
          </w:rPr>
          <w:t>, 56–65 (2012).</w:t>
        </w:r>
      </w:hyperlink>
    </w:p>
    <w:p w14:paraId="2FD1EC3C"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6.</w:t>
      </w:r>
      <w:r>
        <w:rPr>
          <w:rFonts w:ascii="Arial" w:eastAsia="Arial" w:hAnsi="Arial" w:cs="Arial"/>
          <w:color w:val="000000"/>
          <w:sz w:val="24"/>
          <w:szCs w:val="24"/>
        </w:rPr>
        <w:tab/>
      </w:r>
      <w:hyperlink r:id="rId73">
        <w:r>
          <w:rPr>
            <w:rFonts w:ascii="Arial" w:eastAsia="Arial" w:hAnsi="Arial" w:cs="Arial"/>
            <w:color w:val="000000"/>
            <w:sz w:val="24"/>
            <w:szCs w:val="24"/>
          </w:rPr>
          <w:t xml:space="preserve">Smith, L. P., Yamato, J. A. &amp; Kuhner, M. K. </w:t>
        </w:r>
        <w:proofErr w:type="spellStart"/>
        <w:r>
          <w:rPr>
            <w:rFonts w:ascii="Arial" w:eastAsia="Arial" w:hAnsi="Arial" w:cs="Arial"/>
            <w:color w:val="000000"/>
            <w:sz w:val="24"/>
            <w:szCs w:val="24"/>
          </w:rPr>
          <w:t>CNValidator</w:t>
        </w:r>
        <w:proofErr w:type="spellEnd"/>
        <w:r>
          <w:rPr>
            <w:rFonts w:ascii="Arial" w:eastAsia="Arial" w:hAnsi="Arial" w:cs="Arial"/>
            <w:color w:val="000000"/>
            <w:sz w:val="24"/>
            <w:szCs w:val="24"/>
          </w:rPr>
          <w:t xml:space="preserve">: validating somatic copy-number inference. </w:t>
        </w:r>
      </w:hyperlink>
      <w:hyperlink r:id="rId74">
        <w:r>
          <w:rPr>
            <w:rFonts w:ascii="Arial" w:eastAsia="Arial" w:hAnsi="Arial" w:cs="Arial"/>
            <w:i/>
            <w:color w:val="000000"/>
            <w:sz w:val="24"/>
            <w:szCs w:val="24"/>
          </w:rPr>
          <w:t>Bioinformatics</w:t>
        </w:r>
      </w:hyperlink>
      <w:hyperlink r:id="rId75">
        <w:r>
          <w:rPr>
            <w:rFonts w:ascii="Arial" w:eastAsia="Arial" w:hAnsi="Arial" w:cs="Arial"/>
            <w:color w:val="000000"/>
            <w:sz w:val="24"/>
            <w:szCs w:val="24"/>
          </w:rPr>
          <w:t xml:space="preserve"> </w:t>
        </w:r>
      </w:hyperlink>
      <w:hyperlink r:id="rId76">
        <w:r>
          <w:rPr>
            <w:rFonts w:ascii="Arial" w:eastAsia="Arial" w:hAnsi="Arial" w:cs="Arial"/>
            <w:b/>
            <w:color w:val="000000"/>
            <w:sz w:val="24"/>
            <w:szCs w:val="24"/>
          </w:rPr>
          <w:t>35</w:t>
        </w:r>
      </w:hyperlink>
      <w:hyperlink r:id="rId77">
        <w:r>
          <w:rPr>
            <w:rFonts w:ascii="Arial" w:eastAsia="Arial" w:hAnsi="Arial" w:cs="Arial"/>
            <w:color w:val="000000"/>
            <w:sz w:val="24"/>
            <w:szCs w:val="24"/>
          </w:rPr>
          <w:t>, 2660–2662 (2019).</w:t>
        </w:r>
      </w:hyperlink>
    </w:p>
    <w:p w14:paraId="23608B40"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7.</w:t>
      </w:r>
      <w:r>
        <w:rPr>
          <w:rFonts w:ascii="Arial" w:eastAsia="Arial" w:hAnsi="Arial" w:cs="Arial"/>
          <w:color w:val="000000"/>
          <w:sz w:val="24"/>
          <w:szCs w:val="24"/>
        </w:rPr>
        <w:tab/>
      </w:r>
      <w:hyperlink r:id="rId78">
        <w:proofErr w:type="spellStart"/>
        <w:r>
          <w:rPr>
            <w:rFonts w:ascii="Arial" w:eastAsia="Arial" w:hAnsi="Arial" w:cs="Arial"/>
            <w:color w:val="000000"/>
            <w:sz w:val="24"/>
            <w:szCs w:val="24"/>
          </w:rPr>
          <w:t>Cibulskis</w:t>
        </w:r>
        <w:proofErr w:type="spellEnd"/>
        <w:r>
          <w:rPr>
            <w:rFonts w:ascii="Arial" w:eastAsia="Arial" w:hAnsi="Arial" w:cs="Arial"/>
            <w:color w:val="000000"/>
            <w:sz w:val="24"/>
            <w:szCs w:val="24"/>
          </w:rPr>
          <w:t xml:space="preserve">, K. </w:t>
        </w:r>
      </w:hyperlink>
      <w:hyperlink r:id="rId79">
        <w:r>
          <w:rPr>
            <w:rFonts w:ascii="Arial" w:eastAsia="Arial" w:hAnsi="Arial" w:cs="Arial"/>
            <w:i/>
            <w:color w:val="000000"/>
            <w:sz w:val="24"/>
            <w:szCs w:val="24"/>
          </w:rPr>
          <w:t>et al.</w:t>
        </w:r>
      </w:hyperlink>
      <w:hyperlink r:id="rId80">
        <w:r>
          <w:rPr>
            <w:rFonts w:ascii="Arial" w:eastAsia="Arial" w:hAnsi="Arial" w:cs="Arial"/>
            <w:color w:val="000000"/>
            <w:sz w:val="24"/>
            <w:szCs w:val="24"/>
          </w:rPr>
          <w:t xml:space="preserve"> Sensitive detection of somatic point mutations in impure and heterogeneous cancer samples. </w:t>
        </w:r>
      </w:hyperlink>
      <w:hyperlink r:id="rId81">
        <w:r>
          <w:rPr>
            <w:rFonts w:ascii="Arial" w:eastAsia="Arial" w:hAnsi="Arial" w:cs="Arial"/>
            <w:i/>
            <w:color w:val="000000"/>
            <w:sz w:val="24"/>
            <w:szCs w:val="24"/>
          </w:rPr>
          <w:t xml:space="preserve">Nat. </w:t>
        </w:r>
        <w:proofErr w:type="spellStart"/>
        <w:r>
          <w:rPr>
            <w:rFonts w:ascii="Arial" w:eastAsia="Arial" w:hAnsi="Arial" w:cs="Arial"/>
            <w:i/>
            <w:color w:val="000000"/>
            <w:sz w:val="24"/>
            <w:szCs w:val="24"/>
          </w:rPr>
          <w:t>Biotechnol</w:t>
        </w:r>
        <w:proofErr w:type="spellEnd"/>
        <w:r>
          <w:rPr>
            <w:rFonts w:ascii="Arial" w:eastAsia="Arial" w:hAnsi="Arial" w:cs="Arial"/>
            <w:i/>
            <w:color w:val="000000"/>
            <w:sz w:val="24"/>
            <w:szCs w:val="24"/>
          </w:rPr>
          <w:t>.</w:t>
        </w:r>
      </w:hyperlink>
      <w:hyperlink r:id="rId82">
        <w:r>
          <w:rPr>
            <w:rFonts w:ascii="Arial" w:eastAsia="Arial" w:hAnsi="Arial" w:cs="Arial"/>
            <w:color w:val="000000"/>
            <w:sz w:val="24"/>
            <w:szCs w:val="24"/>
          </w:rPr>
          <w:t xml:space="preserve"> </w:t>
        </w:r>
      </w:hyperlink>
      <w:hyperlink r:id="rId83">
        <w:r>
          <w:rPr>
            <w:rFonts w:ascii="Arial" w:eastAsia="Arial" w:hAnsi="Arial" w:cs="Arial"/>
            <w:b/>
            <w:color w:val="000000"/>
            <w:sz w:val="24"/>
            <w:szCs w:val="24"/>
          </w:rPr>
          <w:t>31</w:t>
        </w:r>
      </w:hyperlink>
      <w:hyperlink r:id="rId84">
        <w:r>
          <w:rPr>
            <w:rFonts w:ascii="Arial" w:eastAsia="Arial" w:hAnsi="Arial" w:cs="Arial"/>
            <w:color w:val="000000"/>
            <w:sz w:val="24"/>
            <w:szCs w:val="24"/>
          </w:rPr>
          <w:t>, 213–219 (2013).</w:t>
        </w:r>
      </w:hyperlink>
    </w:p>
    <w:p w14:paraId="49CACB60"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8.</w:t>
      </w:r>
      <w:r>
        <w:rPr>
          <w:rFonts w:ascii="Arial" w:eastAsia="Arial" w:hAnsi="Arial" w:cs="Arial"/>
          <w:color w:val="000000"/>
          <w:sz w:val="24"/>
          <w:szCs w:val="24"/>
        </w:rPr>
        <w:tab/>
      </w:r>
      <w:hyperlink r:id="rId85">
        <w:r>
          <w:rPr>
            <w:rFonts w:ascii="Arial" w:eastAsia="Arial" w:hAnsi="Arial" w:cs="Arial"/>
            <w:color w:val="000000"/>
            <w:sz w:val="24"/>
            <w:szCs w:val="24"/>
          </w:rPr>
          <w:t xml:space="preserve">Saunders, C. T. </w:t>
        </w:r>
      </w:hyperlink>
      <w:hyperlink r:id="rId86">
        <w:r>
          <w:rPr>
            <w:rFonts w:ascii="Arial" w:eastAsia="Arial" w:hAnsi="Arial" w:cs="Arial"/>
            <w:i/>
            <w:color w:val="000000"/>
            <w:sz w:val="24"/>
            <w:szCs w:val="24"/>
          </w:rPr>
          <w:t>et al.</w:t>
        </w:r>
      </w:hyperlink>
      <w:hyperlink r:id="rId87">
        <w:r>
          <w:rPr>
            <w:rFonts w:ascii="Arial" w:eastAsia="Arial" w:hAnsi="Arial" w:cs="Arial"/>
            <w:color w:val="000000"/>
            <w:sz w:val="24"/>
            <w:szCs w:val="24"/>
          </w:rPr>
          <w:t xml:space="preserve"> </w:t>
        </w:r>
        <w:proofErr w:type="spellStart"/>
        <w:r>
          <w:rPr>
            <w:rFonts w:ascii="Arial" w:eastAsia="Arial" w:hAnsi="Arial" w:cs="Arial"/>
            <w:color w:val="000000"/>
            <w:sz w:val="24"/>
            <w:szCs w:val="24"/>
          </w:rPr>
          <w:t>Strelka</w:t>
        </w:r>
        <w:proofErr w:type="spellEnd"/>
        <w:r>
          <w:rPr>
            <w:rFonts w:ascii="Arial" w:eastAsia="Arial" w:hAnsi="Arial" w:cs="Arial"/>
            <w:color w:val="000000"/>
            <w:sz w:val="24"/>
            <w:szCs w:val="24"/>
          </w:rPr>
          <w:t xml:space="preserve">: accurate somatic small-variant calling from sequenced tumor-normal sample pairs. </w:t>
        </w:r>
      </w:hyperlink>
      <w:hyperlink r:id="rId88">
        <w:r>
          <w:rPr>
            <w:rFonts w:ascii="Arial" w:eastAsia="Arial" w:hAnsi="Arial" w:cs="Arial"/>
            <w:i/>
            <w:color w:val="000000"/>
            <w:sz w:val="24"/>
            <w:szCs w:val="24"/>
          </w:rPr>
          <w:t>Bioinformatics</w:t>
        </w:r>
      </w:hyperlink>
      <w:hyperlink r:id="rId89">
        <w:r>
          <w:rPr>
            <w:rFonts w:ascii="Arial" w:eastAsia="Arial" w:hAnsi="Arial" w:cs="Arial"/>
            <w:color w:val="000000"/>
            <w:sz w:val="24"/>
            <w:szCs w:val="24"/>
          </w:rPr>
          <w:t xml:space="preserve"> </w:t>
        </w:r>
      </w:hyperlink>
      <w:hyperlink r:id="rId90">
        <w:r>
          <w:rPr>
            <w:rFonts w:ascii="Arial" w:eastAsia="Arial" w:hAnsi="Arial" w:cs="Arial"/>
            <w:b/>
            <w:color w:val="000000"/>
            <w:sz w:val="24"/>
            <w:szCs w:val="24"/>
          </w:rPr>
          <w:t>28</w:t>
        </w:r>
      </w:hyperlink>
      <w:hyperlink r:id="rId91">
        <w:r>
          <w:rPr>
            <w:rFonts w:ascii="Arial" w:eastAsia="Arial" w:hAnsi="Arial" w:cs="Arial"/>
            <w:color w:val="000000"/>
            <w:sz w:val="24"/>
            <w:szCs w:val="24"/>
          </w:rPr>
          <w:t>, 1811–1817 (2012).</w:t>
        </w:r>
      </w:hyperlink>
    </w:p>
    <w:p w14:paraId="03E8F367"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9.</w:t>
      </w:r>
      <w:r>
        <w:rPr>
          <w:rFonts w:ascii="Arial" w:eastAsia="Arial" w:hAnsi="Arial" w:cs="Arial"/>
          <w:color w:val="000000"/>
          <w:sz w:val="24"/>
          <w:szCs w:val="24"/>
        </w:rPr>
        <w:tab/>
      </w:r>
      <w:hyperlink r:id="rId92">
        <w:proofErr w:type="spellStart"/>
        <w:r>
          <w:rPr>
            <w:rFonts w:ascii="Arial" w:eastAsia="Arial" w:hAnsi="Arial" w:cs="Arial"/>
            <w:color w:val="000000"/>
            <w:sz w:val="24"/>
            <w:szCs w:val="24"/>
          </w:rPr>
          <w:t>Wilm</w:t>
        </w:r>
        <w:proofErr w:type="spellEnd"/>
        <w:r>
          <w:rPr>
            <w:rFonts w:ascii="Arial" w:eastAsia="Arial" w:hAnsi="Arial" w:cs="Arial"/>
            <w:color w:val="000000"/>
            <w:sz w:val="24"/>
            <w:szCs w:val="24"/>
          </w:rPr>
          <w:t xml:space="preserve">, A. </w:t>
        </w:r>
      </w:hyperlink>
      <w:hyperlink r:id="rId93">
        <w:r>
          <w:rPr>
            <w:rFonts w:ascii="Arial" w:eastAsia="Arial" w:hAnsi="Arial" w:cs="Arial"/>
            <w:i/>
            <w:color w:val="000000"/>
            <w:sz w:val="24"/>
            <w:szCs w:val="24"/>
          </w:rPr>
          <w:t>et al.</w:t>
        </w:r>
      </w:hyperlink>
      <w:hyperlink r:id="rId94">
        <w:r>
          <w:rPr>
            <w:rFonts w:ascii="Arial" w:eastAsia="Arial" w:hAnsi="Arial" w:cs="Arial"/>
            <w:color w:val="000000"/>
            <w:sz w:val="24"/>
            <w:szCs w:val="24"/>
          </w:rPr>
          <w:t xml:space="preserve"> </w:t>
        </w:r>
        <w:proofErr w:type="spellStart"/>
        <w:r>
          <w:rPr>
            <w:rFonts w:ascii="Arial" w:eastAsia="Arial" w:hAnsi="Arial" w:cs="Arial"/>
            <w:color w:val="000000"/>
            <w:sz w:val="24"/>
            <w:szCs w:val="24"/>
          </w:rPr>
          <w:t>LoFreq</w:t>
        </w:r>
        <w:proofErr w:type="spellEnd"/>
        <w:r>
          <w:rPr>
            <w:rFonts w:ascii="Arial" w:eastAsia="Arial" w:hAnsi="Arial" w:cs="Arial"/>
            <w:color w:val="000000"/>
            <w:sz w:val="24"/>
            <w:szCs w:val="24"/>
          </w:rPr>
          <w:t xml:space="preserve">: a sequence-quality aware, ultra-sensitive variant caller for uncovering cell-population heterogeneity from high-throughput sequencing datasets. </w:t>
        </w:r>
      </w:hyperlink>
      <w:hyperlink r:id="rId95">
        <w:r>
          <w:rPr>
            <w:rFonts w:ascii="Arial" w:eastAsia="Arial" w:hAnsi="Arial" w:cs="Arial"/>
            <w:i/>
            <w:color w:val="000000"/>
            <w:sz w:val="24"/>
            <w:szCs w:val="24"/>
          </w:rPr>
          <w:t>Nucleic Acids Res.</w:t>
        </w:r>
      </w:hyperlink>
      <w:hyperlink r:id="rId96">
        <w:r>
          <w:rPr>
            <w:rFonts w:ascii="Arial" w:eastAsia="Arial" w:hAnsi="Arial" w:cs="Arial"/>
            <w:color w:val="000000"/>
            <w:sz w:val="24"/>
            <w:szCs w:val="24"/>
          </w:rPr>
          <w:t xml:space="preserve"> </w:t>
        </w:r>
      </w:hyperlink>
      <w:hyperlink r:id="rId97">
        <w:r>
          <w:rPr>
            <w:rFonts w:ascii="Arial" w:eastAsia="Arial" w:hAnsi="Arial" w:cs="Arial"/>
            <w:b/>
            <w:color w:val="000000"/>
            <w:sz w:val="24"/>
            <w:szCs w:val="24"/>
          </w:rPr>
          <w:t>40</w:t>
        </w:r>
      </w:hyperlink>
      <w:hyperlink r:id="rId98">
        <w:r>
          <w:rPr>
            <w:rFonts w:ascii="Arial" w:eastAsia="Arial" w:hAnsi="Arial" w:cs="Arial"/>
            <w:color w:val="000000"/>
            <w:sz w:val="24"/>
            <w:szCs w:val="24"/>
          </w:rPr>
          <w:t>, 11189–11201 (2012).</w:t>
        </w:r>
      </w:hyperlink>
    </w:p>
    <w:p w14:paraId="1ACE5B83"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10.</w:t>
      </w:r>
      <w:r>
        <w:rPr>
          <w:rFonts w:ascii="Arial" w:eastAsia="Arial" w:hAnsi="Arial" w:cs="Arial"/>
          <w:color w:val="000000"/>
          <w:sz w:val="24"/>
          <w:szCs w:val="24"/>
        </w:rPr>
        <w:tab/>
      </w:r>
      <w:hyperlink r:id="rId99">
        <w:r>
          <w:rPr>
            <w:rFonts w:ascii="Arial" w:eastAsia="Arial" w:hAnsi="Arial" w:cs="Arial"/>
            <w:color w:val="000000"/>
            <w:sz w:val="24"/>
            <w:szCs w:val="24"/>
          </w:rPr>
          <w:t xml:space="preserve">Ye, K., Schulz, M. H., Long, Q., </w:t>
        </w:r>
        <w:proofErr w:type="spellStart"/>
        <w:r>
          <w:rPr>
            <w:rFonts w:ascii="Arial" w:eastAsia="Arial" w:hAnsi="Arial" w:cs="Arial"/>
            <w:color w:val="000000"/>
            <w:sz w:val="24"/>
            <w:szCs w:val="24"/>
          </w:rPr>
          <w:t>Apweiler</w:t>
        </w:r>
        <w:proofErr w:type="spellEnd"/>
        <w:r>
          <w:rPr>
            <w:rFonts w:ascii="Arial" w:eastAsia="Arial" w:hAnsi="Arial" w:cs="Arial"/>
            <w:color w:val="000000"/>
            <w:sz w:val="24"/>
            <w:szCs w:val="24"/>
          </w:rPr>
          <w:t xml:space="preserve">, R. &amp; Ning, Z. </w:t>
        </w:r>
        <w:proofErr w:type="spellStart"/>
        <w:r>
          <w:rPr>
            <w:rFonts w:ascii="Arial" w:eastAsia="Arial" w:hAnsi="Arial" w:cs="Arial"/>
            <w:color w:val="000000"/>
            <w:sz w:val="24"/>
            <w:szCs w:val="24"/>
          </w:rPr>
          <w:t>Pindel</w:t>
        </w:r>
        <w:proofErr w:type="spellEnd"/>
        <w:r>
          <w:rPr>
            <w:rFonts w:ascii="Arial" w:eastAsia="Arial" w:hAnsi="Arial" w:cs="Arial"/>
            <w:color w:val="000000"/>
            <w:sz w:val="24"/>
            <w:szCs w:val="24"/>
          </w:rPr>
          <w:t xml:space="preserve">: a pattern growth approach to detect break points of large deletions and medium sized insertions from paired-end short reads. </w:t>
        </w:r>
      </w:hyperlink>
      <w:hyperlink r:id="rId100">
        <w:r>
          <w:rPr>
            <w:rFonts w:ascii="Arial" w:eastAsia="Arial" w:hAnsi="Arial" w:cs="Arial"/>
            <w:i/>
            <w:color w:val="000000"/>
            <w:sz w:val="24"/>
            <w:szCs w:val="24"/>
          </w:rPr>
          <w:t>Bioinformatics</w:t>
        </w:r>
      </w:hyperlink>
      <w:hyperlink r:id="rId101">
        <w:r>
          <w:rPr>
            <w:rFonts w:ascii="Arial" w:eastAsia="Arial" w:hAnsi="Arial" w:cs="Arial"/>
            <w:color w:val="000000"/>
            <w:sz w:val="24"/>
            <w:szCs w:val="24"/>
          </w:rPr>
          <w:t xml:space="preserve"> </w:t>
        </w:r>
      </w:hyperlink>
      <w:hyperlink r:id="rId102">
        <w:r>
          <w:rPr>
            <w:rFonts w:ascii="Arial" w:eastAsia="Arial" w:hAnsi="Arial" w:cs="Arial"/>
            <w:b/>
            <w:color w:val="000000"/>
            <w:sz w:val="24"/>
            <w:szCs w:val="24"/>
          </w:rPr>
          <w:t>25</w:t>
        </w:r>
      </w:hyperlink>
      <w:hyperlink r:id="rId103">
        <w:r>
          <w:rPr>
            <w:rFonts w:ascii="Arial" w:eastAsia="Arial" w:hAnsi="Arial" w:cs="Arial"/>
            <w:color w:val="000000"/>
            <w:sz w:val="24"/>
            <w:szCs w:val="24"/>
          </w:rPr>
          <w:t>, 2865–2871 (2009).</w:t>
        </w:r>
      </w:hyperlink>
    </w:p>
    <w:p w14:paraId="799960B1"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11.</w:t>
      </w:r>
      <w:r>
        <w:rPr>
          <w:rFonts w:ascii="Arial" w:eastAsia="Arial" w:hAnsi="Arial" w:cs="Arial"/>
          <w:color w:val="000000"/>
          <w:sz w:val="24"/>
          <w:szCs w:val="24"/>
        </w:rPr>
        <w:tab/>
      </w:r>
      <w:hyperlink r:id="rId104">
        <w:proofErr w:type="spellStart"/>
        <w:r>
          <w:rPr>
            <w:rFonts w:ascii="Arial" w:eastAsia="Arial" w:hAnsi="Arial" w:cs="Arial"/>
            <w:color w:val="000000"/>
            <w:sz w:val="24"/>
            <w:szCs w:val="24"/>
          </w:rPr>
          <w:t>Narzisi</w:t>
        </w:r>
        <w:proofErr w:type="spellEnd"/>
        <w:r>
          <w:rPr>
            <w:rFonts w:ascii="Arial" w:eastAsia="Arial" w:hAnsi="Arial" w:cs="Arial"/>
            <w:color w:val="000000"/>
            <w:sz w:val="24"/>
            <w:szCs w:val="24"/>
          </w:rPr>
          <w:t xml:space="preserve">, G. </w:t>
        </w:r>
      </w:hyperlink>
      <w:hyperlink r:id="rId105">
        <w:r>
          <w:rPr>
            <w:rFonts w:ascii="Arial" w:eastAsia="Arial" w:hAnsi="Arial" w:cs="Arial"/>
            <w:i/>
            <w:color w:val="000000"/>
            <w:sz w:val="24"/>
            <w:szCs w:val="24"/>
          </w:rPr>
          <w:t>et al.</w:t>
        </w:r>
      </w:hyperlink>
      <w:hyperlink r:id="rId106">
        <w:r>
          <w:rPr>
            <w:rFonts w:ascii="Arial" w:eastAsia="Arial" w:hAnsi="Arial" w:cs="Arial"/>
            <w:color w:val="000000"/>
            <w:sz w:val="24"/>
            <w:szCs w:val="24"/>
          </w:rPr>
          <w:t xml:space="preserve"> Accurate de novo and transmitted indel detection in exome-capture data using </w:t>
        </w:r>
        <w:proofErr w:type="spellStart"/>
        <w:r>
          <w:rPr>
            <w:rFonts w:ascii="Arial" w:eastAsia="Arial" w:hAnsi="Arial" w:cs="Arial"/>
            <w:color w:val="000000"/>
            <w:sz w:val="24"/>
            <w:szCs w:val="24"/>
          </w:rPr>
          <w:t>microassembly</w:t>
        </w:r>
        <w:proofErr w:type="spellEnd"/>
        <w:r>
          <w:rPr>
            <w:rFonts w:ascii="Arial" w:eastAsia="Arial" w:hAnsi="Arial" w:cs="Arial"/>
            <w:color w:val="000000"/>
            <w:sz w:val="24"/>
            <w:szCs w:val="24"/>
          </w:rPr>
          <w:t xml:space="preserve">. </w:t>
        </w:r>
      </w:hyperlink>
      <w:hyperlink r:id="rId107">
        <w:r>
          <w:rPr>
            <w:rFonts w:ascii="Arial" w:eastAsia="Arial" w:hAnsi="Arial" w:cs="Arial"/>
            <w:i/>
            <w:color w:val="000000"/>
            <w:sz w:val="24"/>
            <w:szCs w:val="24"/>
          </w:rPr>
          <w:t>Nat. Methods</w:t>
        </w:r>
      </w:hyperlink>
      <w:hyperlink r:id="rId108">
        <w:r>
          <w:rPr>
            <w:rFonts w:ascii="Arial" w:eastAsia="Arial" w:hAnsi="Arial" w:cs="Arial"/>
            <w:color w:val="000000"/>
            <w:sz w:val="24"/>
            <w:szCs w:val="24"/>
          </w:rPr>
          <w:t xml:space="preserve"> </w:t>
        </w:r>
      </w:hyperlink>
      <w:hyperlink r:id="rId109">
        <w:r>
          <w:rPr>
            <w:rFonts w:ascii="Arial" w:eastAsia="Arial" w:hAnsi="Arial" w:cs="Arial"/>
            <w:b/>
            <w:color w:val="000000"/>
            <w:sz w:val="24"/>
            <w:szCs w:val="24"/>
          </w:rPr>
          <w:t>11</w:t>
        </w:r>
      </w:hyperlink>
      <w:hyperlink r:id="rId110">
        <w:r>
          <w:rPr>
            <w:rFonts w:ascii="Arial" w:eastAsia="Arial" w:hAnsi="Arial" w:cs="Arial"/>
            <w:color w:val="000000"/>
            <w:sz w:val="24"/>
            <w:szCs w:val="24"/>
          </w:rPr>
          <w:t>, 1033–1036 (2014).</w:t>
        </w:r>
      </w:hyperlink>
    </w:p>
    <w:p w14:paraId="0C1F57AC"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12.</w:t>
      </w:r>
      <w:r>
        <w:rPr>
          <w:rFonts w:ascii="Arial" w:eastAsia="Arial" w:hAnsi="Arial" w:cs="Arial"/>
          <w:color w:val="000000"/>
          <w:sz w:val="24"/>
          <w:szCs w:val="24"/>
        </w:rPr>
        <w:tab/>
      </w:r>
      <w:hyperlink r:id="rId111">
        <w:proofErr w:type="spellStart"/>
        <w:r>
          <w:rPr>
            <w:rFonts w:ascii="Arial" w:eastAsia="Arial" w:hAnsi="Arial" w:cs="Arial"/>
            <w:color w:val="000000"/>
            <w:sz w:val="24"/>
            <w:szCs w:val="24"/>
          </w:rPr>
          <w:t>Xie</w:t>
        </w:r>
        <w:proofErr w:type="spellEnd"/>
        <w:r>
          <w:rPr>
            <w:rFonts w:ascii="Arial" w:eastAsia="Arial" w:hAnsi="Arial" w:cs="Arial"/>
            <w:color w:val="000000"/>
            <w:sz w:val="24"/>
            <w:szCs w:val="24"/>
          </w:rPr>
          <w:t xml:space="preserve">, M. </w:t>
        </w:r>
      </w:hyperlink>
      <w:hyperlink r:id="rId112">
        <w:r>
          <w:rPr>
            <w:rFonts w:ascii="Arial" w:eastAsia="Arial" w:hAnsi="Arial" w:cs="Arial"/>
            <w:i/>
            <w:color w:val="000000"/>
            <w:sz w:val="24"/>
            <w:szCs w:val="24"/>
          </w:rPr>
          <w:t>et al.</w:t>
        </w:r>
      </w:hyperlink>
      <w:hyperlink r:id="rId113">
        <w:r>
          <w:rPr>
            <w:rFonts w:ascii="Arial" w:eastAsia="Arial" w:hAnsi="Arial" w:cs="Arial"/>
            <w:color w:val="000000"/>
            <w:sz w:val="24"/>
            <w:szCs w:val="24"/>
          </w:rPr>
          <w:t xml:space="preserve"> Age-related mutations associated with clonal hematopoietic expansion </w:t>
        </w:r>
        <w:r>
          <w:rPr>
            <w:rFonts w:ascii="Arial" w:eastAsia="Arial" w:hAnsi="Arial" w:cs="Arial"/>
            <w:color w:val="000000"/>
            <w:sz w:val="24"/>
            <w:szCs w:val="24"/>
          </w:rPr>
          <w:lastRenderedPageBreak/>
          <w:t xml:space="preserve">and malignancies. </w:t>
        </w:r>
      </w:hyperlink>
      <w:hyperlink r:id="rId114">
        <w:r>
          <w:rPr>
            <w:rFonts w:ascii="Arial" w:eastAsia="Arial" w:hAnsi="Arial" w:cs="Arial"/>
            <w:i/>
            <w:color w:val="000000"/>
            <w:sz w:val="24"/>
            <w:szCs w:val="24"/>
          </w:rPr>
          <w:t>Nat. Med.</w:t>
        </w:r>
      </w:hyperlink>
      <w:hyperlink r:id="rId115">
        <w:r>
          <w:rPr>
            <w:rFonts w:ascii="Arial" w:eastAsia="Arial" w:hAnsi="Arial" w:cs="Arial"/>
            <w:color w:val="000000"/>
            <w:sz w:val="24"/>
            <w:szCs w:val="24"/>
          </w:rPr>
          <w:t xml:space="preserve"> </w:t>
        </w:r>
      </w:hyperlink>
      <w:hyperlink r:id="rId116">
        <w:r>
          <w:rPr>
            <w:rFonts w:ascii="Arial" w:eastAsia="Arial" w:hAnsi="Arial" w:cs="Arial"/>
            <w:b/>
            <w:color w:val="000000"/>
            <w:sz w:val="24"/>
            <w:szCs w:val="24"/>
          </w:rPr>
          <w:t>20</w:t>
        </w:r>
      </w:hyperlink>
      <w:hyperlink r:id="rId117">
        <w:r>
          <w:rPr>
            <w:rFonts w:ascii="Arial" w:eastAsia="Arial" w:hAnsi="Arial" w:cs="Arial"/>
            <w:color w:val="000000"/>
            <w:sz w:val="24"/>
            <w:szCs w:val="24"/>
          </w:rPr>
          <w:t>, 1472–1478 (2014).</w:t>
        </w:r>
      </w:hyperlink>
    </w:p>
    <w:p w14:paraId="29730E38"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13.</w:t>
      </w:r>
      <w:r>
        <w:rPr>
          <w:rFonts w:ascii="Arial" w:eastAsia="Arial" w:hAnsi="Arial" w:cs="Arial"/>
          <w:color w:val="000000"/>
          <w:sz w:val="24"/>
          <w:szCs w:val="24"/>
        </w:rPr>
        <w:tab/>
      </w:r>
      <w:hyperlink r:id="rId118">
        <w:r>
          <w:rPr>
            <w:rFonts w:ascii="Arial" w:eastAsia="Arial" w:hAnsi="Arial" w:cs="Arial"/>
            <w:color w:val="000000"/>
            <w:sz w:val="24"/>
            <w:szCs w:val="24"/>
          </w:rPr>
          <w:t xml:space="preserve">Larson, D. E. </w:t>
        </w:r>
      </w:hyperlink>
      <w:hyperlink r:id="rId119">
        <w:r>
          <w:rPr>
            <w:rFonts w:ascii="Arial" w:eastAsia="Arial" w:hAnsi="Arial" w:cs="Arial"/>
            <w:i/>
            <w:color w:val="000000"/>
            <w:sz w:val="24"/>
            <w:szCs w:val="24"/>
          </w:rPr>
          <w:t>et al.</w:t>
        </w:r>
      </w:hyperlink>
      <w:hyperlink r:id="rId120">
        <w:r>
          <w:rPr>
            <w:rFonts w:ascii="Arial" w:eastAsia="Arial" w:hAnsi="Arial" w:cs="Arial"/>
            <w:color w:val="000000"/>
            <w:sz w:val="24"/>
            <w:szCs w:val="24"/>
          </w:rPr>
          <w:t xml:space="preserve"> </w:t>
        </w:r>
        <w:proofErr w:type="spellStart"/>
        <w:r>
          <w:rPr>
            <w:rFonts w:ascii="Arial" w:eastAsia="Arial" w:hAnsi="Arial" w:cs="Arial"/>
            <w:color w:val="000000"/>
            <w:sz w:val="24"/>
            <w:szCs w:val="24"/>
          </w:rPr>
          <w:t>SomaticSniper</w:t>
        </w:r>
        <w:proofErr w:type="spellEnd"/>
        <w:r>
          <w:rPr>
            <w:rFonts w:ascii="Arial" w:eastAsia="Arial" w:hAnsi="Arial" w:cs="Arial"/>
            <w:color w:val="000000"/>
            <w:sz w:val="24"/>
            <w:szCs w:val="24"/>
          </w:rPr>
          <w:t xml:space="preserve">: identification of somatic point mutations in whole genome sequencing data. </w:t>
        </w:r>
      </w:hyperlink>
      <w:hyperlink r:id="rId121">
        <w:r>
          <w:rPr>
            <w:rFonts w:ascii="Arial" w:eastAsia="Arial" w:hAnsi="Arial" w:cs="Arial"/>
            <w:i/>
            <w:color w:val="000000"/>
            <w:sz w:val="24"/>
            <w:szCs w:val="24"/>
          </w:rPr>
          <w:t>Bioinformatics</w:t>
        </w:r>
      </w:hyperlink>
      <w:hyperlink r:id="rId122">
        <w:r>
          <w:rPr>
            <w:rFonts w:ascii="Arial" w:eastAsia="Arial" w:hAnsi="Arial" w:cs="Arial"/>
            <w:color w:val="000000"/>
            <w:sz w:val="24"/>
            <w:szCs w:val="24"/>
          </w:rPr>
          <w:t xml:space="preserve"> </w:t>
        </w:r>
      </w:hyperlink>
      <w:hyperlink r:id="rId123">
        <w:r>
          <w:rPr>
            <w:rFonts w:ascii="Arial" w:eastAsia="Arial" w:hAnsi="Arial" w:cs="Arial"/>
            <w:b/>
            <w:color w:val="000000"/>
            <w:sz w:val="24"/>
            <w:szCs w:val="24"/>
          </w:rPr>
          <w:t>28</w:t>
        </w:r>
      </w:hyperlink>
      <w:hyperlink r:id="rId124">
        <w:r>
          <w:rPr>
            <w:rFonts w:ascii="Arial" w:eastAsia="Arial" w:hAnsi="Arial" w:cs="Arial"/>
            <w:color w:val="000000"/>
            <w:sz w:val="24"/>
            <w:szCs w:val="24"/>
          </w:rPr>
          <w:t>, 311–317 (2012).</w:t>
        </w:r>
      </w:hyperlink>
    </w:p>
    <w:p w14:paraId="3DF53EAE"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14.</w:t>
      </w:r>
      <w:r>
        <w:rPr>
          <w:rFonts w:ascii="Arial" w:eastAsia="Arial" w:hAnsi="Arial" w:cs="Arial"/>
          <w:color w:val="000000"/>
          <w:sz w:val="24"/>
          <w:szCs w:val="24"/>
        </w:rPr>
        <w:tab/>
      </w:r>
      <w:hyperlink r:id="rId125">
        <w:r>
          <w:rPr>
            <w:rFonts w:ascii="Arial" w:eastAsia="Arial" w:hAnsi="Arial" w:cs="Arial"/>
            <w:color w:val="000000"/>
            <w:sz w:val="24"/>
            <w:szCs w:val="24"/>
          </w:rPr>
          <w:t xml:space="preserve">Marco-Sola, S., Sammeth, M., </w:t>
        </w:r>
        <w:proofErr w:type="spellStart"/>
        <w:r>
          <w:rPr>
            <w:rFonts w:ascii="Arial" w:eastAsia="Arial" w:hAnsi="Arial" w:cs="Arial"/>
            <w:color w:val="000000"/>
            <w:sz w:val="24"/>
            <w:szCs w:val="24"/>
          </w:rPr>
          <w:t>Guigó</w:t>
        </w:r>
        <w:proofErr w:type="spellEnd"/>
        <w:r>
          <w:rPr>
            <w:rFonts w:ascii="Arial" w:eastAsia="Arial" w:hAnsi="Arial" w:cs="Arial"/>
            <w:color w:val="000000"/>
            <w:sz w:val="24"/>
            <w:szCs w:val="24"/>
          </w:rPr>
          <w:t xml:space="preserve">, R. &amp; </w:t>
        </w:r>
        <w:proofErr w:type="spellStart"/>
        <w:r>
          <w:rPr>
            <w:rFonts w:ascii="Arial" w:eastAsia="Arial" w:hAnsi="Arial" w:cs="Arial"/>
            <w:color w:val="000000"/>
            <w:sz w:val="24"/>
            <w:szCs w:val="24"/>
          </w:rPr>
          <w:t>Ribeca</w:t>
        </w:r>
        <w:proofErr w:type="spellEnd"/>
        <w:r>
          <w:rPr>
            <w:rFonts w:ascii="Arial" w:eastAsia="Arial" w:hAnsi="Arial" w:cs="Arial"/>
            <w:color w:val="000000"/>
            <w:sz w:val="24"/>
            <w:szCs w:val="24"/>
          </w:rPr>
          <w:t xml:space="preserve">, P. The GEM mapper: fast, accurate and versatile alignment by filtration. </w:t>
        </w:r>
      </w:hyperlink>
      <w:hyperlink r:id="rId126">
        <w:r>
          <w:rPr>
            <w:rFonts w:ascii="Arial" w:eastAsia="Arial" w:hAnsi="Arial" w:cs="Arial"/>
            <w:i/>
            <w:color w:val="000000"/>
            <w:sz w:val="24"/>
            <w:szCs w:val="24"/>
          </w:rPr>
          <w:t>Nat. Methods</w:t>
        </w:r>
      </w:hyperlink>
      <w:hyperlink r:id="rId127">
        <w:r>
          <w:rPr>
            <w:rFonts w:ascii="Arial" w:eastAsia="Arial" w:hAnsi="Arial" w:cs="Arial"/>
            <w:color w:val="000000"/>
            <w:sz w:val="24"/>
            <w:szCs w:val="24"/>
          </w:rPr>
          <w:t xml:space="preserve"> </w:t>
        </w:r>
      </w:hyperlink>
      <w:hyperlink r:id="rId128">
        <w:r>
          <w:rPr>
            <w:rFonts w:ascii="Arial" w:eastAsia="Arial" w:hAnsi="Arial" w:cs="Arial"/>
            <w:b/>
            <w:color w:val="000000"/>
            <w:sz w:val="24"/>
            <w:szCs w:val="24"/>
          </w:rPr>
          <w:t>9</w:t>
        </w:r>
      </w:hyperlink>
      <w:hyperlink r:id="rId129">
        <w:r>
          <w:rPr>
            <w:rFonts w:ascii="Arial" w:eastAsia="Arial" w:hAnsi="Arial" w:cs="Arial"/>
            <w:color w:val="000000"/>
            <w:sz w:val="24"/>
            <w:szCs w:val="24"/>
          </w:rPr>
          <w:t>, 1185–1188 (2012).</w:t>
        </w:r>
      </w:hyperlink>
    </w:p>
    <w:p w14:paraId="047265DE"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15.</w:t>
      </w:r>
      <w:r>
        <w:rPr>
          <w:rFonts w:ascii="Arial" w:eastAsia="Arial" w:hAnsi="Arial" w:cs="Arial"/>
          <w:color w:val="000000"/>
          <w:sz w:val="24"/>
          <w:szCs w:val="24"/>
        </w:rPr>
        <w:tab/>
      </w:r>
      <w:hyperlink r:id="rId130">
        <w:r>
          <w:rPr>
            <w:rFonts w:ascii="Arial" w:eastAsia="Arial" w:hAnsi="Arial" w:cs="Arial"/>
            <w:color w:val="000000"/>
            <w:sz w:val="24"/>
            <w:szCs w:val="24"/>
          </w:rPr>
          <w:t xml:space="preserve">Wang, J. </w:t>
        </w:r>
      </w:hyperlink>
      <w:hyperlink r:id="rId131">
        <w:r>
          <w:rPr>
            <w:rFonts w:ascii="Arial" w:eastAsia="Arial" w:hAnsi="Arial" w:cs="Arial"/>
            <w:i/>
            <w:color w:val="000000"/>
            <w:sz w:val="24"/>
            <w:szCs w:val="24"/>
          </w:rPr>
          <w:t>et al.</w:t>
        </w:r>
      </w:hyperlink>
      <w:hyperlink r:id="rId132">
        <w:r>
          <w:rPr>
            <w:rFonts w:ascii="Arial" w:eastAsia="Arial" w:hAnsi="Arial" w:cs="Arial"/>
            <w:color w:val="000000"/>
            <w:sz w:val="24"/>
            <w:szCs w:val="24"/>
          </w:rPr>
          <w:t xml:space="preserve"> CREST maps somatic structural variation in cancer genomes with base-pair resolution. </w:t>
        </w:r>
      </w:hyperlink>
      <w:hyperlink r:id="rId133">
        <w:r>
          <w:rPr>
            <w:rFonts w:ascii="Arial" w:eastAsia="Arial" w:hAnsi="Arial" w:cs="Arial"/>
            <w:i/>
            <w:color w:val="000000"/>
            <w:sz w:val="24"/>
            <w:szCs w:val="24"/>
          </w:rPr>
          <w:t>Nat. Methods</w:t>
        </w:r>
      </w:hyperlink>
      <w:hyperlink r:id="rId134">
        <w:r>
          <w:rPr>
            <w:rFonts w:ascii="Arial" w:eastAsia="Arial" w:hAnsi="Arial" w:cs="Arial"/>
            <w:color w:val="000000"/>
            <w:sz w:val="24"/>
            <w:szCs w:val="24"/>
          </w:rPr>
          <w:t xml:space="preserve"> </w:t>
        </w:r>
      </w:hyperlink>
      <w:hyperlink r:id="rId135">
        <w:r>
          <w:rPr>
            <w:rFonts w:ascii="Arial" w:eastAsia="Arial" w:hAnsi="Arial" w:cs="Arial"/>
            <w:b/>
            <w:color w:val="000000"/>
            <w:sz w:val="24"/>
            <w:szCs w:val="24"/>
          </w:rPr>
          <w:t>8</w:t>
        </w:r>
      </w:hyperlink>
      <w:hyperlink r:id="rId136">
        <w:r>
          <w:rPr>
            <w:rFonts w:ascii="Arial" w:eastAsia="Arial" w:hAnsi="Arial" w:cs="Arial"/>
            <w:color w:val="000000"/>
            <w:sz w:val="24"/>
            <w:szCs w:val="24"/>
          </w:rPr>
          <w:t>, 652–654 (2011).</w:t>
        </w:r>
      </w:hyperlink>
    </w:p>
    <w:p w14:paraId="33BAA228"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16.</w:t>
      </w:r>
      <w:r>
        <w:rPr>
          <w:rFonts w:ascii="Arial" w:eastAsia="Arial" w:hAnsi="Arial" w:cs="Arial"/>
          <w:color w:val="000000"/>
          <w:sz w:val="24"/>
          <w:szCs w:val="24"/>
        </w:rPr>
        <w:tab/>
      </w:r>
      <w:hyperlink r:id="rId137">
        <w:r>
          <w:rPr>
            <w:rFonts w:ascii="Arial" w:eastAsia="Arial" w:hAnsi="Arial" w:cs="Arial"/>
            <w:color w:val="000000"/>
            <w:sz w:val="24"/>
            <w:szCs w:val="24"/>
          </w:rPr>
          <w:t xml:space="preserve">Rausch, T. </w:t>
        </w:r>
      </w:hyperlink>
      <w:hyperlink r:id="rId138">
        <w:r>
          <w:rPr>
            <w:rFonts w:ascii="Arial" w:eastAsia="Arial" w:hAnsi="Arial" w:cs="Arial"/>
            <w:i/>
            <w:color w:val="000000"/>
            <w:sz w:val="24"/>
            <w:szCs w:val="24"/>
          </w:rPr>
          <w:t>et al.</w:t>
        </w:r>
      </w:hyperlink>
      <w:hyperlink r:id="rId139">
        <w:r>
          <w:rPr>
            <w:rFonts w:ascii="Arial" w:eastAsia="Arial" w:hAnsi="Arial" w:cs="Arial"/>
            <w:color w:val="000000"/>
            <w:sz w:val="24"/>
            <w:szCs w:val="24"/>
          </w:rPr>
          <w:t xml:space="preserve"> DELLY: structural variant discovery by integrated paired-end and split-read analysis. </w:t>
        </w:r>
      </w:hyperlink>
      <w:hyperlink r:id="rId140">
        <w:r>
          <w:rPr>
            <w:rFonts w:ascii="Arial" w:eastAsia="Arial" w:hAnsi="Arial" w:cs="Arial"/>
            <w:i/>
            <w:color w:val="000000"/>
            <w:sz w:val="24"/>
            <w:szCs w:val="24"/>
          </w:rPr>
          <w:t>Bioinformatics</w:t>
        </w:r>
      </w:hyperlink>
      <w:hyperlink r:id="rId141">
        <w:r>
          <w:rPr>
            <w:rFonts w:ascii="Arial" w:eastAsia="Arial" w:hAnsi="Arial" w:cs="Arial"/>
            <w:color w:val="000000"/>
            <w:sz w:val="24"/>
            <w:szCs w:val="24"/>
          </w:rPr>
          <w:t xml:space="preserve"> </w:t>
        </w:r>
      </w:hyperlink>
      <w:hyperlink r:id="rId142">
        <w:r>
          <w:rPr>
            <w:rFonts w:ascii="Arial" w:eastAsia="Arial" w:hAnsi="Arial" w:cs="Arial"/>
            <w:b/>
            <w:color w:val="000000"/>
            <w:sz w:val="24"/>
            <w:szCs w:val="24"/>
          </w:rPr>
          <w:t>28</w:t>
        </w:r>
      </w:hyperlink>
      <w:hyperlink r:id="rId143">
        <w:r>
          <w:rPr>
            <w:rFonts w:ascii="Arial" w:eastAsia="Arial" w:hAnsi="Arial" w:cs="Arial"/>
            <w:color w:val="000000"/>
            <w:sz w:val="24"/>
            <w:szCs w:val="24"/>
          </w:rPr>
          <w:t>, i333–i339 (2012).</w:t>
        </w:r>
      </w:hyperlink>
    </w:p>
    <w:p w14:paraId="19EBAE54"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17.</w:t>
      </w:r>
      <w:r>
        <w:rPr>
          <w:rFonts w:ascii="Arial" w:eastAsia="Arial" w:hAnsi="Arial" w:cs="Arial"/>
          <w:color w:val="000000"/>
          <w:sz w:val="24"/>
          <w:szCs w:val="24"/>
        </w:rPr>
        <w:tab/>
      </w:r>
      <w:hyperlink r:id="rId144">
        <w:r>
          <w:rPr>
            <w:rFonts w:ascii="Arial" w:eastAsia="Arial" w:hAnsi="Arial" w:cs="Arial"/>
            <w:color w:val="000000"/>
            <w:sz w:val="24"/>
            <w:szCs w:val="24"/>
          </w:rPr>
          <w:t xml:space="preserve">Fan, X., Abbott, T. E., Larson, D. &amp; Chen, K. </w:t>
        </w:r>
        <w:proofErr w:type="spellStart"/>
        <w:r>
          <w:rPr>
            <w:rFonts w:ascii="Arial" w:eastAsia="Arial" w:hAnsi="Arial" w:cs="Arial"/>
            <w:color w:val="000000"/>
            <w:sz w:val="24"/>
            <w:szCs w:val="24"/>
          </w:rPr>
          <w:t>BreakDancer</w:t>
        </w:r>
        <w:proofErr w:type="spellEnd"/>
        <w:r>
          <w:rPr>
            <w:rFonts w:ascii="Arial" w:eastAsia="Arial" w:hAnsi="Arial" w:cs="Arial"/>
            <w:color w:val="000000"/>
            <w:sz w:val="24"/>
            <w:szCs w:val="24"/>
          </w:rPr>
          <w:t xml:space="preserve">: Identification of Genomic Structural Variation from Paired-End Read Mapping. </w:t>
        </w:r>
      </w:hyperlink>
      <w:hyperlink r:id="rId145">
        <w:proofErr w:type="spellStart"/>
        <w:r>
          <w:rPr>
            <w:rFonts w:ascii="Arial" w:eastAsia="Arial" w:hAnsi="Arial" w:cs="Arial"/>
            <w:i/>
            <w:color w:val="000000"/>
            <w:sz w:val="24"/>
            <w:szCs w:val="24"/>
          </w:rPr>
          <w:t>Curr</w:t>
        </w:r>
        <w:proofErr w:type="spellEnd"/>
        <w:r>
          <w:rPr>
            <w:rFonts w:ascii="Arial" w:eastAsia="Arial" w:hAnsi="Arial" w:cs="Arial"/>
            <w:i/>
            <w:color w:val="000000"/>
            <w:sz w:val="24"/>
            <w:szCs w:val="24"/>
          </w:rPr>
          <w:t xml:space="preserve">. </w:t>
        </w:r>
        <w:proofErr w:type="spellStart"/>
        <w:r>
          <w:rPr>
            <w:rFonts w:ascii="Arial" w:eastAsia="Arial" w:hAnsi="Arial" w:cs="Arial"/>
            <w:i/>
            <w:color w:val="000000"/>
            <w:sz w:val="24"/>
            <w:szCs w:val="24"/>
          </w:rPr>
          <w:t>Protoc</w:t>
        </w:r>
        <w:proofErr w:type="spellEnd"/>
        <w:r>
          <w:rPr>
            <w:rFonts w:ascii="Arial" w:eastAsia="Arial" w:hAnsi="Arial" w:cs="Arial"/>
            <w:i/>
            <w:color w:val="000000"/>
            <w:sz w:val="24"/>
            <w:szCs w:val="24"/>
          </w:rPr>
          <w:t>. Bioinformatics</w:t>
        </w:r>
      </w:hyperlink>
      <w:hyperlink r:id="rId146">
        <w:r>
          <w:rPr>
            <w:rFonts w:ascii="Arial" w:eastAsia="Arial" w:hAnsi="Arial" w:cs="Arial"/>
            <w:color w:val="000000"/>
            <w:sz w:val="24"/>
            <w:szCs w:val="24"/>
          </w:rPr>
          <w:t xml:space="preserve"> </w:t>
        </w:r>
      </w:hyperlink>
      <w:hyperlink r:id="rId147">
        <w:r>
          <w:rPr>
            <w:rFonts w:ascii="Arial" w:eastAsia="Arial" w:hAnsi="Arial" w:cs="Arial"/>
            <w:b/>
            <w:color w:val="000000"/>
            <w:sz w:val="24"/>
            <w:szCs w:val="24"/>
          </w:rPr>
          <w:t>45</w:t>
        </w:r>
      </w:hyperlink>
      <w:hyperlink r:id="rId148">
        <w:r>
          <w:rPr>
            <w:rFonts w:ascii="Arial" w:eastAsia="Arial" w:hAnsi="Arial" w:cs="Arial"/>
            <w:color w:val="000000"/>
            <w:sz w:val="24"/>
            <w:szCs w:val="24"/>
          </w:rPr>
          <w:t>, 15.6.1–11 (2014).</w:t>
        </w:r>
      </w:hyperlink>
    </w:p>
    <w:p w14:paraId="018B7F2C"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18.</w:t>
      </w:r>
      <w:r>
        <w:rPr>
          <w:rFonts w:ascii="Arial" w:eastAsia="Arial" w:hAnsi="Arial" w:cs="Arial"/>
          <w:color w:val="000000"/>
          <w:sz w:val="24"/>
          <w:szCs w:val="24"/>
        </w:rPr>
        <w:tab/>
      </w:r>
      <w:hyperlink r:id="rId149">
        <w:r>
          <w:rPr>
            <w:rFonts w:ascii="Arial" w:eastAsia="Arial" w:hAnsi="Arial" w:cs="Arial"/>
            <w:color w:val="000000"/>
            <w:sz w:val="24"/>
            <w:szCs w:val="24"/>
          </w:rPr>
          <w:t xml:space="preserve">Xi, R., Lee, S., Xia, Y., Kim, T.-M. &amp; Park, P. J. Copy number analysis of whole-genome data using BIC-seq2 and its application to detection of cancer susceptibility variants. </w:t>
        </w:r>
      </w:hyperlink>
      <w:hyperlink r:id="rId150">
        <w:r>
          <w:rPr>
            <w:rFonts w:ascii="Arial" w:eastAsia="Arial" w:hAnsi="Arial" w:cs="Arial"/>
            <w:i/>
            <w:color w:val="000000"/>
            <w:sz w:val="24"/>
            <w:szCs w:val="24"/>
          </w:rPr>
          <w:t>Nucleic Acids Res.</w:t>
        </w:r>
      </w:hyperlink>
      <w:hyperlink r:id="rId151">
        <w:r>
          <w:rPr>
            <w:rFonts w:ascii="Arial" w:eastAsia="Arial" w:hAnsi="Arial" w:cs="Arial"/>
            <w:color w:val="000000"/>
            <w:sz w:val="24"/>
            <w:szCs w:val="24"/>
          </w:rPr>
          <w:t xml:space="preserve"> </w:t>
        </w:r>
      </w:hyperlink>
      <w:hyperlink r:id="rId152">
        <w:r>
          <w:rPr>
            <w:rFonts w:ascii="Arial" w:eastAsia="Arial" w:hAnsi="Arial" w:cs="Arial"/>
            <w:b/>
            <w:color w:val="000000"/>
            <w:sz w:val="24"/>
            <w:szCs w:val="24"/>
          </w:rPr>
          <w:t>44</w:t>
        </w:r>
      </w:hyperlink>
      <w:hyperlink r:id="rId153">
        <w:r>
          <w:rPr>
            <w:rFonts w:ascii="Arial" w:eastAsia="Arial" w:hAnsi="Arial" w:cs="Arial"/>
            <w:color w:val="000000"/>
            <w:sz w:val="24"/>
            <w:szCs w:val="24"/>
          </w:rPr>
          <w:t>, 6274–6286 (2016).</w:t>
        </w:r>
      </w:hyperlink>
    </w:p>
    <w:p w14:paraId="5F9A665E"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19.</w:t>
      </w:r>
      <w:r>
        <w:rPr>
          <w:rFonts w:ascii="Arial" w:eastAsia="Arial" w:hAnsi="Arial" w:cs="Arial"/>
          <w:color w:val="000000"/>
          <w:sz w:val="24"/>
          <w:szCs w:val="24"/>
        </w:rPr>
        <w:tab/>
      </w:r>
      <w:hyperlink r:id="rId154">
        <w:proofErr w:type="spellStart"/>
        <w:r>
          <w:rPr>
            <w:rFonts w:ascii="Arial" w:eastAsia="Arial" w:hAnsi="Arial" w:cs="Arial"/>
            <w:color w:val="000000"/>
            <w:sz w:val="24"/>
            <w:szCs w:val="24"/>
          </w:rPr>
          <w:t>Emde</w:t>
        </w:r>
        <w:proofErr w:type="spellEnd"/>
        <w:r>
          <w:rPr>
            <w:rFonts w:ascii="Arial" w:eastAsia="Arial" w:hAnsi="Arial" w:cs="Arial"/>
            <w:color w:val="000000"/>
            <w:sz w:val="24"/>
            <w:szCs w:val="24"/>
          </w:rPr>
          <w:t xml:space="preserve">, A.-K. </w:t>
        </w:r>
      </w:hyperlink>
      <w:hyperlink r:id="rId155">
        <w:r>
          <w:rPr>
            <w:rFonts w:ascii="Arial" w:eastAsia="Arial" w:hAnsi="Arial" w:cs="Arial"/>
            <w:i/>
            <w:color w:val="000000"/>
            <w:sz w:val="24"/>
            <w:szCs w:val="24"/>
          </w:rPr>
          <w:t>et al.</w:t>
        </w:r>
      </w:hyperlink>
      <w:hyperlink r:id="rId156">
        <w:r>
          <w:rPr>
            <w:rFonts w:ascii="Arial" w:eastAsia="Arial" w:hAnsi="Arial" w:cs="Arial"/>
            <w:color w:val="000000"/>
            <w:sz w:val="24"/>
            <w:szCs w:val="24"/>
          </w:rPr>
          <w:t xml:space="preserve"> Detecting genomic indel variants with exact breakpoints in single- and paired-end sequencing data using </w:t>
        </w:r>
        <w:proofErr w:type="spellStart"/>
        <w:r>
          <w:rPr>
            <w:rFonts w:ascii="Arial" w:eastAsia="Arial" w:hAnsi="Arial" w:cs="Arial"/>
            <w:color w:val="000000"/>
            <w:sz w:val="24"/>
            <w:szCs w:val="24"/>
          </w:rPr>
          <w:t>SplazerS</w:t>
        </w:r>
        <w:proofErr w:type="spellEnd"/>
        <w:r>
          <w:rPr>
            <w:rFonts w:ascii="Arial" w:eastAsia="Arial" w:hAnsi="Arial" w:cs="Arial"/>
            <w:color w:val="000000"/>
            <w:sz w:val="24"/>
            <w:szCs w:val="24"/>
          </w:rPr>
          <w:t xml:space="preserve">. </w:t>
        </w:r>
      </w:hyperlink>
      <w:hyperlink r:id="rId157">
        <w:r>
          <w:rPr>
            <w:rFonts w:ascii="Arial" w:eastAsia="Arial" w:hAnsi="Arial" w:cs="Arial"/>
            <w:i/>
            <w:color w:val="000000"/>
            <w:sz w:val="24"/>
            <w:szCs w:val="24"/>
          </w:rPr>
          <w:t>Bioinformatics</w:t>
        </w:r>
      </w:hyperlink>
      <w:hyperlink r:id="rId158">
        <w:r>
          <w:rPr>
            <w:rFonts w:ascii="Arial" w:eastAsia="Arial" w:hAnsi="Arial" w:cs="Arial"/>
            <w:color w:val="000000"/>
            <w:sz w:val="24"/>
            <w:szCs w:val="24"/>
          </w:rPr>
          <w:t xml:space="preserve"> </w:t>
        </w:r>
      </w:hyperlink>
      <w:hyperlink r:id="rId159">
        <w:r>
          <w:rPr>
            <w:rFonts w:ascii="Arial" w:eastAsia="Arial" w:hAnsi="Arial" w:cs="Arial"/>
            <w:b/>
            <w:color w:val="000000"/>
            <w:sz w:val="24"/>
            <w:szCs w:val="24"/>
          </w:rPr>
          <w:t>28</w:t>
        </w:r>
      </w:hyperlink>
      <w:hyperlink r:id="rId160">
        <w:r>
          <w:rPr>
            <w:rFonts w:ascii="Arial" w:eastAsia="Arial" w:hAnsi="Arial" w:cs="Arial"/>
            <w:color w:val="000000"/>
            <w:sz w:val="24"/>
            <w:szCs w:val="24"/>
          </w:rPr>
          <w:t>, 619–627 (2012).</w:t>
        </w:r>
      </w:hyperlink>
    </w:p>
    <w:p w14:paraId="41560482"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20.</w:t>
      </w:r>
      <w:r>
        <w:rPr>
          <w:rFonts w:ascii="Arial" w:eastAsia="Arial" w:hAnsi="Arial" w:cs="Arial"/>
          <w:color w:val="000000"/>
          <w:sz w:val="24"/>
          <w:szCs w:val="24"/>
        </w:rPr>
        <w:tab/>
      </w:r>
      <w:hyperlink r:id="rId161">
        <w:r>
          <w:rPr>
            <w:rFonts w:ascii="Arial" w:eastAsia="Arial" w:hAnsi="Arial" w:cs="Arial"/>
            <w:color w:val="000000"/>
            <w:sz w:val="24"/>
            <w:szCs w:val="24"/>
          </w:rPr>
          <w:t xml:space="preserve">Nik-Zainal, S. </w:t>
        </w:r>
      </w:hyperlink>
      <w:hyperlink r:id="rId162">
        <w:r>
          <w:rPr>
            <w:rFonts w:ascii="Arial" w:eastAsia="Arial" w:hAnsi="Arial" w:cs="Arial"/>
            <w:i/>
            <w:color w:val="000000"/>
            <w:sz w:val="24"/>
            <w:szCs w:val="24"/>
          </w:rPr>
          <w:t>et al.</w:t>
        </w:r>
      </w:hyperlink>
      <w:hyperlink r:id="rId163">
        <w:r>
          <w:rPr>
            <w:rFonts w:ascii="Arial" w:eastAsia="Arial" w:hAnsi="Arial" w:cs="Arial"/>
            <w:color w:val="000000"/>
            <w:sz w:val="24"/>
            <w:szCs w:val="24"/>
          </w:rPr>
          <w:t xml:space="preserve"> Landscape of somatic mutations in 560 breast cancer whole-genome sequences. </w:t>
        </w:r>
      </w:hyperlink>
      <w:hyperlink r:id="rId164">
        <w:r>
          <w:rPr>
            <w:rFonts w:ascii="Arial" w:eastAsia="Arial" w:hAnsi="Arial" w:cs="Arial"/>
            <w:i/>
            <w:color w:val="000000"/>
            <w:sz w:val="24"/>
            <w:szCs w:val="24"/>
          </w:rPr>
          <w:t>Nature</w:t>
        </w:r>
      </w:hyperlink>
      <w:hyperlink r:id="rId165">
        <w:r>
          <w:rPr>
            <w:rFonts w:ascii="Arial" w:eastAsia="Arial" w:hAnsi="Arial" w:cs="Arial"/>
            <w:color w:val="000000"/>
            <w:sz w:val="24"/>
            <w:szCs w:val="24"/>
          </w:rPr>
          <w:t xml:space="preserve"> </w:t>
        </w:r>
      </w:hyperlink>
      <w:hyperlink r:id="rId166">
        <w:r>
          <w:rPr>
            <w:rFonts w:ascii="Arial" w:eastAsia="Arial" w:hAnsi="Arial" w:cs="Arial"/>
            <w:b/>
            <w:color w:val="000000"/>
            <w:sz w:val="24"/>
            <w:szCs w:val="24"/>
          </w:rPr>
          <w:t>534</w:t>
        </w:r>
      </w:hyperlink>
      <w:hyperlink r:id="rId167">
        <w:r>
          <w:rPr>
            <w:rFonts w:ascii="Arial" w:eastAsia="Arial" w:hAnsi="Arial" w:cs="Arial"/>
            <w:color w:val="000000"/>
            <w:sz w:val="24"/>
            <w:szCs w:val="24"/>
          </w:rPr>
          <w:t>, 47–54 (2016).</w:t>
        </w:r>
      </w:hyperlink>
    </w:p>
    <w:p w14:paraId="1BF7C4CC"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21.</w:t>
      </w:r>
      <w:r>
        <w:rPr>
          <w:rFonts w:ascii="Arial" w:eastAsia="Arial" w:hAnsi="Arial" w:cs="Arial"/>
          <w:color w:val="000000"/>
          <w:sz w:val="24"/>
          <w:szCs w:val="24"/>
        </w:rPr>
        <w:tab/>
      </w:r>
      <w:hyperlink r:id="rId168">
        <w:r>
          <w:rPr>
            <w:rFonts w:ascii="Arial" w:eastAsia="Arial" w:hAnsi="Arial" w:cs="Arial"/>
            <w:color w:val="000000"/>
            <w:sz w:val="24"/>
            <w:szCs w:val="24"/>
          </w:rPr>
          <w:t xml:space="preserve">Hadi, K. </w:t>
        </w:r>
      </w:hyperlink>
      <w:hyperlink r:id="rId169">
        <w:r>
          <w:rPr>
            <w:rFonts w:ascii="Arial" w:eastAsia="Arial" w:hAnsi="Arial" w:cs="Arial"/>
            <w:i/>
            <w:color w:val="000000"/>
            <w:sz w:val="24"/>
            <w:szCs w:val="24"/>
          </w:rPr>
          <w:t>et al.</w:t>
        </w:r>
      </w:hyperlink>
      <w:hyperlink r:id="rId170">
        <w:r>
          <w:rPr>
            <w:rFonts w:ascii="Arial" w:eastAsia="Arial" w:hAnsi="Arial" w:cs="Arial"/>
            <w:color w:val="000000"/>
            <w:sz w:val="24"/>
            <w:szCs w:val="24"/>
          </w:rPr>
          <w:t xml:space="preserve"> Distinct Classes of Complex Structural Variation Uncovered across Thousands of Cancer Genome Graphs. </w:t>
        </w:r>
      </w:hyperlink>
      <w:hyperlink r:id="rId171">
        <w:r>
          <w:rPr>
            <w:rFonts w:ascii="Arial" w:eastAsia="Arial" w:hAnsi="Arial" w:cs="Arial"/>
            <w:i/>
            <w:color w:val="000000"/>
            <w:sz w:val="24"/>
            <w:szCs w:val="24"/>
          </w:rPr>
          <w:t>Cell</w:t>
        </w:r>
      </w:hyperlink>
      <w:hyperlink r:id="rId172">
        <w:r>
          <w:rPr>
            <w:rFonts w:ascii="Arial" w:eastAsia="Arial" w:hAnsi="Arial" w:cs="Arial"/>
            <w:color w:val="000000"/>
            <w:sz w:val="24"/>
            <w:szCs w:val="24"/>
          </w:rPr>
          <w:t xml:space="preserve"> </w:t>
        </w:r>
      </w:hyperlink>
      <w:hyperlink r:id="rId173">
        <w:r>
          <w:rPr>
            <w:rFonts w:ascii="Arial" w:eastAsia="Arial" w:hAnsi="Arial" w:cs="Arial"/>
            <w:b/>
            <w:color w:val="000000"/>
            <w:sz w:val="24"/>
            <w:szCs w:val="24"/>
          </w:rPr>
          <w:t>183</w:t>
        </w:r>
      </w:hyperlink>
      <w:hyperlink r:id="rId174">
        <w:r>
          <w:rPr>
            <w:rFonts w:ascii="Arial" w:eastAsia="Arial" w:hAnsi="Arial" w:cs="Arial"/>
            <w:color w:val="000000"/>
            <w:sz w:val="24"/>
            <w:szCs w:val="24"/>
          </w:rPr>
          <w:t>, 197–210.e32 (2020).</w:t>
        </w:r>
      </w:hyperlink>
    </w:p>
    <w:p w14:paraId="0B458A39"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22.</w:t>
      </w:r>
      <w:r>
        <w:rPr>
          <w:rFonts w:ascii="Arial" w:eastAsia="Arial" w:hAnsi="Arial" w:cs="Arial"/>
          <w:color w:val="000000"/>
          <w:sz w:val="24"/>
          <w:szCs w:val="24"/>
        </w:rPr>
        <w:tab/>
      </w:r>
      <w:hyperlink r:id="rId175">
        <w:r>
          <w:rPr>
            <w:rFonts w:ascii="Arial" w:eastAsia="Arial" w:hAnsi="Arial" w:cs="Arial"/>
            <w:color w:val="000000"/>
            <w:sz w:val="24"/>
            <w:szCs w:val="24"/>
          </w:rPr>
          <w:t xml:space="preserve">Wala, J. A. </w:t>
        </w:r>
      </w:hyperlink>
      <w:hyperlink r:id="rId176">
        <w:r>
          <w:rPr>
            <w:rFonts w:ascii="Arial" w:eastAsia="Arial" w:hAnsi="Arial" w:cs="Arial"/>
            <w:i/>
            <w:color w:val="000000"/>
            <w:sz w:val="24"/>
            <w:szCs w:val="24"/>
          </w:rPr>
          <w:t>et al.</w:t>
        </w:r>
      </w:hyperlink>
      <w:hyperlink r:id="rId177">
        <w:r>
          <w:rPr>
            <w:rFonts w:ascii="Arial" w:eastAsia="Arial" w:hAnsi="Arial" w:cs="Arial"/>
            <w:color w:val="000000"/>
            <w:sz w:val="24"/>
            <w:szCs w:val="24"/>
          </w:rPr>
          <w:t xml:space="preserve"> </w:t>
        </w:r>
        <w:proofErr w:type="spellStart"/>
        <w:r>
          <w:rPr>
            <w:rFonts w:ascii="Arial" w:eastAsia="Arial" w:hAnsi="Arial" w:cs="Arial"/>
            <w:color w:val="000000"/>
            <w:sz w:val="24"/>
            <w:szCs w:val="24"/>
          </w:rPr>
          <w:t>SvABA</w:t>
        </w:r>
        <w:proofErr w:type="spellEnd"/>
        <w:r>
          <w:rPr>
            <w:rFonts w:ascii="Arial" w:eastAsia="Arial" w:hAnsi="Arial" w:cs="Arial"/>
            <w:color w:val="000000"/>
            <w:sz w:val="24"/>
            <w:szCs w:val="24"/>
          </w:rPr>
          <w:t xml:space="preserve">: genome-wide detection of structural variants and indels </w:t>
        </w:r>
        <w:r>
          <w:rPr>
            <w:rFonts w:ascii="Arial" w:eastAsia="Arial" w:hAnsi="Arial" w:cs="Arial"/>
            <w:color w:val="000000"/>
            <w:sz w:val="24"/>
            <w:szCs w:val="24"/>
          </w:rPr>
          <w:lastRenderedPageBreak/>
          <w:t xml:space="preserve">by local assembly. </w:t>
        </w:r>
      </w:hyperlink>
      <w:hyperlink r:id="rId178">
        <w:r>
          <w:rPr>
            <w:rFonts w:ascii="Arial" w:eastAsia="Arial" w:hAnsi="Arial" w:cs="Arial"/>
            <w:i/>
            <w:color w:val="000000"/>
            <w:sz w:val="24"/>
            <w:szCs w:val="24"/>
          </w:rPr>
          <w:t>Genome Res.</w:t>
        </w:r>
      </w:hyperlink>
      <w:hyperlink r:id="rId179">
        <w:r>
          <w:rPr>
            <w:rFonts w:ascii="Arial" w:eastAsia="Arial" w:hAnsi="Arial" w:cs="Arial"/>
            <w:color w:val="000000"/>
            <w:sz w:val="24"/>
            <w:szCs w:val="24"/>
          </w:rPr>
          <w:t xml:space="preserve"> </w:t>
        </w:r>
      </w:hyperlink>
      <w:hyperlink r:id="rId180">
        <w:r>
          <w:rPr>
            <w:rFonts w:ascii="Arial" w:eastAsia="Arial" w:hAnsi="Arial" w:cs="Arial"/>
            <w:b/>
            <w:color w:val="000000"/>
            <w:sz w:val="24"/>
            <w:szCs w:val="24"/>
          </w:rPr>
          <w:t>28</w:t>
        </w:r>
      </w:hyperlink>
      <w:hyperlink r:id="rId181">
        <w:r>
          <w:rPr>
            <w:rFonts w:ascii="Arial" w:eastAsia="Arial" w:hAnsi="Arial" w:cs="Arial"/>
            <w:color w:val="000000"/>
            <w:sz w:val="24"/>
            <w:szCs w:val="24"/>
          </w:rPr>
          <w:t>, 581–591 (2018).</w:t>
        </w:r>
      </w:hyperlink>
    </w:p>
    <w:p w14:paraId="05D46475"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23.</w:t>
      </w:r>
      <w:r>
        <w:rPr>
          <w:rFonts w:ascii="Arial" w:eastAsia="Arial" w:hAnsi="Arial" w:cs="Arial"/>
          <w:color w:val="000000"/>
          <w:sz w:val="24"/>
          <w:szCs w:val="24"/>
        </w:rPr>
        <w:tab/>
      </w:r>
      <w:hyperlink r:id="rId182">
        <w:r>
          <w:rPr>
            <w:rFonts w:ascii="Arial" w:eastAsia="Arial" w:hAnsi="Arial" w:cs="Arial"/>
            <w:color w:val="000000"/>
            <w:sz w:val="24"/>
            <w:szCs w:val="24"/>
          </w:rPr>
          <w:t xml:space="preserve">Deshpande, A., </w:t>
        </w:r>
        <w:proofErr w:type="spellStart"/>
        <w:r>
          <w:rPr>
            <w:rFonts w:ascii="Arial" w:eastAsia="Arial" w:hAnsi="Arial" w:cs="Arial"/>
            <w:color w:val="000000"/>
            <w:sz w:val="24"/>
            <w:szCs w:val="24"/>
          </w:rPr>
          <w:t>Walradt</w:t>
        </w:r>
        <w:proofErr w:type="spellEnd"/>
        <w:r>
          <w:rPr>
            <w:rFonts w:ascii="Arial" w:eastAsia="Arial" w:hAnsi="Arial" w:cs="Arial"/>
            <w:color w:val="000000"/>
            <w:sz w:val="24"/>
            <w:szCs w:val="24"/>
          </w:rPr>
          <w:t xml:space="preserve">, T., Hu, Y., </w:t>
        </w:r>
        <w:proofErr w:type="spellStart"/>
        <w:r>
          <w:rPr>
            <w:rFonts w:ascii="Arial" w:eastAsia="Arial" w:hAnsi="Arial" w:cs="Arial"/>
            <w:color w:val="000000"/>
            <w:sz w:val="24"/>
            <w:szCs w:val="24"/>
          </w:rPr>
          <w:t>Koren</w:t>
        </w:r>
        <w:proofErr w:type="spellEnd"/>
        <w:r>
          <w:rPr>
            <w:rFonts w:ascii="Arial" w:eastAsia="Arial" w:hAnsi="Arial" w:cs="Arial"/>
            <w:color w:val="000000"/>
            <w:sz w:val="24"/>
            <w:szCs w:val="24"/>
          </w:rPr>
          <w:t xml:space="preserve">, A. &amp; Imielinski, M. Robust foreground detection in somatic copy number data. </w:t>
        </w:r>
      </w:hyperlink>
      <w:hyperlink r:id="rId183">
        <w:proofErr w:type="spellStart"/>
        <w:r>
          <w:rPr>
            <w:rFonts w:ascii="Arial" w:eastAsia="Arial" w:hAnsi="Arial" w:cs="Arial"/>
            <w:i/>
            <w:color w:val="000000"/>
            <w:sz w:val="24"/>
            <w:szCs w:val="24"/>
          </w:rPr>
          <w:t>bioRxiv</w:t>
        </w:r>
        <w:proofErr w:type="spellEnd"/>
      </w:hyperlink>
      <w:hyperlink r:id="rId184">
        <w:r>
          <w:rPr>
            <w:rFonts w:ascii="Arial" w:eastAsia="Arial" w:hAnsi="Arial" w:cs="Arial"/>
            <w:color w:val="000000"/>
            <w:sz w:val="24"/>
            <w:szCs w:val="24"/>
          </w:rPr>
          <w:t xml:space="preserve"> (2019).</w:t>
        </w:r>
      </w:hyperlink>
    </w:p>
    <w:p w14:paraId="401E9560" w14:textId="77777777" w:rsidR="00E94238" w:rsidRDefault="007402C1">
      <w:pPr>
        <w:widowControl w:val="0"/>
        <w:pBdr>
          <w:top w:val="nil"/>
          <w:left w:val="nil"/>
          <w:bottom w:val="nil"/>
          <w:right w:val="nil"/>
          <w:between w:val="nil"/>
        </w:pBdr>
        <w:spacing w:after="0" w:line="480" w:lineRule="auto"/>
        <w:ind w:left="480" w:hanging="480"/>
        <w:rPr>
          <w:rFonts w:ascii="Arial" w:eastAsia="Arial" w:hAnsi="Arial" w:cs="Arial"/>
          <w:color w:val="000000"/>
          <w:sz w:val="24"/>
          <w:szCs w:val="24"/>
        </w:rPr>
      </w:pPr>
      <w:r>
        <w:rPr>
          <w:rFonts w:ascii="Arial" w:eastAsia="Arial" w:hAnsi="Arial" w:cs="Arial"/>
          <w:color w:val="000000"/>
          <w:sz w:val="24"/>
          <w:szCs w:val="24"/>
        </w:rPr>
        <w:t>24.</w:t>
      </w:r>
      <w:r>
        <w:rPr>
          <w:rFonts w:ascii="Arial" w:eastAsia="Arial" w:hAnsi="Arial" w:cs="Arial"/>
          <w:color w:val="000000"/>
          <w:sz w:val="24"/>
          <w:szCs w:val="24"/>
        </w:rPr>
        <w:tab/>
      </w:r>
      <w:hyperlink r:id="rId185">
        <w:proofErr w:type="spellStart"/>
        <w:r>
          <w:rPr>
            <w:rFonts w:ascii="Arial" w:eastAsia="Arial" w:hAnsi="Arial" w:cs="Arial"/>
            <w:color w:val="000000"/>
            <w:sz w:val="24"/>
            <w:szCs w:val="24"/>
          </w:rPr>
          <w:t>Felsenstein</w:t>
        </w:r>
        <w:proofErr w:type="spellEnd"/>
        <w:r>
          <w:rPr>
            <w:rFonts w:ascii="Arial" w:eastAsia="Arial" w:hAnsi="Arial" w:cs="Arial"/>
            <w:color w:val="000000"/>
            <w:sz w:val="24"/>
            <w:szCs w:val="24"/>
          </w:rPr>
          <w:t xml:space="preserve">, J. </w:t>
        </w:r>
      </w:hyperlink>
      <w:hyperlink r:id="rId186">
        <w:r>
          <w:rPr>
            <w:rFonts w:ascii="Arial" w:eastAsia="Arial" w:hAnsi="Arial" w:cs="Arial"/>
            <w:i/>
            <w:color w:val="000000"/>
            <w:sz w:val="24"/>
            <w:szCs w:val="24"/>
          </w:rPr>
          <w:t>PHYLIP (Phylogeny Inference Package)</w:t>
        </w:r>
      </w:hyperlink>
      <w:hyperlink r:id="rId187">
        <w:r>
          <w:rPr>
            <w:rFonts w:ascii="Arial" w:eastAsia="Arial" w:hAnsi="Arial" w:cs="Arial"/>
            <w:color w:val="000000"/>
            <w:sz w:val="24"/>
            <w:szCs w:val="24"/>
          </w:rPr>
          <w:t>. (Distributed by the author. Department of Genome Sciences, University of Washington, 2005).</w:t>
        </w:r>
      </w:hyperlink>
    </w:p>
    <w:p w14:paraId="7055588B" w14:textId="77777777" w:rsidR="00E94238" w:rsidRDefault="007402C1">
      <w:pPr>
        <w:widowControl w:val="0"/>
        <w:pBdr>
          <w:top w:val="nil"/>
          <w:left w:val="nil"/>
          <w:bottom w:val="nil"/>
          <w:right w:val="nil"/>
          <w:between w:val="nil"/>
        </w:pBdr>
        <w:spacing w:after="240" w:line="480" w:lineRule="auto"/>
        <w:ind w:left="480" w:hanging="480"/>
        <w:rPr>
          <w:rFonts w:ascii="Arial" w:eastAsia="Arial" w:hAnsi="Arial" w:cs="Arial"/>
          <w:color w:val="000000"/>
          <w:sz w:val="24"/>
          <w:szCs w:val="24"/>
        </w:rPr>
      </w:pPr>
      <w:r>
        <w:rPr>
          <w:rFonts w:ascii="Arial" w:eastAsia="Arial" w:hAnsi="Arial" w:cs="Arial"/>
          <w:color w:val="000000"/>
          <w:sz w:val="24"/>
          <w:szCs w:val="24"/>
        </w:rPr>
        <w:t>25.</w:t>
      </w:r>
      <w:r>
        <w:rPr>
          <w:rFonts w:ascii="Arial" w:eastAsia="Arial" w:hAnsi="Arial" w:cs="Arial"/>
          <w:color w:val="000000"/>
          <w:sz w:val="24"/>
          <w:szCs w:val="24"/>
        </w:rPr>
        <w:tab/>
      </w:r>
      <w:hyperlink r:id="rId188">
        <w:proofErr w:type="spellStart"/>
        <w:r>
          <w:rPr>
            <w:rFonts w:ascii="Arial" w:eastAsia="Arial" w:hAnsi="Arial" w:cs="Arial"/>
            <w:color w:val="000000"/>
            <w:sz w:val="24"/>
            <w:szCs w:val="24"/>
          </w:rPr>
          <w:t>Felsenstein</w:t>
        </w:r>
        <w:proofErr w:type="spellEnd"/>
        <w:r>
          <w:rPr>
            <w:rFonts w:ascii="Arial" w:eastAsia="Arial" w:hAnsi="Arial" w:cs="Arial"/>
            <w:color w:val="000000"/>
            <w:sz w:val="24"/>
            <w:szCs w:val="24"/>
          </w:rPr>
          <w:t xml:space="preserve">, J. Confidence limits on phylogenies: an approach using the bootstrap. </w:t>
        </w:r>
      </w:hyperlink>
      <w:hyperlink r:id="rId189">
        <w:proofErr w:type="spellStart"/>
        <w:r>
          <w:rPr>
            <w:rFonts w:ascii="Arial" w:eastAsia="Arial" w:hAnsi="Arial" w:cs="Arial"/>
            <w:i/>
            <w:color w:val="000000"/>
            <w:sz w:val="24"/>
            <w:szCs w:val="24"/>
          </w:rPr>
          <w:t>Evol</w:t>
        </w:r>
        <w:proofErr w:type="spellEnd"/>
        <w:r>
          <w:rPr>
            <w:rFonts w:ascii="Arial" w:eastAsia="Arial" w:hAnsi="Arial" w:cs="Arial"/>
            <w:i/>
            <w:color w:val="000000"/>
            <w:sz w:val="24"/>
            <w:szCs w:val="24"/>
          </w:rPr>
          <w:t>. Appl.</w:t>
        </w:r>
      </w:hyperlink>
      <w:hyperlink r:id="rId190">
        <w:r>
          <w:rPr>
            <w:rFonts w:ascii="Arial" w:eastAsia="Arial" w:hAnsi="Arial" w:cs="Arial"/>
            <w:color w:val="000000"/>
            <w:sz w:val="24"/>
            <w:szCs w:val="24"/>
          </w:rPr>
          <w:t xml:space="preserve"> </w:t>
        </w:r>
      </w:hyperlink>
      <w:hyperlink r:id="rId191">
        <w:r>
          <w:rPr>
            <w:rFonts w:ascii="Arial" w:eastAsia="Arial" w:hAnsi="Arial" w:cs="Arial"/>
            <w:b/>
            <w:color w:val="000000"/>
            <w:sz w:val="24"/>
            <w:szCs w:val="24"/>
          </w:rPr>
          <w:t>39</w:t>
        </w:r>
      </w:hyperlink>
      <w:hyperlink r:id="rId192">
        <w:r>
          <w:rPr>
            <w:rFonts w:ascii="Arial" w:eastAsia="Arial" w:hAnsi="Arial" w:cs="Arial"/>
            <w:color w:val="000000"/>
            <w:sz w:val="24"/>
            <w:szCs w:val="24"/>
          </w:rPr>
          <w:t>, 783–791 (1985).</w:t>
        </w:r>
      </w:hyperlink>
    </w:p>
    <w:p w14:paraId="1532B014" w14:textId="77777777" w:rsidR="00E94238" w:rsidRDefault="00E94238">
      <w:pPr>
        <w:widowControl w:val="0"/>
        <w:spacing w:after="240" w:line="480" w:lineRule="auto"/>
        <w:ind w:left="480"/>
        <w:rPr>
          <w:rFonts w:ascii="Arial" w:eastAsia="Arial" w:hAnsi="Arial" w:cs="Arial"/>
        </w:rPr>
      </w:pPr>
    </w:p>
    <w:sectPr w:rsidR="00E94238">
      <w:footerReference w:type="default" r:id="rId193"/>
      <w:footerReference w:type="first" r:id="rId194"/>
      <w:pgSz w:w="12240" w:h="15840"/>
      <w:pgMar w:top="1440" w:right="1440" w:bottom="1440" w:left="144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276EC9E" w14:textId="77777777" w:rsidR="002C52FA" w:rsidRDefault="007402C1">
      <w:pPr>
        <w:spacing w:after="0" w:line="240" w:lineRule="auto"/>
      </w:pPr>
      <w:r>
        <w:separator/>
      </w:r>
    </w:p>
  </w:endnote>
  <w:endnote w:type="continuationSeparator" w:id="0">
    <w:p w14:paraId="74C95844" w14:textId="77777777" w:rsidR="002C52FA" w:rsidRDefault="007402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430408" w14:textId="77777777" w:rsidR="00E94238" w:rsidRDefault="007402C1">
    <w:pPr>
      <w:jc w:val="right"/>
    </w:pPr>
    <w:r>
      <w:fldChar w:fldCharType="begin"/>
    </w:r>
    <w:r>
      <w:instrText>PAGE</w:instrText>
    </w:r>
    <w:r>
      <w:fldChar w:fldCharType="separate"/>
    </w:r>
    <w:r>
      <w:rPr>
        <w:noProof/>
      </w:rP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AD76E78" w14:textId="77777777" w:rsidR="00E94238" w:rsidRDefault="00E9423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06CF89" w14:textId="77777777" w:rsidR="002C52FA" w:rsidRDefault="007402C1">
      <w:pPr>
        <w:spacing w:after="0" w:line="240" w:lineRule="auto"/>
      </w:pPr>
      <w:r>
        <w:separator/>
      </w:r>
    </w:p>
  </w:footnote>
  <w:footnote w:type="continuationSeparator" w:id="0">
    <w:p w14:paraId="5E69EBD4" w14:textId="77777777" w:rsidR="002C52FA" w:rsidRDefault="007402C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4238"/>
    <w:rsid w:val="002C52FA"/>
    <w:rsid w:val="007402C1"/>
    <w:rsid w:val="00E94238"/>
    <w:rsid w:val="00FE27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B0DD9"/>
  <w15:docId w15:val="{3C9C66C0-3EC2-4D63-BA9E-B366FF1EE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uiPriority w:val="9"/>
    <w:unhideWhenUsed/>
    <w:qFormat/>
    <w:pPr>
      <w:spacing w:line="240" w:lineRule="auto"/>
      <w:outlineLvl w:val="1"/>
    </w:pPr>
    <w:rPr>
      <w:rFonts w:ascii="Times New Roman" w:eastAsia="Times New Roman" w:hAnsi="Times New Roman" w:cs="Times New Roman"/>
      <w:b/>
      <w:sz w:val="36"/>
      <w:szCs w:val="36"/>
    </w:rPr>
  </w:style>
  <w:style w:type="paragraph" w:styleId="Heading3">
    <w:name w:val="heading 3"/>
    <w:basedOn w:val="Normal"/>
    <w:next w:val="Normal"/>
    <w:uiPriority w:val="9"/>
    <w:unhideWhenUsed/>
    <w:qFormat/>
    <w:pPr>
      <w:spacing w:line="240" w:lineRule="auto"/>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17" Type="http://schemas.openxmlformats.org/officeDocument/2006/relationships/hyperlink" Target="http://paperpile.com/b/gYGJnv/RfkOC" TargetMode="External"/><Relationship Id="rId21" Type="http://schemas.openxmlformats.org/officeDocument/2006/relationships/hyperlink" Target="https://docs.google.com/spreadsheets/d/15JOok8SPqtYuhMPaP15OmlV9Pr7XKU-SxVQqNFIsU-c/edit?usp=sharing" TargetMode="External"/><Relationship Id="rId42" Type="http://schemas.openxmlformats.org/officeDocument/2006/relationships/hyperlink" Target="http://paperpile.com/b/gYGJnv/BPgnr" TargetMode="External"/><Relationship Id="rId47" Type="http://schemas.openxmlformats.org/officeDocument/2006/relationships/hyperlink" Target="http://paperpile.com/b/gYGJnv/8c5SH" TargetMode="External"/><Relationship Id="rId63" Type="http://schemas.openxmlformats.org/officeDocument/2006/relationships/hyperlink" Target="http://paperpile.com/b/gYGJnv/i6CLy" TargetMode="External"/><Relationship Id="rId68" Type="http://schemas.openxmlformats.org/officeDocument/2006/relationships/hyperlink" Target="http://paperpile.com/b/gYGJnv/uinDN" TargetMode="External"/><Relationship Id="rId84" Type="http://schemas.openxmlformats.org/officeDocument/2006/relationships/hyperlink" Target="http://paperpile.com/b/gYGJnv/Sb2st" TargetMode="External"/><Relationship Id="rId89" Type="http://schemas.openxmlformats.org/officeDocument/2006/relationships/hyperlink" Target="http://paperpile.com/b/gYGJnv/q9bnZ" TargetMode="External"/><Relationship Id="rId112" Type="http://schemas.openxmlformats.org/officeDocument/2006/relationships/hyperlink" Target="http://paperpile.com/b/gYGJnv/RfkOC" TargetMode="External"/><Relationship Id="rId133" Type="http://schemas.openxmlformats.org/officeDocument/2006/relationships/hyperlink" Target="http://paperpile.com/b/gYGJnv/bMYh4" TargetMode="External"/><Relationship Id="rId138" Type="http://schemas.openxmlformats.org/officeDocument/2006/relationships/hyperlink" Target="http://paperpile.com/b/gYGJnv/KoCIy" TargetMode="External"/><Relationship Id="rId154" Type="http://schemas.openxmlformats.org/officeDocument/2006/relationships/hyperlink" Target="http://paperpile.com/b/gYGJnv/Lq7Dt" TargetMode="External"/><Relationship Id="rId159" Type="http://schemas.openxmlformats.org/officeDocument/2006/relationships/hyperlink" Target="http://paperpile.com/b/gYGJnv/Lq7Dt" TargetMode="External"/><Relationship Id="rId175" Type="http://schemas.openxmlformats.org/officeDocument/2006/relationships/hyperlink" Target="http://paperpile.com/b/gYGJnv/J1uAr" TargetMode="External"/><Relationship Id="rId170" Type="http://schemas.openxmlformats.org/officeDocument/2006/relationships/hyperlink" Target="http://paperpile.com/b/gYGJnv/0Pduj" TargetMode="External"/><Relationship Id="rId191" Type="http://schemas.openxmlformats.org/officeDocument/2006/relationships/hyperlink" Target="http://paperpile.com/b/gYGJnv/zhP4W" TargetMode="External"/><Relationship Id="rId196" Type="http://schemas.openxmlformats.org/officeDocument/2006/relationships/theme" Target="theme/theme1.xml"/><Relationship Id="rId16" Type="http://schemas.openxmlformats.org/officeDocument/2006/relationships/hyperlink" Target="https://paperpile.com/c/gYGJnv/rmwKI" TargetMode="External"/><Relationship Id="rId107" Type="http://schemas.openxmlformats.org/officeDocument/2006/relationships/hyperlink" Target="http://paperpile.com/b/gYGJnv/ocenq" TargetMode="External"/><Relationship Id="rId11" Type="http://schemas.openxmlformats.org/officeDocument/2006/relationships/hyperlink" Target="https://paperpile.com/c/gYGJnv/bIrvh" TargetMode="External"/><Relationship Id="rId32" Type="http://schemas.openxmlformats.org/officeDocument/2006/relationships/hyperlink" Target="https://paperpile.com/c/gYGJnv/RXmAD" TargetMode="External"/><Relationship Id="rId37" Type="http://schemas.openxmlformats.org/officeDocument/2006/relationships/hyperlink" Target="https://paperpile.com/c/gYGJnv/9oWPS" TargetMode="External"/><Relationship Id="rId53" Type="http://schemas.openxmlformats.org/officeDocument/2006/relationships/hyperlink" Target="http://paperpile.com/b/gYGJnv/VYbh9" TargetMode="External"/><Relationship Id="rId58" Type="http://schemas.openxmlformats.org/officeDocument/2006/relationships/hyperlink" Target="http://paperpile.com/b/gYGJnv/VYbh9" TargetMode="External"/><Relationship Id="rId74" Type="http://schemas.openxmlformats.org/officeDocument/2006/relationships/hyperlink" Target="http://paperpile.com/b/gYGJnv/bIrvh" TargetMode="External"/><Relationship Id="rId79" Type="http://schemas.openxmlformats.org/officeDocument/2006/relationships/hyperlink" Target="http://paperpile.com/b/gYGJnv/Sb2st" TargetMode="External"/><Relationship Id="rId102" Type="http://schemas.openxmlformats.org/officeDocument/2006/relationships/hyperlink" Target="http://paperpile.com/b/gYGJnv/rmwKI" TargetMode="External"/><Relationship Id="rId123" Type="http://schemas.openxmlformats.org/officeDocument/2006/relationships/hyperlink" Target="http://paperpile.com/b/gYGJnv/NAmqG" TargetMode="External"/><Relationship Id="rId128" Type="http://schemas.openxmlformats.org/officeDocument/2006/relationships/hyperlink" Target="http://paperpile.com/b/gYGJnv/ilWi2" TargetMode="External"/><Relationship Id="rId144" Type="http://schemas.openxmlformats.org/officeDocument/2006/relationships/hyperlink" Target="http://paperpile.com/b/gYGJnv/2irh0" TargetMode="External"/><Relationship Id="rId149" Type="http://schemas.openxmlformats.org/officeDocument/2006/relationships/hyperlink" Target="http://paperpile.com/b/gYGJnv/QxlPF" TargetMode="External"/><Relationship Id="rId5" Type="http://schemas.openxmlformats.org/officeDocument/2006/relationships/endnotes" Target="endnotes.xml"/><Relationship Id="rId90" Type="http://schemas.openxmlformats.org/officeDocument/2006/relationships/hyperlink" Target="http://paperpile.com/b/gYGJnv/q9bnZ" TargetMode="External"/><Relationship Id="rId95" Type="http://schemas.openxmlformats.org/officeDocument/2006/relationships/hyperlink" Target="http://paperpile.com/b/gYGJnv/WfuRe" TargetMode="External"/><Relationship Id="rId160" Type="http://schemas.openxmlformats.org/officeDocument/2006/relationships/hyperlink" Target="http://paperpile.com/b/gYGJnv/Lq7Dt" TargetMode="External"/><Relationship Id="rId165" Type="http://schemas.openxmlformats.org/officeDocument/2006/relationships/hyperlink" Target="http://paperpile.com/b/gYGJnv/RXmAD" TargetMode="External"/><Relationship Id="rId181" Type="http://schemas.openxmlformats.org/officeDocument/2006/relationships/hyperlink" Target="http://paperpile.com/b/gYGJnv/J1uAr" TargetMode="External"/><Relationship Id="rId186" Type="http://schemas.openxmlformats.org/officeDocument/2006/relationships/hyperlink" Target="http://paperpile.com/b/gYGJnv/Damte" TargetMode="External"/><Relationship Id="rId22" Type="http://schemas.openxmlformats.org/officeDocument/2006/relationships/hyperlink" Target="https://urldefense.proofpoint.com/v2/url?u=https-3A__github.com_nygenome_telomeasure&amp;d=DwMGaQ&amp;c=eRAMFD45gAfqt84VtBcfhQ&amp;r=0WzuUjHRb_7OtZluDbdxNC0hxNGO413WcZzanjX1ZXg&amp;m=5pSEPYTB5eQwNtiyi2gAeQe2Q84neV7WvOMtnZ5RNVQ&amp;s=PZZ9yveLqCO81rNMQaqRF-V8zJ2PKp8VbMuETVNpgrU&amp;e=" TargetMode="External"/><Relationship Id="rId27" Type="http://schemas.openxmlformats.org/officeDocument/2006/relationships/hyperlink" Target="https://paperpile.com/c/gYGJnv/2irh0" TargetMode="External"/><Relationship Id="rId43" Type="http://schemas.openxmlformats.org/officeDocument/2006/relationships/hyperlink" Target="http://paperpile.com/b/gYGJnv/BPgnr" TargetMode="External"/><Relationship Id="rId48" Type="http://schemas.openxmlformats.org/officeDocument/2006/relationships/hyperlink" Target="http://paperpile.com/b/gYGJnv/8c5SH" TargetMode="External"/><Relationship Id="rId64" Type="http://schemas.openxmlformats.org/officeDocument/2006/relationships/hyperlink" Target="http://paperpile.com/b/gYGJnv/i6CLy" TargetMode="External"/><Relationship Id="rId69" Type="http://schemas.openxmlformats.org/officeDocument/2006/relationships/hyperlink" Target="http://paperpile.com/b/gYGJnv/uinDN" TargetMode="External"/><Relationship Id="rId113" Type="http://schemas.openxmlformats.org/officeDocument/2006/relationships/hyperlink" Target="http://paperpile.com/b/gYGJnv/RfkOC" TargetMode="External"/><Relationship Id="rId118" Type="http://schemas.openxmlformats.org/officeDocument/2006/relationships/hyperlink" Target="http://paperpile.com/b/gYGJnv/NAmqG" TargetMode="External"/><Relationship Id="rId134" Type="http://schemas.openxmlformats.org/officeDocument/2006/relationships/hyperlink" Target="http://paperpile.com/b/gYGJnv/bMYh4" TargetMode="External"/><Relationship Id="rId139" Type="http://schemas.openxmlformats.org/officeDocument/2006/relationships/hyperlink" Target="http://paperpile.com/b/gYGJnv/KoCIy" TargetMode="External"/><Relationship Id="rId80" Type="http://schemas.openxmlformats.org/officeDocument/2006/relationships/hyperlink" Target="http://paperpile.com/b/gYGJnv/Sb2st" TargetMode="External"/><Relationship Id="rId85" Type="http://schemas.openxmlformats.org/officeDocument/2006/relationships/hyperlink" Target="http://paperpile.com/b/gYGJnv/q9bnZ" TargetMode="External"/><Relationship Id="rId150" Type="http://schemas.openxmlformats.org/officeDocument/2006/relationships/hyperlink" Target="http://paperpile.com/b/gYGJnv/QxlPF" TargetMode="External"/><Relationship Id="rId155" Type="http://schemas.openxmlformats.org/officeDocument/2006/relationships/hyperlink" Target="http://paperpile.com/b/gYGJnv/Lq7Dt" TargetMode="External"/><Relationship Id="rId171" Type="http://schemas.openxmlformats.org/officeDocument/2006/relationships/hyperlink" Target="http://paperpile.com/b/gYGJnv/0Pduj" TargetMode="External"/><Relationship Id="rId176" Type="http://schemas.openxmlformats.org/officeDocument/2006/relationships/hyperlink" Target="http://paperpile.com/b/gYGJnv/J1uAr" TargetMode="External"/><Relationship Id="rId192" Type="http://schemas.openxmlformats.org/officeDocument/2006/relationships/hyperlink" Target="http://paperpile.com/b/gYGJnv/zhP4W" TargetMode="External"/><Relationship Id="rId12" Type="http://schemas.openxmlformats.org/officeDocument/2006/relationships/hyperlink" Target="https://paperpile.com/c/gYGJnv/BPgnr" TargetMode="External"/><Relationship Id="rId17" Type="http://schemas.openxmlformats.org/officeDocument/2006/relationships/hyperlink" Target="https://paperpile.com/c/gYGJnv/ocenq" TargetMode="External"/><Relationship Id="rId33" Type="http://schemas.openxmlformats.org/officeDocument/2006/relationships/hyperlink" Target="https://paperpile.com/c/gYGJnv/RXmAD" TargetMode="External"/><Relationship Id="rId38" Type="http://schemas.openxmlformats.org/officeDocument/2006/relationships/hyperlink" Target="https://paperpile.com/c/gYGJnv/Damte" TargetMode="External"/><Relationship Id="rId59" Type="http://schemas.openxmlformats.org/officeDocument/2006/relationships/hyperlink" Target="http://paperpile.com/b/gYGJnv/i6CLy" TargetMode="External"/><Relationship Id="rId103" Type="http://schemas.openxmlformats.org/officeDocument/2006/relationships/hyperlink" Target="http://paperpile.com/b/gYGJnv/rmwKI" TargetMode="External"/><Relationship Id="rId108" Type="http://schemas.openxmlformats.org/officeDocument/2006/relationships/hyperlink" Target="http://paperpile.com/b/gYGJnv/ocenq" TargetMode="External"/><Relationship Id="rId124" Type="http://schemas.openxmlformats.org/officeDocument/2006/relationships/hyperlink" Target="http://paperpile.com/b/gYGJnv/NAmqG" TargetMode="External"/><Relationship Id="rId129" Type="http://schemas.openxmlformats.org/officeDocument/2006/relationships/hyperlink" Target="http://paperpile.com/b/gYGJnv/ilWi2" TargetMode="External"/><Relationship Id="rId54" Type="http://schemas.openxmlformats.org/officeDocument/2006/relationships/hyperlink" Target="http://paperpile.com/b/gYGJnv/VYbh9" TargetMode="External"/><Relationship Id="rId70" Type="http://schemas.openxmlformats.org/officeDocument/2006/relationships/hyperlink" Target="http://paperpile.com/b/gYGJnv/uinDN" TargetMode="External"/><Relationship Id="rId75" Type="http://schemas.openxmlformats.org/officeDocument/2006/relationships/hyperlink" Target="http://paperpile.com/b/gYGJnv/bIrvh" TargetMode="External"/><Relationship Id="rId91" Type="http://schemas.openxmlformats.org/officeDocument/2006/relationships/hyperlink" Target="http://paperpile.com/b/gYGJnv/q9bnZ" TargetMode="External"/><Relationship Id="rId96" Type="http://schemas.openxmlformats.org/officeDocument/2006/relationships/hyperlink" Target="http://paperpile.com/b/gYGJnv/WfuRe" TargetMode="External"/><Relationship Id="rId140" Type="http://schemas.openxmlformats.org/officeDocument/2006/relationships/hyperlink" Target="http://paperpile.com/b/gYGJnv/KoCIy" TargetMode="External"/><Relationship Id="rId145" Type="http://schemas.openxmlformats.org/officeDocument/2006/relationships/hyperlink" Target="http://paperpile.com/b/gYGJnv/2irh0" TargetMode="External"/><Relationship Id="rId161" Type="http://schemas.openxmlformats.org/officeDocument/2006/relationships/hyperlink" Target="http://paperpile.com/b/gYGJnv/RXmAD" TargetMode="External"/><Relationship Id="rId166" Type="http://schemas.openxmlformats.org/officeDocument/2006/relationships/hyperlink" Target="http://paperpile.com/b/gYGJnv/RXmAD" TargetMode="External"/><Relationship Id="rId182" Type="http://schemas.openxmlformats.org/officeDocument/2006/relationships/hyperlink" Target="http://paperpile.com/b/gYGJnv/9oWPS" TargetMode="External"/><Relationship Id="rId187" Type="http://schemas.openxmlformats.org/officeDocument/2006/relationships/hyperlink" Target="http://paperpile.com/b/gYGJnv/Damte" TargetMode="External"/><Relationship Id="rId1" Type="http://schemas.openxmlformats.org/officeDocument/2006/relationships/styles" Target="styles.xml"/><Relationship Id="rId6" Type="http://schemas.openxmlformats.org/officeDocument/2006/relationships/hyperlink" Target="https://paperpile.com/c/gYGJnv/BPgnr" TargetMode="External"/><Relationship Id="rId23" Type="http://schemas.openxmlformats.org/officeDocument/2006/relationships/hyperlink" Target="https://paperpile.com/c/gYGJnv/ilWi2" TargetMode="External"/><Relationship Id="rId28" Type="http://schemas.openxmlformats.org/officeDocument/2006/relationships/hyperlink" Target="https://paperpile.com/c/gYGJnv/QxlPF" TargetMode="External"/><Relationship Id="rId49" Type="http://schemas.openxmlformats.org/officeDocument/2006/relationships/hyperlink" Target="http://paperpile.com/b/gYGJnv/8c5SH" TargetMode="External"/><Relationship Id="rId114" Type="http://schemas.openxmlformats.org/officeDocument/2006/relationships/hyperlink" Target="http://paperpile.com/b/gYGJnv/RfkOC" TargetMode="External"/><Relationship Id="rId119" Type="http://schemas.openxmlformats.org/officeDocument/2006/relationships/hyperlink" Target="http://paperpile.com/b/gYGJnv/NAmqG" TargetMode="External"/><Relationship Id="rId44" Type="http://schemas.openxmlformats.org/officeDocument/2006/relationships/hyperlink" Target="http://paperpile.com/b/gYGJnv/BPgnr" TargetMode="External"/><Relationship Id="rId60" Type="http://schemas.openxmlformats.org/officeDocument/2006/relationships/hyperlink" Target="http://paperpile.com/b/gYGJnv/i6CLy" TargetMode="External"/><Relationship Id="rId65" Type="http://schemas.openxmlformats.org/officeDocument/2006/relationships/hyperlink" Target="http://paperpile.com/b/gYGJnv/i6CLy" TargetMode="External"/><Relationship Id="rId81" Type="http://schemas.openxmlformats.org/officeDocument/2006/relationships/hyperlink" Target="http://paperpile.com/b/gYGJnv/Sb2st" TargetMode="External"/><Relationship Id="rId86" Type="http://schemas.openxmlformats.org/officeDocument/2006/relationships/hyperlink" Target="http://paperpile.com/b/gYGJnv/q9bnZ" TargetMode="External"/><Relationship Id="rId130" Type="http://schemas.openxmlformats.org/officeDocument/2006/relationships/hyperlink" Target="http://paperpile.com/b/gYGJnv/bMYh4" TargetMode="External"/><Relationship Id="rId135" Type="http://schemas.openxmlformats.org/officeDocument/2006/relationships/hyperlink" Target="http://paperpile.com/b/gYGJnv/bMYh4" TargetMode="External"/><Relationship Id="rId151" Type="http://schemas.openxmlformats.org/officeDocument/2006/relationships/hyperlink" Target="http://paperpile.com/b/gYGJnv/QxlPF" TargetMode="External"/><Relationship Id="rId156" Type="http://schemas.openxmlformats.org/officeDocument/2006/relationships/hyperlink" Target="http://paperpile.com/b/gYGJnv/Lq7Dt" TargetMode="External"/><Relationship Id="rId177" Type="http://schemas.openxmlformats.org/officeDocument/2006/relationships/hyperlink" Target="http://paperpile.com/b/gYGJnv/J1uAr" TargetMode="External"/><Relationship Id="rId172" Type="http://schemas.openxmlformats.org/officeDocument/2006/relationships/hyperlink" Target="http://paperpile.com/b/gYGJnv/0Pduj" TargetMode="External"/><Relationship Id="rId193" Type="http://schemas.openxmlformats.org/officeDocument/2006/relationships/footer" Target="footer1.xml"/><Relationship Id="rId13" Type="http://schemas.openxmlformats.org/officeDocument/2006/relationships/hyperlink" Target="https://paperpile.com/c/gYGJnv/Sb2st" TargetMode="External"/><Relationship Id="rId18" Type="http://schemas.openxmlformats.org/officeDocument/2006/relationships/hyperlink" Target="https://paperpile.com/c/gYGJnv/RfkOC" TargetMode="External"/><Relationship Id="rId39" Type="http://schemas.openxmlformats.org/officeDocument/2006/relationships/hyperlink" Target="https://paperpile.com/c/gYGJnv/zhP4W" TargetMode="External"/><Relationship Id="rId109" Type="http://schemas.openxmlformats.org/officeDocument/2006/relationships/hyperlink" Target="http://paperpile.com/b/gYGJnv/ocenq" TargetMode="External"/><Relationship Id="rId34" Type="http://schemas.openxmlformats.org/officeDocument/2006/relationships/hyperlink" Target="https://paperpile.com/c/gYGJnv/0Pduj" TargetMode="External"/><Relationship Id="rId50" Type="http://schemas.openxmlformats.org/officeDocument/2006/relationships/hyperlink" Target="http://paperpile.com/b/gYGJnv/8c5SH" TargetMode="External"/><Relationship Id="rId55" Type="http://schemas.openxmlformats.org/officeDocument/2006/relationships/hyperlink" Target="http://paperpile.com/b/gYGJnv/VYbh9" TargetMode="External"/><Relationship Id="rId76" Type="http://schemas.openxmlformats.org/officeDocument/2006/relationships/hyperlink" Target="http://paperpile.com/b/gYGJnv/bIrvh" TargetMode="External"/><Relationship Id="rId97" Type="http://schemas.openxmlformats.org/officeDocument/2006/relationships/hyperlink" Target="http://paperpile.com/b/gYGJnv/WfuRe" TargetMode="External"/><Relationship Id="rId104" Type="http://schemas.openxmlformats.org/officeDocument/2006/relationships/hyperlink" Target="http://paperpile.com/b/gYGJnv/ocenq" TargetMode="External"/><Relationship Id="rId120" Type="http://schemas.openxmlformats.org/officeDocument/2006/relationships/hyperlink" Target="http://paperpile.com/b/gYGJnv/NAmqG" TargetMode="External"/><Relationship Id="rId125" Type="http://schemas.openxmlformats.org/officeDocument/2006/relationships/hyperlink" Target="http://paperpile.com/b/gYGJnv/ilWi2" TargetMode="External"/><Relationship Id="rId141" Type="http://schemas.openxmlformats.org/officeDocument/2006/relationships/hyperlink" Target="http://paperpile.com/b/gYGJnv/KoCIy" TargetMode="External"/><Relationship Id="rId146" Type="http://schemas.openxmlformats.org/officeDocument/2006/relationships/hyperlink" Target="http://paperpile.com/b/gYGJnv/2irh0" TargetMode="External"/><Relationship Id="rId167" Type="http://schemas.openxmlformats.org/officeDocument/2006/relationships/hyperlink" Target="http://paperpile.com/b/gYGJnv/RXmAD" TargetMode="External"/><Relationship Id="rId188" Type="http://schemas.openxmlformats.org/officeDocument/2006/relationships/hyperlink" Target="http://paperpile.com/b/gYGJnv/zhP4W" TargetMode="External"/><Relationship Id="rId7" Type="http://schemas.openxmlformats.org/officeDocument/2006/relationships/hyperlink" Target="https://paperpile.com/c/gYGJnv/8c5SH" TargetMode="External"/><Relationship Id="rId71" Type="http://schemas.openxmlformats.org/officeDocument/2006/relationships/hyperlink" Target="http://paperpile.com/b/gYGJnv/uinDN" TargetMode="External"/><Relationship Id="rId92" Type="http://schemas.openxmlformats.org/officeDocument/2006/relationships/hyperlink" Target="http://paperpile.com/b/gYGJnv/WfuRe" TargetMode="External"/><Relationship Id="rId162" Type="http://schemas.openxmlformats.org/officeDocument/2006/relationships/hyperlink" Target="http://paperpile.com/b/gYGJnv/RXmAD" TargetMode="External"/><Relationship Id="rId183" Type="http://schemas.openxmlformats.org/officeDocument/2006/relationships/hyperlink" Target="http://paperpile.com/b/gYGJnv/9oWPS" TargetMode="External"/><Relationship Id="rId2" Type="http://schemas.openxmlformats.org/officeDocument/2006/relationships/settings" Target="settings.xml"/><Relationship Id="rId29" Type="http://schemas.openxmlformats.org/officeDocument/2006/relationships/hyperlink" Target="https://paperpile.com/c/gYGJnv/Lq7Dt" TargetMode="External"/><Relationship Id="rId24" Type="http://schemas.openxmlformats.org/officeDocument/2006/relationships/image" Target="media/image1.png"/><Relationship Id="rId40" Type="http://schemas.openxmlformats.org/officeDocument/2006/relationships/hyperlink" Target="http://paperpile.com/b/gYGJnv/BPgnr" TargetMode="External"/><Relationship Id="rId45" Type="http://schemas.openxmlformats.org/officeDocument/2006/relationships/hyperlink" Target="http://paperpile.com/b/gYGJnv/BPgnr" TargetMode="External"/><Relationship Id="rId66" Type="http://schemas.openxmlformats.org/officeDocument/2006/relationships/hyperlink" Target="http://paperpile.com/b/gYGJnv/uinDN" TargetMode="External"/><Relationship Id="rId87" Type="http://schemas.openxmlformats.org/officeDocument/2006/relationships/hyperlink" Target="http://paperpile.com/b/gYGJnv/q9bnZ" TargetMode="External"/><Relationship Id="rId110" Type="http://schemas.openxmlformats.org/officeDocument/2006/relationships/hyperlink" Target="http://paperpile.com/b/gYGJnv/ocenq" TargetMode="External"/><Relationship Id="rId115" Type="http://schemas.openxmlformats.org/officeDocument/2006/relationships/hyperlink" Target="http://paperpile.com/b/gYGJnv/RfkOC" TargetMode="External"/><Relationship Id="rId131" Type="http://schemas.openxmlformats.org/officeDocument/2006/relationships/hyperlink" Target="http://paperpile.com/b/gYGJnv/bMYh4" TargetMode="External"/><Relationship Id="rId136" Type="http://schemas.openxmlformats.org/officeDocument/2006/relationships/hyperlink" Target="http://paperpile.com/b/gYGJnv/bMYh4" TargetMode="External"/><Relationship Id="rId157" Type="http://schemas.openxmlformats.org/officeDocument/2006/relationships/hyperlink" Target="http://paperpile.com/b/gYGJnv/Lq7Dt" TargetMode="External"/><Relationship Id="rId178" Type="http://schemas.openxmlformats.org/officeDocument/2006/relationships/hyperlink" Target="http://paperpile.com/b/gYGJnv/J1uAr" TargetMode="External"/><Relationship Id="rId61" Type="http://schemas.openxmlformats.org/officeDocument/2006/relationships/hyperlink" Target="http://paperpile.com/b/gYGJnv/i6CLy" TargetMode="External"/><Relationship Id="rId82" Type="http://schemas.openxmlformats.org/officeDocument/2006/relationships/hyperlink" Target="http://paperpile.com/b/gYGJnv/Sb2st" TargetMode="External"/><Relationship Id="rId152" Type="http://schemas.openxmlformats.org/officeDocument/2006/relationships/hyperlink" Target="http://paperpile.com/b/gYGJnv/QxlPF" TargetMode="External"/><Relationship Id="rId173" Type="http://schemas.openxmlformats.org/officeDocument/2006/relationships/hyperlink" Target="http://paperpile.com/b/gYGJnv/0Pduj" TargetMode="External"/><Relationship Id="rId194" Type="http://schemas.openxmlformats.org/officeDocument/2006/relationships/footer" Target="footer2.xml"/><Relationship Id="rId19" Type="http://schemas.openxmlformats.org/officeDocument/2006/relationships/hyperlink" Target="https://paperpile.com/c/gYGJnv/uinDN" TargetMode="External"/><Relationship Id="rId14" Type="http://schemas.openxmlformats.org/officeDocument/2006/relationships/hyperlink" Target="https://paperpile.com/c/gYGJnv/q9bnZ" TargetMode="External"/><Relationship Id="rId30" Type="http://schemas.openxmlformats.org/officeDocument/2006/relationships/hyperlink" Target="https://paperpile.com/c/gYGJnv/uinDN" TargetMode="External"/><Relationship Id="rId35" Type="http://schemas.openxmlformats.org/officeDocument/2006/relationships/hyperlink" Target="https://paperpile.com/c/gYGJnv/J1uAr" TargetMode="External"/><Relationship Id="rId56" Type="http://schemas.openxmlformats.org/officeDocument/2006/relationships/hyperlink" Target="http://paperpile.com/b/gYGJnv/VYbh9" TargetMode="External"/><Relationship Id="rId77" Type="http://schemas.openxmlformats.org/officeDocument/2006/relationships/hyperlink" Target="http://paperpile.com/b/gYGJnv/bIrvh" TargetMode="External"/><Relationship Id="rId100" Type="http://schemas.openxmlformats.org/officeDocument/2006/relationships/hyperlink" Target="http://paperpile.com/b/gYGJnv/rmwKI" TargetMode="External"/><Relationship Id="rId105" Type="http://schemas.openxmlformats.org/officeDocument/2006/relationships/hyperlink" Target="http://paperpile.com/b/gYGJnv/ocenq" TargetMode="External"/><Relationship Id="rId126" Type="http://schemas.openxmlformats.org/officeDocument/2006/relationships/hyperlink" Target="http://paperpile.com/b/gYGJnv/ilWi2" TargetMode="External"/><Relationship Id="rId147" Type="http://schemas.openxmlformats.org/officeDocument/2006/relationships/hyperlink" Target="http://paperpile.com/b/gYGJnv/2irh0" TargetMode="External"/><Relationship Id="rId168" Type="http://schemas.openxmlformats.org/officeDocument/2006/relationships/hyperlink" Target="http://paperpile.com/b/gYGJnv/0Pduj" TargetMode="External"/><Relationship Id="rId8" Type="http://schemas.openxmlformats.org/officeDocument/2006/relationships/hyperlink" Target="https://paperpile.com/c/gYGJnv/VYbh9" TargetMode="External"/><Relationship Id="rId51" Type="http://schemas.openxmlformats.org/officeDocument/2006/relationships/hyperlink" Target="http://paperpile.com/b/gYGJnv/8c5SH" TargetMode="External"/><Relationship Id="rId72" Type="http://schemas.openxmlformats.org/officeDocument/2006/relationships/hyperlink" Target="http://paperpile.com/b/gYGJnv/uinDN" TargetMode="External"/><Relationship Id="rId93" Type="http://schemas.openxmlformats.org/officeDocument/2006/relationships/hyperlink" Target="http://paperpile.com/b/gYGJnv/WfuRe" TargetMode="External"/><Relationship Id="rId98" Type="http://schemas.openxmlformats.org/officeDocument/2006/relationships/hyperlink" Target="http://paperpile.com/b/gYGJnv/WfuRe" TargetMode="External"/><Relationship Id="rId121" Type="http://schemas.openxmlformats.org/officeDocument/2006/relationships/hyperlink" Target="http://paperpile.com/b/gYGJnv/NAmqG" TargetMode="External"/><Relationship Id="rId142" Type="http://schemas.openxmlformats.org/officeDocument/2006/relationships/hyperlink" Target="http://paperpile.com/b/gYGJnv/KoCIy" TargetMode="External"/><Relationship Id="rId163" Type="http://schemas.openxmlformats.org/officeDocument/2006/relationships/hyperlink" Target="http://paperpile.com/b/gYGJnv/RXmAD" TargetMode="External"/><Relationship Id="rId184" Type="http://schemas.openxmlformats.org/officeDocument/2006/relationships/hyperlink" Target="http://paperpile.com/b/gYGJnv/9oWPS" TargetMode="External"/><Relationship Id="rId189" Type="http://schemas.openxmlformats.org/officeDocument/2006/relationships/hyperlink" Target="http://paperpile.com/b/gYGJnv/zhP4W" TargetMode="External"/><Relationship Id="rId3" Type="http://schemas.openxmlformats.org/officeDocument/2006/relationships/webSettings" Target="webSettings.xml"/><Relationship Id="rId25" Type="http://schemas.openxmlformats.org/officeDocument/2006/relationships/hyperlink" Target="https://paperpile.com/c/gYGJnv/bMYh4" TargetMode="External"/><Relationship Id="rId46" Type="http://schemas.openxmlformats.org/officeDocument/2006/relationships/hyperlink" Target="http://paperpile.com/b/gYGJnv/BPgnr" TargetMode="External"/><Relationship Id="rId67" Type="http://schemas.openxmlformats.org/officeDocument/2006/relationships/hyperlink" Target="http://paperpile.com/b/gYGJnv/uinDN" TargetMode="External"/><Relationship Id="rId116" Type="http://schemas.openxmlformats.org/officeDocument/2006/relationships/hyperlink" Target="http://paperpile.com/b/gYGJnv/RfkOC" TargetMode="External"/><Relationship Id="rId137" Type="http://schemas.openxmlformats.org/officeDocument/2006/relationships/hyperlink" Target="http://paperpile.com/b/gYGJnv/KoCIy" TargetMode="External"/><Relationship Id="rId158" Type="http://schemas.openxmlformats.org/officeDocument/2006/relationships/hyperlink" Target="http://paperpile.com/b/gYGJnv/Lq7Dt" TargetMode="External"/><Relationship Id="rId20" Type="http://schemas.openxmlformats.org/officeDocument/2006/relationships/hyperlink" Target="https://paperpile.com/c/gYGJnv/NAmqG" TargetMode="External"/><Relationship Id="rId41" Type="http://schemas.openxmlformats.org/officeDocument/2006/relationships/hyperlink" Target="http://paperpile.com/b/gYGJnv/BPgnr" TargetMode="External"/><Relationship Id="rId62" Type="http://schemas.openxmlformats.org/officeDocument/2006/relationships/hyperlink" Target="http://paperpile.com/b/gYGJnv/i6CLy" TargetMode="External"/><Relationship Id="rId83" Type="http://schemas.openxmlformats.org/officeDocument/2006/relationships/hyperlink" Target="http://paperpile.com/b/gYGJnv/Sb2st" TargetMode="External"/><Relationship Id="rId88" Type="http://schemas.openxmlformats.org/officeDocument/2006/relationships/hyperlink" Target="http://paperpile.com/b/gYGJnv/q9bnZ" TargetMode="External"/><Relationship Id="rId111" Type="http://schemas.openxmlformats.org/officeDocument/2006/relationships/hyperlink" Target="http://paperpile.com/b/gYGJnv/RfkOC" TargetMode="External"/><Relationship Id="rId132" Type="http://schemas.openxmlformats.org/officeDocument/2006/relationships/hyperlink" Target="http://paperpile.com/b/gYGJnv/bMYh4" TargetMode="External"/><Relationship Id="rId153" Type="http://schemas.openxmlformats.org/officeDocument/2006/relationships/hyperlink" Target="http://paperpile.com/b/gYGJnv/QxlPF" TargetMode="External"/><Relationship Id="rId174" Type="http://schemas.openxmlformats.org/officeDocument/2006/relationships/hyperlink" Target="http://paperpile.com/b/gYGJnv/0Pduj" TargetMode="External"/><Relationship Id="rId179" Type="http://schemas.openxmlformats.org/officeDocument/2006/relationships/hyperlink" Target="http://paperpile.com/b/gYGJnv/J1uAr" TargetMode="External"/><Relationship Id="rId195" Type="http://schemas.openxmlformats.org/officeDocument/2006/relationships/fontTable" Target="fontTable.xml"/><Relationship Id="rId190" Type="http://schemas.openxmlformats.org/officeDocument/2006/relationships/hyperlink" Target="http://paperpile.com/b/gYGJnv/zhP4W" TargetMode="External"/><Relationship Id="rId15" Type="http://schemas.openxmlformats.org/officeDocument/2006/relationships/hyperlink" Target="https://paperpile.com/c/gYGJnv/WfuRe" TargetMode="External"/><Relationship Id="rId36" Type="http://schemas.openxmlformats.org/officeDocument/2006/relationships/hyperlink" Target="https://paperpile.com/c/gYGJnv/0Pduj" TargetMode="External"/><Relationship Id="rId57" Type="http://schemas.openxmlformats.org/officeDocument/2006/relationships/hyperlink" Target="http://paperpile.com/b/gYGJnv/VYbh9" TargetMode="External"/><Relationship Id="rId106" Type="http://schemas.openxmlformats.org/officeDocument/2006/relationships/hyperlink" Target="http://paperpile.com/b/gYGJnv/ocenq" TargetMode="External"/><Relationship Id="rId127" Type="http://schemas.openxmlformats.org/officeDocument/2006/relationships/hyperlink" Target="http://paperpile.com/b/gYGJnv/ilWi2" TargetMode="External"/><Relationship Id="rId10" Type="http://schemas.openxmlformats.org/officeDocument/2006/relationships/hyperlink" Target="https://paperpile.com/c/gYGJnv/uinDN" TargetMode="External"/><Relationship Id="rId31" Type="http://schemas.openxmlformats.org/officeDocument/2006/relationships/hyperlink" Target="https://fredhutch-my.sharepoint.com/personal/pgal_fredhutch_org/Documents/Grp/Reid-WGS80/Manuscript/WGS80_CollaborateManuscript_V2.docx" TargetMode="External"/><Relationship Id="rId52" Type="http://schemas.openxmlformats.org/officeDocument/2006/relationships/hyperlink" Target="http://paperpile.com/b/gYGJnv/VYbh9" TargetMode="External"/><Relationship Id="rId73" Type="http://schemas.openxmlformats.org/officeDocument/2006/relationships/hyperlink" Target="http://paperpile.com/b/gYGJnv/bIrvh" TargetMode="External"/><Relationship Id="rId78" Type="http://schemas.openxmlformats.org/officeDocument/2006/relationships/hyperlink" Target="http://paperpile.com/b/gYGJnv/Sb2st" TargetMode="External"/><Relationship Id="rId94" Type="http://schemas.openxmlformats.org/officeDocument/2006/relationships/hyperlink" Target="http://paperpile.com/b/gYGJnv/WfuRe" TargetMode="External"/><Relationship Id="rId99" Type="http://schemas.openxmlformats.org/officeDocument/2006/relationships/hyperlink" Target="http://paperpile.com/b/gYGJnv/rmwKI" TargetMode="External"/><Relationship Id="rId101" Type="http://schemas.openxmlformats.org/officeDocument/2006/relationships/hyperlink" Target="http://paperpile.com/b/gYGJnv/rmwKI" TargetMode="External"/><Relationship Id="rId122" Type="http://schemas.openxmlformats.org/officeDocument/2006/relationships/hyperlink" Target="http://paperpile.com/b/gYGJnv/NAmqG" TargetMode="External"/><Relationship Id="rId143" Type="http://schemas.openxmlformats.org/officeDocument/2006/relationships/hyperlink" Target="http://paperpile.com/b/gYGJnv/KoCIy" TargetMode="External"/><Relationship Id="rId148" Type="http://schemas.openxmlformats.org/officeDocument/2006/relationships/hyperlink" Target="http://paperpile.com/b/gYGJnv/2irh0" TargetMode="External"/><Relationship Id="rId164" Type="http://schemas.openxmlformats.org/officeDocument/2006/relationships/hyperlink" Target="http://paperpile.com/b/gYGJnv/RXmAD" TargetMode="External"/><Relationship Id="rId169" Type="http://schemas.openxmlformats.org/officeDocument/2006/relationships/hyperlink" Target="http://paperpile.com/b/gYGJnv/0Pduj" TargetMode="External"/><Relationship Id="rId185" Type="http://schemas.openxmlformats.org/officeDocument/2006/relationships/hyperlink" Target="http://paperpile.com/b/gYGJnv/Damte" TargetMode="External"/><Relationship Id="rId4" Type="http://schemas.openxmlformats.org/officeDocument/2006/relationships/footnotes" Target="footnotes.xml"/><Relationship Id="rId9" Type="http://schemas.openxmlformats.org/officeDocument/2006/relationships/hyperlink" Target="https://paperpile.com/c/gYGJnv/i6CLy" TargetMode="External"/><Relationship Id="rId180" Type="http://schemas.openxmlformats.org/officeDocument/2006/relationships/hyperlink" Target="http://paperpile.com/b/gYGJnv/J1uAr" TargetMode="External"/><Relationship Id="rId26" Type="http://schemas.openxmlformats.org/officeDocument/2006/relationships/hyperlink" Target="https://paperpile.com/c/gYGJnv/KoCI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16</Pages>
  <Words>5138</Words>
  <Characters>29288</Characters>
  <Application>Microsoft Office Word</Application>
  <DocSecurity>0</DocSecurity>
  <Lines>244</Lines>
  <Paragraphs>68</Paragraphs>
  <ScaleCrop>false</ScaleCrop>
  <Company/>
  <LinksUpToDate>false</LinksUpToDate>
  <CharactersWithSpaces>34358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Paulson PhD, Thomas G</cp:lastModifiedBy>
  <cp:revision>3</cp:revision>
  <dcterms:created xsi:type="dcterms:W3CDTF">2021-02-19T05:50:00Z</dcterms:created>
  <dcterms:modified xsi:type="dcterms:W3CDTF">2021-02-19T18:40:00Z</dcterms:modified>
</cp:coreProperties>
</file>