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Arial" w:hAnsi="Arial" w:cs="Arial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Style w:val="5"/>
          <w:rFonts w:ascii="Arial" w:hAnsi="Arial" w:cs="Arial"/>
          <w:color w:val="000000" w:themeColor="text1"/>
          <w:sz w:val="36"/>
          <w:szCs w:val="36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Supplementary Materials</w:t>
      </w:r>
      <w:r>
        <w:rPr>
          <w:rStyle w:val="5"/>
          <w:rFonts w:ascii="Arial" w:hAnsi="Arial" w:cs="Arial"/>
          <w:color w:val="000000" w:themeColor="text1"/>
          <w:sz w:val="36"/>
          <w:szCs w:val="36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</w:p>
    <w:p>
      <w:pPr>
        <w:spacing w:before="100" w:beforeAutospacing="1" w:after="100" w:afterAutospacing="1"/>
        <w:ind w:firstLine="200" w:firstLineChars="100"/>
        <w:rPr>
          <w:rFonts w:ascii="Times New Roman" w:hAnsi="Times New Roman" w:eastAsia="Times New Roman" w:cs="Times New Roman"/>
          <w:kern w:val="0"/>
          <w:sz w:val="20"/>
          <w:szCs w:val="20"/>
        </w:rPr>
      </w:pPr>
      <w:r>
        <w:rPr>
          <w:rFonts w:hint="eastAsia" w:ascii="Times New Roman" w:hAnsi="Times New Roman" w:eastAsia="Times New Roman" w:cs="Times New Roman"/>
          <w:b/>
          <w:bCs/>
          <w:kern w:val="0"/>
          <w:sz w:val="20"/>
          <w:szCs w:val="20"/>
        </w:rPr>
        <w:t>Supplementary</w:t>
      </w:r>
      <w:r>
        <w:rPr>
          <w:rFonts w:hint="eastAsia" w:ascii="Times New Roman" w:hAnsi="Times New Roman" w:eastAsia="宋体" w:cs="Times New Roman"/>
          <w:b/>
          <w:bCs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Times New Roman" w:cs="Times New Roman"/>
          <w:b/>
          <w:bCs/>
          <w:kern w:val="0"/>
          <w:sz w:val="20"/>
          <w:szCs w:val="20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0"/>
          <w:sz w:val="20"/>
          <w:szCs w:val="20"/>
          <w:lang w:val="en-US" w:eastAsia="zh-CN"/>
        </w:rPr>
        <w:t>1</w:t>
      </w:r>
      <w:r>
        <w:rPr>
          <w:rFonts w:ascii="Times New Roman" w:hAnsi="Times New Roman" w:eastAsia="Times New Roman" w:cs="Times New Roman"/>
          <w:kern w:val="0"/>
          <w:sz w:val="20"/>
          <w:szCs w:val="20"/>
        </w:rPr>
        <w:t xml:space="preserve"> </w:t>
      </w:r>
      <w:r>
        <w:rPr>
          <w:rFonts w:hint="eastAsia" w:ascii="Times New Roman" w:hAnsi="Times New Roman" w:eastAsia="Times New Roman" w:cs="Times New Roman"/>
          <w:kern w:val="0"/>
          <w:sz w:val="20"/>
          <w:szCs w:val="20"/>
        </w:rPr>
        <w:t>Oligonucleotides used in this study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62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Gene N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  <w:t>ame</w:t>
            </w:r>
          </w:p>
        </w:tc>
        <w:tc>
          <w:tcPr>
            <w:tcW w:w="62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si-</w:t>
            </w: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</w:rPr>
              <w:t>TRAF5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_1</w:t>
            </w:r>
          </w:p>
          <w:p>
            <w:pPr>
              <w:spacing w:before="100" w:beforeAutospacing="1" w:after="100" w:afterAutospacing="1"/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i-</w:t>
            </w:r>
            <w:r>
              <w:rPr>
                <w:rFonts w:ascii="Times New Roman" w:hAnsi="Times New Roman" w:cs="Times New Roman" w:eastAsiaTheme="minorEastAsia"/>
                <w:i/>
                <w:iCs/>
                <w:kern w:val="0"/>
                <w:sz w:val="20"/>
                <w:szCs w:val="20"/>
              </w:rPr>
              <w:t>TRAF5</w:t>
            </w: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_2</w:t>
            </w:r>
          </w:p>
        </w:tc>
        <w:tc>
          <w:tcPr>
            <w:tcW w:w="6230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5′-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GAGAAGUCCUCAACUUAUA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3′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(Sense)</w:t>
            </w:r>
          </w:p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5′-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UAUAAGUUGAGGACUUCUC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3′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(Antisense)</w:t>
            </w:r>
          </w:p>
          <w:p>
            <w:pP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5′-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CAACCUGUGCAGUGUUCUA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3′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(Sense)</w:t>
            </w:r>
          </w:p>
          <w:p>
            <w:pP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5′-</w:t>
            </w: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UAGAACACUGCACAGGUUG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3′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(Antisense)</w:t>
            </w:r>
          </w:p>
        </w:tc>
      </w:tr>
    </w:tbl>
    <w:p>
      <w:pPr>
        <w:spacing w:before="100" w:beforeAutospacing="1" w:after="100" w:afterAutospacing="1"/>
        <w:rPr>
          <w:rFonts w:hint="eastAsia" w:ascii="Times New Roman" w:hAnsi="Times New Roman" w:eastAsia="Times New Roman" w:cs="Times New Roman"/>
          <w:b/>
          <w:bCs/>
          <w:kern w:val="0"/>
          <w:sz w:val="20"/>
          <w:szCs w:val="20"/>
        </w:rPr>
      </w:pPr>
    </w:p>
    <w:p>
      <w:pPr>
        <w:spacing w:before="100" w:beforeAutospacing="1" w:after="100" w:afterAutospacing="1"/>
        <w:ind w:firstLine="200" w:firstLineChars="100"/>
        <w:rPr>
          <w:rFonts w:ascii="Times New Roman" w:hAnsi="Times New Roman" w:eastAsia="Times New Roman" w:cs="Times New Roman"/>
          <w:kern w:val="0"/>
          <w:sz w:val="20"/>
          <w:szCs w:val="20"/>
        </w:rPr>
      </w:pPr>
      <w:r>
        <w:rPr>
          <w:rFonts w:hint="eastAsia" w:ascii="Times New Roman" w:hAnsi="Times New Roman" w:eastAsia="Times New Roman" w:cs="Times New Roman"/>
          <w:b/>
          <w:bCs/>
          <w:kern w:val="0"/>
          <w:sz w:val="20"/>
          <w:szCs w:val="20"/>
        </w:rPr>
        <w:t>Supplementary Table</w:t>
      </w:r>
      <w:r>
        <w:rPr>
          <w:rFonts w:hint="eastAsia" w:ascii="Times New Roman" w:hAnsi="Times New Roman" w:eastAsia="宋体" w:cs="Times New Roman"/>
          <w:b/>
          <w:bCs/>
          <w:kern w:val="0"/>
          <w:sz w:val="20"/>
          <w:szCs w:val="20"/>
          <w:lang w:val="en-US" w:eastAsia="zh-CN"/>
        </w:rPr>
        <w:t>2</w:t>
      </w:r>
      <w:r>
        <w:rPr>
          <w:rFonts w:ascii="Times New Roman" w:hAnsi="Times New Roman" w:eastAsia="Times New Roman" w:cs="Times New Roman"/>
          <w:kern w:val="0"/>
          <w:sz w:val="20"/>
          <w:szCs w:val="20"/>
        </w:rPr>
        <w:t xml:space="preserve"> Primer sequence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62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Gene N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  <w:t>ame</w:t>
            </w:r>
          </w:p>
        </w:tc>
        <w:tc>
          <w:tcPr>
            <w:tcW w:w="62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702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</w:rPr>
              <w:t>TRAF5</w:t>
            </w:r>
          </w:p>
        </w:tc>
        <w:tc>
          <w:tcPr>
            <w:tcW w:w="6230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5′-CAG TTG TTT GGC AAA AAT GGA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3′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(Sense)</w:t>
            </w:r>
          </w:p>
          <w:p>
            <w:pP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5′-CAA TGT GAC TGG CAA AAA CC-3′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(Antisense)</w:t>
            </w:r>
          </w:p>
        </w:tc>
      </w:tr>
    </w:tbl>
    <w:p>
      <w:pPr>
        <w:pBdr>
          <w:top w:val="none" w:color="auto" w:sz="0" w:space="0"/>
          <w:between w:val="none" w:color="auto" w:sz="0" w:space="0"/>
        </w:pBdr>
        <w:jc w:val="both"/>
        <w:rPr>
          <w:rFonts w:hint="eastAsia" w:ascii="Times New Roman" w:hAnsi="Times New Roman" w:eastAsia="Times New Roman" w:cs="Times New Roman"/>
          <w:b/>
          <w:bCs/>
          <w:kern w:val="0"/>
          <w:sz w:val="20"/>
          <w:szCs w:val="20"/>
        </w:rPr>
      </w:pPr>
    </w:p>
    <w:p>
      <w:pPr>
        <w:pBdr>
          <w:top w:val="none" w:color="auto" w:sz="0" w:space="0"/>
          <w:between w:val="none" w:color="auto" w:sz="0" w:space="0"/>
        </w:pBdr>
        <w:jc w:val="both"/>
        <w:rPr>
          <w:rFonts w:hint="eastAsia" w:ascii="Times New Roman" w:hAnsi="Times New Roman" w:cs="Times New Roman"/>
          <w:sz w:val="20"/>
          <w:szCs w:val="22"/>
          <w:lang w:val="en-US" w:eastAsia="zh-CN"/>
        </w:rPr>
      </w:pPr>
      <w:r>
        <w:rPr>
          <w:rFonts w:hint="eastAsia" w:ascii="Times New Roman" w:hAnsi="Times New Roman" w:eastAsia="Times New Roman" w:cs="Times New Roman"/>
          <w:b/>
          <w:bCs/>
          <w:kern w:val="0"/>
          <w:sz w:val="20"/>
          <w:szCs w:val="20"/>
        </w:rPr>
        <w:t>Supplementary Table</w:t>
      </w:r>
      <w:r>
        <w:rPr>
          <w:rFonts w:hint="eastAsia" w:ascii="Times New Roman" w:hAnsi="Times New Roman" w:eastAsia="宋体" w:cs="Times New Roman"/>
          <w:b/>
          <w:bCs/>
          <w:kern w:val="0"/>
          <w:sz w:val="20"/>
          <w:szCs w:val="20"/>
          <w:lang w:val="en-US" w:eastAsia="zh-CN"/>
        </w:rPr>
        <w:t xml:space="preserve"> 3 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GSEA data</w:t>
      </w:r>
    </w:p>
    <w:p>
      <w:pPr>
        <w:pBdr>
          <w:top w:val="none" w:color="auto" w:sz="0" w:space="0"/>
          <w:between w:val="none" w:color="auto" w:sz="0" w:space="0"/>
        </w:pBdr>
        <w:jc w:val="both"/>
        <w:rPr>
          <w:rFonts w:hint="default" w:ascii="Times New Roman" w:hAnsi="Times New Roman" w:cs="Times New Roman"/>
          <w:sz w:val="20"/>
          <w:szCs w:val="2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596"/>
        <w:gridCol w:w="1434"/>
        <w:gridCol w:w="1434"/>
        <w:gridCol w:w="1434"/>
        <w:gridCol w:w="127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05" w:type="dxa"/>
            <w:tcBorders>
              <w:bottom w:val="single" w:color="000000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ID</w:t>
            </w:r>
          </w:p>
        </w:tc>
        <w:tc>
          <w:tcPr>
            <w:tcW w:w="1596" w:type="dxa"/>
            <w:tcBorders>
              <w:bottom w:val="single" w:color="000000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Name</w:t>
            </w:r>
          </w:p>
        </w:tc>
        <w:tc>
          <w:tcPr>
            <w:tcW w:w="1434" w:type="dxa"/>
            <w:tcBorders>
              <w:bottom w:val="single" w:color="000000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NES</w:t>
            </w:r>
          </w:p>
        </w:tc>
        <w:tc>
          <w:tcPr>
            <w:tcW w:w="1434" w:type="dxa"/>
            <w:tcBorders>
              <w:bottom w:val="single" w:color="000000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  <w:tc>
          <w:tcPr>
            <w:tcW w:w="1434" w:type="dxa"/>
            <w:tcBorders>
              <w:bottom w:val="single" w:color="000000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FDR</w:t>
            </w:r>
          </w:p>
        </w:tc>
        <w:tc>
          <w:tcPr>
            <w:tcW w:w="1279" w:type="dxa"/>
            <w:tcBorders>
              <w:bottom w:val="single" w:color="000000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op w:val="single" w:color="000000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hsa04620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596" w:type="dxa"/>
            <w:tcBorders>
              <w:top w:val="single" w:color="000000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Toll-like receptor signaling pathway</w:t>
            </w:r>
          </w:p>
        </w:tc>
        <w:tc>
          <w:tcPr>
            <w:tcW w:w="1434" w:type="dxa"/>
            <w:tcBorders>
              <w:top w:val="single" w:color="000000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0.581979814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434" w:type="dxa"/>
            <w:tcBorders>
              <w:top w:val="single" w:color="000000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1.974224991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434" w:type="dxa"/>
            <w:tcBorders>
              <w:top w:val="single" w:color="000000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0.000625294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79" w:type="dxa"/>
            <w:tcBorders>
              <w:top w:val="single" w:color="000000" w:sz="4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0.018272481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hsa04621</w:t>
            </w:r>
          </w:p>
        </w:tc>
        <w:tc>
          <w:tcPr>
            <w:tcW w:w="1596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NOD-like receptor signaling pathway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4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0.541297117</w:t>
            </w:r>
          </w:p>
        </w:tc>
        <w:tc>
          <w:tcPr>
            <w:tcW w:w="14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2.051858516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4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4.82E-05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79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0.003441431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hsa05417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596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Lipid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and atherosclerosis</w:t>
            </w:r>
          </w:p>
        </w:tc>
        <w:tc>
          <w:tcPr>
            <w:tcW w:w="14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0.501697662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4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1.96036874</w:t>
            </w:r>
          </w:p>
        </w:tc>
        <w:tc>
          <w:tcPr>
            <w:tcW w:w="14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0.000119009</w:t>
            </w:r>
          </w:p>
        </w:tc>
        <w:tc>
          <w:tcPr>
            <w:tcW w:w="1279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0.003441431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hsa04062</w:t>
            </w:r>
          </w:p>
        </w:tc>
        <w:tc>
          <w:tcPr>
            <w:tcW w:w="1596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Chemokine signaling pathway</w:t>
            </w:r>
          </w:p>
        </w:tc>
        <w:tc>
          <w:tcPr>
            <w:tcW w:w="14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0.471452834</w:t>
            </w:r>
          </w:p>
        </w:tc>
        <w:tc>
          <w:tcPr>
            <w:tcW w:w="14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1.759494131</w:t>
            </w:r>
          </w:p>
        </w:tc>
        <w:tc>
          <w:tcPr>
            <w:tcW w:w="1434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0.002613574</w:t>
            </w:r>
          </w:p>
        </w:tc>
        <w:tc>
          <w:tcPr>
            <w:tcW w:w="1279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0.003441431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</w:tbl>
    <w:p>
      <w:pPr>
        <w:jc w:val="left"/>
        <w:rPr>
          <w:rFonts w:hint="eastAsia" w:ascii="Times New Roman" w:hAnsi="Times New Roman" w:eastAsia="Times New Roman" w:cs="Times New Roman"/>
          <w:b/>
          <w:bCs/>
          <w:kern w:val="0"/>
          <w:sz w:val="20"/>
          <w:szCs w:val="20"/>
        </w:rPr>
      </w:pPr>
    </w:p>
    <w:p>
      <w:pPr>
        <w:jc w:val="left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eastAsia="Times New Roman" w:cs="Times New Roman"/>
          <w:b/>
          <w:bCs/>
          <w:kern w:val="0"/>
          <w:sz w:val="20"/>
          <w:szCs w:val="20"/>
        </w:rPr>
        <w:t>Supplementary Table</w:t>
      </w:r>
      <w:r>
        <w:rPr>
          <w:rFonts w:hint="eastAsia" w:ascii="Times New Roman" w:hAnsi="Times New Roman" w:eastAsia="宋体" w:cs="Times New Roman"/>
          <w:b/>
          <w:bCs/>
          <w:kern w:val="0"/>
          <w:sz w:val="20"/>
          <w:szCs w:val="20"/>
          <w:lang w:val="en-US" w:eastAsia="zh-CN"/>
        </w:rPr>
        <w:t xml:space="preserve"> 4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GO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&amp;KEGG data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441"/>
        <w:gridCol w:w="1728"/>
        <w:gridCol w:w="1008"/>
        <w:gridCol w:w="1262"/>
        <w:gridCol w:w="1121"/>
        <w:gridCol w:w="1121"/>
        <w:gridCol w:w="11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Ontology</w:t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ID</w:t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GeneRatio</w:t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BgRatio</w:t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pvalue</w:t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FDR</w:t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qvalue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GO:0070266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necroptotic process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12/46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44/18670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2.08e-22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4.38e-19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2.34e-19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GO:0097300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programmed necrotic cell death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12/46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49/18670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9.04e-22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9.50e-19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5.08e-19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GO:0005741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mitochondrial outer membrane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7/46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178/19717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1.73e-07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1.37e-05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1.10e-05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GO:0046930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pore complex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4/46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23/19717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2.22e-07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1.37e-05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1.10e-05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GO:0005126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cytokine receptor binding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14/46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286/17697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9.11e-15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1.55e-12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1.09e-12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GO:0032813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tumor necrosis factor receptor superfamily binding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7/46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46/17697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2.47e-11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2.10e-09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1.48e-09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KEGG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hsa04217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Necroptosis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46/46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159/8076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2.79e-82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4.38e-80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2.29e-80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KEGG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hsa05164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Influenza A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23/46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171/8076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3.73e-27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2.93e-25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1.53e-25</w:t>
            </w:r>
          </w:p>
        </w:tc>
      </w:tr>
    </w:tbl>
    <w:p>
      <w:pPr>
        <w:jc w:val="left"/>
        <w:rPr>
          <w:rFonts w:hint="eastAsia" w:ascii="Times New Roman" w:hAnsi="Times New Roman" w:eastAsia="宋体" w:cs="Times New Roman"/>
          <w:b/>
          <w:bCs/>
          <w:kern w:val="0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hM2FiMzQxYTZhMzY0M2FjZWQwNzk3ZGJhYmE0N2YifQ=="/>
    <w:docVar w:name="KSO_WPS_MARK_KEY" w:val="79f4b468-9660-4243-9065-015ecdf77671"/>
  </w:docVars>
  <w:rsids>
    <w:rsidRoot w:val="0074672D"/>
    <w:rsid w:val="006F4004"/>
    <w:rsid w:val="0074672D"/>
    <w:rsid w:val="00AA76B3"/>
    <w:rsid w:val="09B07E99"/>
    <w:rsid w:val="0A8A29D9"/>
    <w:rsid w:val="192704D3"/>
    <w:rsid w:val="23AB13F6"/>
    <w:rsid w:val="25333A00"/>
    <w:rsid w:val="298E79EF"/>
    <w:rsid w:val="2F5875C7"/>
    <w:rsid w:val="6C45130D"/>
    <w:rsid w:val="7DCA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182</Words>
  <Characters>1367</Characters>
  <Lines>2</Lines>
  <Paragraphs>1</Paragraphs>
  <TotalTime>0</TotalTime>
  <ScaleCrop>false</ScaleCrop>
  <LinksUpToDate>false</LinksUpToDate>
  <CharactersWithSpaces>1431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2022-10-23T15:20:00Z</dcterms:created>
  <dc:creator>彭 战利</dc:creator>
  <cp:lastModifiedBy>彭战利</cp:lastModifiedBy>
  <dcterms:modified xsi:type="dcterms:W3CDTF">2023-02-12T06:38:26Z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bc0b0f29-49bc-4e34-b516-ec422daa61c4</vt:lpwstr>
  </property>
  <property fmtid="{D5CDD505-2E9C-101B-9397-08002B2CF9AE}" pid="3" name="KSOProductBuildVer">
    <vt:lpwstr>2052-11.1.0.12970</vt:lpwstr>
  </property>
  <property fmtid="{D5CDD505-2E9C-101B-9397-08002B2CF9AE}" pid="4" name="ICV">
    <vt:lpwstr>3D6677886E5F4CB38194A33F3309369B</vt:lpwstr>
  </property>
</Properties>
</file>