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A21" w:rsidRDefault="006241E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</w:t>
      </w:r>
      <w:r>
        <w:rPr>
          <w:rFonts w:ascii="Arial" w:hAnsi="Arial" w:cs="Arial"/>
          <w:color w:val="000000"/>
          <w:shd w:val="clear" w:color="auto" w:fill="FFFFFF"/>
        </w:rPr>
        <w:t xml:space="preserve">able </w:t>
      </w:r>
      <w:r w:rsidR="00C35AD3">
        <w:rPr>
          <w:rFonts w:ascii="Arial" w:hAnsi="Arial" w:cs="Arial"/>
          <w:color w:val="000000"/>
          <w:shd w:val="clear" w:color="auto" w:fill="FFFFFF"/>
        </w:rPr>
        <w:t>3</w:t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. High-priority data sources for linkage</w:t>
      </w:r>
    </w:p>
    <w:p w:rsidR="00BD65E5" w:rsidRDefault="00BD65E5"/>
    <w:p w:rsidR="00BD65E5" w:rsidRDefault="00BD65E5">
      <w:r>
        <w:rPr>
          <w:noProof/>
        </w:rPr>
        <w:drawing>
          <wp:inline distT="0" distB="0" distL="0" distR="0" wp14:anchorId="49B25266" wp14:editId="590FE4A7">
            <wp:extent cx="8086725" cy="4762500"/>
            <wp:effectExtent l="0" t="0" r="952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BD65E5" w:rsidSect="00BD65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wMDYzNbe0NAWyDJV0lIJTi4sz8/NACgxrAemtTnUsAAAA"/>
  </w:docVars>
  <w:rsids>
    <w:rsidRoot w:val="006241E2"/>
    <w:rsid w:val="003B6A21"/>
    <w:rsid w:val="006241E2"/>
    <w:rsid w:val="00BD65E5"/>
    <w:rsid w:val="00C3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3F16"/>
  <w15:chartTrackingRefBased/>
  <w15:docId w15:val="{96EDF679-0D6B-4EC8-9395-D92D6BAE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 What data sources should'!$E$16</c:f>
              <c:strCache>
                <c:ptCount val="1"/>
                <c:pt idx="0">
                  <c:v>What data sources should be linked to prescription drug monitoring program (PDMP) data on an ongoing basis, as they are consistently relevant for the purpose of research? (May select multiple) - Selected Choice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 What data sources should'!$D$17:$D$23</c:f>
              <c:strCache>
                <c:ptCount val="7"/>
                <c:pt idx="0">
                  <c:v>Electronic health records (EHR)</c:v>
                </c:pt>
                <c:pt idx="1">
                  <c:v>Birth and death registries</c:v>
                </c:pt>
                <c:pt idx="2">
                  <c:v>Public health databases (immunizations, newborn hearing, developmental, cancer registry, violence and injury)</c:v>
                </c:pt>
                <c:pt idx="3">
                  <c:v>Claims Databases, including private pay, third party, and CMS</c:v>
                </c:pt>
                <c:pt idx="4">
                  <c:v>Social services databases (child care subsidies, WIC (Women Infants and Children)</c:v>
                </c:pt>
                <c:pt idx="5">
                  <c:v>Professional licensing databases</c:v>
                </c:pt>
                <c:pt idx="6">
                  <c:v>Other</c:v>
                </c:pt>
              </c:strCache>
            </c:strRef>
          </c:cat>
          <c:val>
            <c:numRef>
              <c:f>'1 What data sources should'!$E$17:$E$23</c:f>
              <c:numCache>
                <c:formatCode>0.0%</c:formatCode>
                <c:ptCount val="7"/>
                <c:pt idx="0">
                  <c:v>0.7567567567567568</c:v>
                </c:pt>
                <c:pt idx="1">
                  <c:v>0.72972972972972971</c:v>
                </c:pt>
                <c:pt idx="2">
                  <c:v>0.59459459459459463</c:v>
                </c:pt>
                <c:pt idx="3">
                  <c:v>0.59459459459459463</c:v>
                </c:pt>
                <c:pt idx="4">
                  <c:v>0.56756756756756754</c:v>
                </c:pt>
                <c:pt idx="5">
                  <c:v>0.3783783783783784</c:v>
                </c:pt>
                <c:pt idx="6">
                  <c:v>2.7027027027027029E-2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EB-4E3A-A5F5-8069E661D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8547256"/>
        <c:axId val="2028544312"/>
      </c:barChart>
      <c:catAx>
        <c:axId val="2028547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28544312"/>
        <c:crosses val="autoZero"/>
        <c:auto val="1"/>
        <c:lblAlgn val="ctr"/>
        <c:lblOffset val="100"/>
        <c:noMultiLvlLbl val="0"/>
      </c:catAx>
      <c:valAx>
        <c:axId val="202854431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2028547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UofU College of Nursing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Cummins</dc:creator>
  <cp:keywords/>
  <dc:description/>
  <cp:lastModifiedBy>Mollie Cummins</cp:lastModifiedBy>
  <cp:revision>3</cp:revision>
  <dcterms:created xsi:type="dcterms:W3CDTF">2021-12-01T03:40:00Z</dcterms:created>
  <dcterms:modified xsi:type="dcterms:W3CDTF">2021-12-01T03:47:00Z</dcterms:modified>
</cp:coreProperties>
</file>