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9D1" w:rsidP="005049D1" w:rsidRDefault="005049D1" w14:paraId="77FCDC47" w14:textId="52185383">
      <w:pPr>
        <w:rPr>
          <w:rFonts w:cstheme="minorHAnsi"/>
        </w:rPr>
      </w:pPr>
      <w:proofErr w:type="spellStart"/>
      <w:r>
        <w:t>eTable</w:t>
      </w:r>
      <w:proofErr w:type="spellEnd"/>
      <w:r>
        <w:t xml:space="preserve"> </w:t>
      </w:r>
      <w:r w:rsidR="003063AF">
        <w:t>4</w:t>
      </w:r>
      <w:r>
        <w:t>: Mean Relative Preference Weights for Overall Treatment Preferenc</w:t>
      </w:r>
      <w:r>
        <w:rPr>
          <w:rFonts w:cstheme="minorHAnsi"/>
        </w:rPr>
        <w:t>e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37"/>
        <w:gridCol w:w="4738"/>
        <w:gridCol w:w="1980"/>
      </w:tblGrid>
      <w:tr w:rsidR="005049D1" w14:paraId="7EAF4963" w14:textId="77777777">
        <w:trPr>
          <w:trHeight w:val="154"/>
        </w:trPr>
        <w:tc>
          <w:tcPr>
            <w:tcW w:w="2637" w:type="dxa"/>
          </w:tcPr>
          <w:p w:rsidR="005049D1" w:rsidRDefault="005049D1" w14:paraId="3A9B8C2D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</w:tcPr>
          <w:p w:rsidR="005049D1" w:rsidRDefault="005049D1" w14:paraId="7C5D61E7" w14:textId="77777777">
            <w:pPr>
              <w:rPr>
                <w:rFonts w:cstheme="minorHAnsi"/>
              </w:rPr>
            </w:pPr>
          </w:p>
        </w:tc>
        <w:tc>
          <w:tcPr>
            <w:tcW w:w="1980" w:type="dxa"/>
          </w:tcPr>
          <w:p w:rsidR="005049D1" w:rsidRDefault="005049D1" w14:paraId="2581C6AB" w14:textId="77777777">
            <w:pPr>
              <w:rPr>
                <w:rFonts w:cstheme="minorHAnsi"/>
              </w:rPr>
            </w:pPr>
          </w:p>
        </w:tc>
      </w:tr>
      <w:tr w:rsidRPr="008D66D6" w:rsidR="005049D1" w14:paraId="7651BDE9" w14:textId="77777777">
        <w:trPr>
          <w:trHeight w:val="241"/>
        </w:trPr>
        <w:tc>
          <w:tcPr>
            <w:tcW w:w="2637" w:type="dxa"/>
            <w:hideMark/>
          </w:tcPr>
          <w:p w:rsidRPr="008D66D6" w:rsidR="005049D1" w:rsidRDefault="005049D1" w14:paraId="259F4ECE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  <w:b/>
                <w:bCs/>
              </w:rPr>
              <w:t>Attribute</w:t>
            </w:r>
          </w:p>
        </w:tc>
        <w:tc>
          <w:tcPr>
            <w:tcW w:w="4738" w:type="dxa"/>
            <w:hideMark/>
          </w:tcPr>
          <w:p w:rsidRPr="008D66D6" w:rsidR="005049D1" w:rsidRDefault="005049D1" w14:paraId="6B9F07C7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  <w:b/>
                <w:bCs/>
              </w:rPr>
              <w:t>Levels</w:t>
            </w:r>
          </w:p>
        </w:tc>
        <w:tc>
          <w:tcPr>
            <w:tcW w:w="1980" w:type="dxa"/>
            <w:hideMark/>
          </w:tcPr>
          <w:p w:rsidRPr="008D66D6" w:rsidR="005049D1" w:rsidRDefault="005049D1" w14:paraId="4EFA606B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  <w:b/>
                <w:bCs/>
              </w:rPr>
              <w:t>Mean relative preference weights (SD)</w:t>
            </w:r>
          </w:p>
        </w:tc>
      </w:tr>
      <w:tr w:rsidRPr="008D66D6" w:rsidR="005049D1" w14:paraId="14827B74" w14:textId="77777777">
        <w:trPr>
          <w:trHeight w:val="228"/>
        </w:trPr>
        <w:tc>
          <w:tcPr>
            <w:tcW w:w="2637" w:type="dxa"/>
            <w:vMerge w:val="restart"/>
            <w:hideMark/>
          </w:tcPr>
          <w:p w:rsidRPr="008D66D6" w:rsidR="005049D1" w:rsidRDefault="005049D1" w14:paraId="38EF9A11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Taste and Odor</w:t>
            </w:r>
          </w:p>
        </w:tc>
        <w:tc>
          <w:tcPr>
            <w:tcW w:w="4738" w:type="dxa"/>
            <w:hideMark/>
          </w:tcPr>
          <w:p w:rsidRPr="008D66D6" w:rsidR="005049D1" w:rsidRDefault="005049D1" w14:paraId="5AF652EB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Taste- and odor-masked</w:t>
            </w:r>
          </w:p>
        </w:tc>
        <w:tc>
          <w:tcPr>
            <w:tcW w:w="1980" w:type="dxa"/>
            <w:hideMark/>
          </w:tcPr>
          <w:p w:rsidRPr="008D66D6" w:rsidR="005049D1" w:rsidRDefault="005049D1" w14:paraId="36D7EBEC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1.52 (1.10)</w:t>
            </w:r>
          </w:p>
        </w:tc>
      </w:tr>
      <w:tr w:rsidRPr="008D66D6" w:rsidR="005049D1" w14:paraId="6DF8B600" w14:textId="77777777">
        <w:trPr>
          <w:trHeight w:val="228"/>
        </w:trPr>
        <w:tc>
          <w:tcPr>
            <w:tcW w:w="2637" w:type="dxa"/>
            <w:vMerge/>
            <w:hideMark/>
          </w:tcPr>
          <w:p w:rsidRPr="008D66D6" w:rsidR="005049D1" w:rsidRDefault="005049D1" w14:paraId="6CC6C5E3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20A290E0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Not taste- or odor-masked</w:t>
            </w:r>
          </w:p>
        </w:tc>
        <w:tc>
          <w:tcPr>
            <w:tcW w:w="1980" w:type="dxa"/>
            <w:hideMark/>
          </w:tcPr>
          <w:p w:rsidRPr="008D66D6" w:rsidR="005049D1" w:rsidRDefault="005049D1" w14:paraId="179C9B26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-1.52 (1.10)</w:t>
            </w:r>
          </w:p>
        </w:tc>
      </w:tr>
      <w:tr w:rsidRPr="008D66D6" w:rsidR="005049D1" w14:paraId="6CA518BA" w14:textId="77777777">
        <w:trPr>
          <w:trHeight w:val="253"/>
        </w:trPr>
        <w:tc>
          <w:tcPr>
            <w:tcW w:w="2637" w:type="dxa"/>
            <w:vMerge w:val="restart"/>
            <w:hideMark/>
          </w:tcPr>
          <w:p w:rsidRPr="008D66D6" w:rsidR="005049D1" w:rsidRDefault="005049D1" w14:paraId="796B1CDA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Wei</w:t>
            </w:r>
            <w:r w:rsidRPr="0066256B">
              <w:rPr>
                <w:rFonts w:cstheme="minorHAnsi"/>
              </w:rPr>
              <w:t>ght Requirement</w:t>
            </w:r>
            <w:r w:rsidRPr="008C5F6C">
              <w:rPr>
                <w:rFonts w:cstheme="minorHAnsi"/>
                <w:vertAlign w:val="superscript"/>
              </w:rPr>
              <w:t>1</w:t>
            </w:r>
          </w:p>
        </w:tc>
        <w:tc>
          <w:tcPr>
            <w:tcW w:w="4738" w:type="dxa"/>
            <w:hideMark/>
          </w:tcPr>
          <w:p w:rsidRPr="008D66D6" w:rsidR="005049D1" w:rsidRDefault="005049D1" w14:paraId="1D3EC4F8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Indicated for patients weighing 10kg or more</w:t>
            </w:r>
          </w:p>
        </w:tc>
        <w:tc>
          <w:tcPr>
            <w:tcW w:w="1980" w:type="dxa"/>
            <w:hideMark/>
          </w:tcPr>
          <w:p w:rsidRPr="008D66D6" w:rsidR="005049D1" w:rsidRDefault="005049D1" w14:paraId="0C17159E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0.07 (0.58)</w:t>
            </w:r>
          </w:p>
        </w:tc>
      </w:tr>
      <w:tr w:rsidRPr="008D66D6" w:rsidR="005049D1" w14:paraId="36B2F802" w14:textId="77777777">
        <w:trPr>
          <w:trHeight w:val="228"/>
        </w:trPr>
        <w:tc>
          <w:tcPr>
            <w:tcW w:w="2637" w:type="dxa"/>
            <w:vMerge/>
            <w:hideMark/>
          </w:tcPr>
          <w:p w:rsidRPr="008D66D6" w:rsidR="005049D1" w:rsidRDefault="005049D1" w14:paraId="14B2789B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1DC98E7A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No weight requirement</w:t>
            </w:r>
          </w:p>
        </w:tc>
        <w:tc>
          <w:tcPr>
            <w:tcW w:w="1980" w:type="dxa"/>
            <w:hideMark/>
          </w:tcPr>
          <w:p w:rsidRPr="008D66D6" w:rsidR="005049D1" w:rsidRDefault="005049D1" w14:paraId="586BB2B0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0.94 (0.76)</w:t>
            </w:r>
          </w:p>
        </w:tc>
      </w:tr>
      <w:tr w:rsidRPr="008D66D6" w:rsidR="005049D1" w14:paraId="44087AF1" w14:textId="77777777">
        <w:trPr>
          <w:trHeight w:val="228"/>
        </w:trPr>
        <w:tc>
          <w:tcPr>
            <w:tcW w:w="2637" w:type="dxa"/>
            <w:vMerge/>
            <w:hideMark/>
          </w:tcPr>
          <w:p w:rsidRPr="008D66D6" w:rsidR="005049D1" w:rsidRDefault="005049D1" w14:paraId="0AE1380D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7D2FFD98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Not recommended for patients weighing less than 20 kg</w:t>
            </w:r>
          </w:p>
        </w:tc>
        <w:tc>
          <w:tcPr>
            <w:tcW w:w="1980" w:type="dxa"/>
            <w:hideMark/>
          </w:tcPr>
          <w:p w:rsidRPr="008D66D6" w:rsidR="005049D1" w:rsidRDefault="005049D1" w14:paraId="3520BD3C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-1.01 (0.80)</w:t>
            </w:r>
          </w:p>
        </w:tc>
      </w:tr>
      <w:tr w:rsidRPr="008D66D6" w:rsidR="005049D1" w14:paraId="4D26F8BA" w14:textId="77777777">
        <w:trPr>
          <w:trHeight w:val="228"/>
        </w:trPr>
        <w:tc>
          <w:tcPr>
            <w:tcW w:w="2637" w:type="dxa"/>
            <w:vMerge w:val="restart"/>
            <w:hideMark/>
          </w:tcPr>
          <w:p w:rsidRPr="008D66D6" w:rsidR="005049D1" w:rsidRDefault="005049D1" w14:paraId="146148B8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Preparation Instructions</w:t>
            </w:r>
          </w:p>
        </w:tc>
        <w:tc>
          <w:tcPr>
            <w:tcW w:w="4738" w:type="dxa"/>
            <w:hideMark/>
          </w:tcPr>
          <w:p w:rsidRPr="008D66D6" w:rsidR="005049D1" w:rsidRDefault="005049D1" w14:paraId="732F7429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Mix with water &amp; drink or mix with pH neutral food</w:t>
            </w:r>
          </w:p>
        </w:tc>
        <w:tc>
          <w:tcPr>
            <w:tcW w:w="1980" w:type="dxa"/>
            <w:hideMark/>
          </w:tcPr>
          <w:p w:rsidRPr="008D66D6" w:rsidR="005049D1" w:rsidRDefault="005049D1" w14:paraId="7E88475F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0.42 (0.60)</w:t>
            </w:r>
          </w:p>
        </w:tc>
      </w:tr>
      <w:tr w:rsidRPr="008D66D6" w:rsidR="005049D1" w14:paraId="21560A3F" w14:textId="77777777">
        <w:trPr>
          <w:trHeight w:val="228"/>
        </w:trPr>
        <w:tc>
          <w:tcPr>
            <w:tcW w:w="2637" w:type="dxa"/>
            <w:vMerge/>
            <w:hideMark/>
          </w:tcPr>
          <w:p w:rsidRPr="008D66D6" w:rsidR="005049D1" w:rsidRDefault="005049D1" w14:paraId="6B20E317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67B4DC4B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Single use, discardable syringe via connector cap (must use ~3 syringes per day)</w:t>
            </w:r>
          </w:p>
        </w:tc>
        <w:tc>
          <w:tcPr>
            <w:tcW w:w="1980" w:type="dxa"/>
            <w:hideMark/>
          </w:tcPr>
          <w:p w:rsidRPr="008D66D6" w:rsidR="005049D1" w:rsidRDefault="005049D1" w14:paraId="20741BAA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-0.40 (0.95)</w:t>
            </w:r>
          </w:p>
        </w:tc>
      </w:tr>
      <w:tr w:rsidRPr="008D66D6" w:rsidR="005049D1" w14:paraId="0D00B1B0" w14:textId="77777777">
        <w:trPr>
          <w:trHeight w:val="374"/>
        </w:trPr>
        <w:tc>
          <w:tcPr>
            <w:tcW w:w="2637" w:type="dxa"/>
            <w:vMerge/>
            <w:hideMark/>
          </w:tcPr>
          <w:p w:rsidRPr="008D66D6" w:rsidR="005049D1" w:rsidRDefault="005049D1" w14:paraId="7CD3E348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67C33D89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Mixes contents with food or water (may need to consume multiple cups of water) using a reusable measuring spoon</w:t>
            </w:r>
          </w:p>
        </w:tc>
        <w:tc>
          <w:tcPr>
            <w:tcW w:w="1980" w:type="dxa"/>
            <w:hideMark/>
          </w:tcPr>
          <w:p w:rsidRPr="008D66D6" w:rsidR="005049D1" w:rsidRDefault="005049D1" w14:paraId="481C9EB0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-0.37 (0.64)</w:t>
            </w:r>
          </w:p>
        </w:tc>
      </w:tr>
      <w:tr w:rsidRPr="008D66D6" w:rsidR="005049D1" w14:paraId="32A8E25B" w14:textId="77777777">
        <w:trPr>
          <w:trHeight w:val="251"/>
        </w:trPr>
        <w:tc>
          <w:tcPr>
            <w:tcW w:w="2637" w:type="dxa"/>
            <w:vMerge/>
            <w:hideMark/>
          </w:tcPr>
          <w:p w:rsidRPr="008D66D6" w:rsidR="005049D1" w:rsidRDefault="005049D1" w14:paraId="6EAD680E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0D7DC6FE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Patient takes contents with water</w:t>
            </w:r>
          </w:p>
        </w:tc>
        <w:tc>
          <w:tcPr>
            <w:tcW w:w="1980" w:type="dxa"/>
            <w:hideMark/>
          </w:tcPr>
          <w:p w:rsidRPr="008D66D6" w:rsidR="005049D1" w:rsidRDefault="005049D1" w14:paraId="2D47B2F3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0.35 (0.72)</w:t>
            </w:r>
          </w:p>
        </w:tc>
      </w:tr>
      <w:tr w:rsidRPr="008D66D6" w:rsidR="005049D1" w14:paraId="0628B256" w14:textId="77777777">
        <w:trPr>
          <w:trHeight w:val="374"/>
        </w:trPr>
        <w:tc>
          <w:tcPr>
            <w:tcW w:w="2637" w:type="dxa"/>
            <w:vMerge w:val="restart"/>
            <w:hideMark/>
          </w:tcPr>
          <w:p w:rsidRPr="008D66D6" w:rsidR="005049D1" w:rsidRDefault="005049D1" w14:paraId="14007AE1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Route of administration</w:t>
            </w:r>
          </w:p>
        </w:tc>
        <w:tc>
          <w:tcPr>
            <w:tcW w:w="4738" w:type="dxa"/>
            <w:hideMark/>
          </w:tcPr>
          <w:p w:rsidRPr="008D66D6" w:rsidR="005049D1" w:rsidRDefault="005049D1" w14:paraId="7176B797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Powder to suspend in water and drink. Product can be administered via gastronomy tube</w:t>
            </w:r>
          </w:p>
        </w:tc>
        <w:tc>
          <w:tcPr>
            <w:tcW w:w="1980" w:type="dxa"/>
            <w:hideMark/>
          </w:tcPr>
          <w:p w:rsidRPr="008D66D6" w:rsidR="005049D1" w:rsidRDefault="005049D1" w14:paraId="726E2259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0.33 (0.63)</w:t>
            </w:r>
          </w:p>
        </w:tc>
      </w:tr>
      <w:tr w:rsidRPr="008D66D6" w:rsidR="005049D1" w14:paraId="56940EAE" w14:textId="77777777">
        <w:trPr>
          <w:trHeight w:val="374"/>
        </w:trPr>
        <w:tc>
          <w:tcPr>
            <w:tcW w:w="2637" w:type="dxa"/>
            <w:vMerge/>
            <w:hideMark/>
          </w:tcPr>
          <w:p w:rsidRPr="008D66D6" w:rsidR="005049D1" w:rsidRDefault="005049D1" w14:paraId="624E4669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6FF01AAF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Oral liquid to squirt into mouth. Product can be administered via gastronomy tube</w:t>
            </w:r>
          </w:p>
        </w:tc>
        <w:tc>
          <w:tcPr>
            <w:tcW w:w="1980" w:type="dxa"/>
            <w:hideMark/>
          </w:tcPr>
          <w:p w:rsidRPr="008D66D6" w:rsidR="005049D1" w:rsidRDefault="005049D1" w14:paraId="693CA508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0.46 (0.76)</w:t>
            </w:r>
          </w:p>
        </w:tc>
      </w:tr>
      <w:tr w:rsidRPr="008D66D6" w:rsidR="005049D1" w14:paraId="339C722D" w14:textId="77777777">
        <w:trPr>
          <w:trHeight w:val="522"/>
        </w:trPr>
        <w:tc>
          <w:tcPr>
            <w:tcW w:w="2637" w:type="dxa"/>
            <w:vMerge/>
            <w:hideMark/>
          </w:tcPr>
          <w:p w:rsidRPr="008D66D6" w:rsidR="005049D1" w:rsidRDefault="005049D1" w14:paraId="0903FCD6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79074620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Tablet (Patients takes approximately one tablet per kilogram body weight per day (min. 20 &amp; max. 40 tablets/day)). Product can</w:t>
            </w:r>
            <w:r>
              <w:rPr>
                <w:rFonts w:cstheme="minorHAnsi"/>
              </w:rPr>
              <w:t>not</w:t>
            </w:r>
            <w:r w:rsidRPr="008D66D6">
              <w:rPr>
                <w:rFonts w:cstheme="minorHAnsi"/>
              </w:rPr>
              <w:t xml:space="preserve"> be administered via gastronomy tube</w:t>
            </w:r>
          </w:p>
        </w:tc>
        <w:tc>
          <w:tcPr>
            <w:tcW w:w="1980" w:type="dxa"/>
            <w:hideMark/>
          </w:tcPr>
          <w:p w:rsidRPr="008D66D6" w:rsidR="005049D1" w:rsidRDefault="005049D1" w14:paraId="271A3628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-0.79 (1.13)</w:t>
            </w:r>
          </w:p>
        </w:tc>
      </w:tr>
      <w:tr w:rsidRPr="008D66D6" w:rsidR="005049D1" w14:paraId="26E20E98" w14:textId="77777777">
        <w:trPr>
          <w:trHeight w:val="374"/>
        </w:trPr>
        <w:tc>
          <w:tcPr>
            <w:tcW w:w="2637" w:type="dxa"/>
            <w:vMerge w:val="restart"/>
            <w:hideMark/>
          </w:tcPr>
          <w:p w:rsidRPr="008D66D6" w:rsidR="005049D1" w:rsidRDefault="005049D1" w14:paraId="13D4F36E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Packaging</w:t>
            </w:r>
          </w:p>
        </w:tc>
        <w:tc>
          <w:tcPr>
            <w:tcW w:w="4738" w:type="dxa"/>
            <w:hideMark/>
          </w:tcPr>
          <w:p w:rsidRPr="008D66D6" w:rsidR="005049D1" w:rsidRDefault="005049D1" w14:paraId="6B8B7696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Pocket-sized single use foil sachets, packaged as a monthly kit with 30-day supply (90 doses)</w:t>
            </w:r>
          </w:p>
        </w:tc>
        <w:tc>
          <w:tcPr>
            <w:tcW w:w="1980" w:type="dxa"/>
            <w:hideMark/>
          </w:tcPr>
          <w:p w:rsidRPr="008D66D6" w:rsidR="005049D1" w:rsidRDefault="005049D1" w14:paraId="60513819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0.15 (0.61)</w:t>
            </w:r>
          </w:p>
        </w:tc>
      </w:tr>
      <w:tr w:rsidRPr="008D66D6" w:rsidR="005049D1" w14:paraId="3B06197E" w14:textId="77777777">
        <w:trPr>
          <w:trHeight w:val="246"/>
        </w:trPr>
        <w:tc>
          <w:tcPr>
            <w:tcW w:w="2637" w:type="dxa"/>
            <w:vMerge/>
            <w:hideMark/>
          </w:tcPr>
          <w:p w:rsidRPr="008D66D6" w:rsidR="005049D1" w:rsidRDefault="005049D1" w14:paraId="4956AC31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1D18BEE0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Kit containing multi-use glass 25mL bottle</w:t>
            </w:r>
          </w:p>
        </w:tc>
        <w:tc>
          <w:tcPr>
            <w:tcW w:w="1980" w:type="dxa"/>
            <w:hideMark/>
          </w:tcPr>
          <w:p w:rsidRPr="008D66D6" w:rsidR="005049D1" w:rsidRDefault="005049D1" w14:paraId="595F6081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0.08 (0.56)</w:t>
            </w:r>
          </w:p>
        </w:tc>
      </w:tr>
      <w:tr w:rsidRPr="008D66D6" w:rsidR="005049D1" w14:paraId="0B2CC0A9" w14:textId="77777777">
        <w:trPr>
          <w:trHeight w:val="228"/>
        </w:trPr>
        <w:tc>
          <w:tcPr>
            <w:tcW w:w="2637" w:type="dxa"/>
            <w:vMerge/>
            <w:hideMark/>
          </w:tcPr>
          <w:p w:rsidRPr="008D66D6" w:rsidR="005049D1" w:rsidRDefault="005049D1" w14:paraId="740CCE70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2A588C76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Plastic bottle</w:t>
            </w:r>
          </w:p>
        </w:tc>
        <w:tc>
          <w:tcPr>
            <w:tcW w:w="1980" w:type="dxa"/>
            <w:hideMark/>
          </w:tcPr>
          <w:p w:rsidRPr="008D66D6" w:rsidR="005049D1" w:rsidRDefault="005049D1" w14:paraId="22114264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-0.22 (0.42)</w:t>
            </w:r>
          </w:p>
        </w:tc>
      </w:tr>
      <w:tr w:rsidRPr="008D66D6" w:rsidR="005049D1" w14:paraId="0E7D696D" w14:textId="77777777">
        <w:trPr>
          <w:trHeight w:val="228"/>
        </w:trPr>
        <w:tc>
          <w:tcPr>
            <w:tcW w:w="2637" w:type="dxa"/>
            <w:vMerge w:val="restart"/>
            <w:hideMark/>
          </w:tcPr>
          <w:p w:rsidRPr="008D66D6" w:rsidR="005049D1" w:rsidRDefault="005049D1" w14:paraId="4EE7CE10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Measurement</w:t>
            </w:r>
          </w:p>
        </w:tc>
        <w:tc>
          <w:tcPr>
            <w:tcW w:w="4738" w:type="dxa"/>
            <w:hideMark/>
          </w:tcPr>
          <w:p w:rsidRPr="008D66D6" w:rsidR="005049D1" w:rsidRDefault="005049D1" w14:paraId="2DD91E45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Patient not required to measure dose</w:t>
            </w:r>
          </w:p>
        </w:tc>
        <w:tc>
          <w:tcPr>
            <w:tcW w:w="1980" w:type="dxa"/>
            <w:hideMark/>
          </w:tcPr>
          <w:p w:rsidRPr="008D66D6" w:rsidR="005049D1" w:rsidRDefault="005049D1" w14:paraId="7D6B0A77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0.37 (0.56)</w:t>
            </w:r>
          </w:p>
        </w:tc>
      </w:tr>
      <w:tr w:rsidRPr="008D66D6" w:rsidR="005049D1" w14:paraId="25B8E70F" w14:textId="77777777">
        <w:trPr>
          <w:trHeight w:val="228"/>
        </w:trPr>
        <w:tc>
          <w:tcPr>
            <w:tcW w:w="2637" w:type="dxa"/>
            <w:vMerge/>
            <w:hideMark/>
          </w:tcPr>
          <w:p w:rsidRPr="008D66D6" w:rsidR="005049D1" w:rsidRDefault="005049D1" w14:paraId="7C42272D" w14:textId="77777777">
            <w:pPr>
              <w:rPr>
                <w:rFonts w:cstheme="minorHAnsi"/>
              </w:rPr>
            </w:pPr>
          </w:p>
        </w:tc>
        <w:tc>
          <w:tcPr>
            <w:tcW w:w="4738" w:type="dxa"/>
            <w:hideMark/>
          </w:tcPr>
          <w:p w:rsidRPr="008D66D6" w:rsidR="005049D1" w:rsidRDefault="005049D1" w14:paraId="10E5EC7A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Patient measures appropriate dose</w:t>
            </w:r>
          </w:p>
        </w:tc>
        <w:tc>
          <w:tcPr>
            <w:tcW w:w="1980" w:type="dxa"/>
            <w:hideMark/>
          </w:tcPr>
          <w:p w:rsidRPr="008D66D6" w:rsidR="005049D1" w:rsidRDefault="005049D1" w14:paraId="5FADB300" w14:textId="77777777">
            <w:pPr>
              <w:rPr>
                <w:rFonts w:cstheme="minorHAnsi"/>
              </w:rPr>
            </w:pPr>
            <w:r w:rsidRPr="008D66D6">
              <w:rPr>
                <w:rFonts w:cstheme="minorHAnsi"/>
              </w:rPr>
              <w:t>-0.37 (0.56)</w:t>
            </w:r>
          </w:p>
        </w:tc>
      </w:tr>
    </w:tbl>
    <w:p w:rsidR="005049D1" w:rsidP="251923FB" w:rsidRDefault="005049D1" w14:paraId="2639259C" w14:textId="1361FA2E">
      <w:pPr>
        <w:rPr>
          <w:rFonts w:cs="Calibri" w:cstheme="minorAscii"/>
        </w:rPr>
      </w:pPr>
      <w:r w:rsidRPr="251923FB" w:rsidR="005049D1">
        <w:rPr>
          <w:rFonts w:cs="Calibri" w:cstheme="minorAscii"/>
          <w:sz w:val="20"/>
          <w:szCs w:val="20"/>
          <w:vertAlign w:val="superscript"/>
        </w:rPr>
        <w:t>1</w:t>
      </w:r>
      <w:r w:rsidRPr="251923FB" w:rsidR="005049D1">
        <w:rPr>
          <w:rFonts w:cs="Calibri" w:cstheme="minorAscii"/>
          <w:i w:val="1"/>
          <w:iCs w:val="1"/>
          <w:sz w:val="20"/>
          <w:szCs w:val="20"/>
        </w:rPr>
        <w:t xml:space="preserve"> In context of individual attribute levels, attribute refers to weight restrictions rather than weight-based </w:t>
      </w:r>
      <w:r w:rsidRPr="251923FB" w:rsidR="005049D1">
        <w:rPr>
          <w:rFonts w:cs="Calibri" w:cstheme="minorAscii"/>
          <w:i w:val="1"/>
          <w:iCs w:val="1"/>
          <w:sz w:val="20"/>
          <w:szCs w:val="20"/>
        </w:rPr>
        <w:t>dosing</w:t>
      </w:r>
    </w:p>
    <w:sectPr w:rsidRPr="007246A9" w:rsidR="00C30D27" w:rsidSect="005E7CB1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5F86" w:rsidP="00E078D5" w:rsidRDefault="00C85F86" w14:paraId="526B5608" w14:textId="77777777">
      <w:pPr>
        <w:spacing w:after="0" w:line="240" w:lineRule="auto"/>
      </w:pPr>
      <w:r>
        <w:separator/>
      </w:r>
    </w:p>
  </w:endnote>
  <w:endnote w:type="continuationSeparator" w:id="0">
    <w:p w:rsidR="00C85F86" w:rsidP="00E078D5" w:rsidRDefault="00C85F86" w14:paraId="25825F88" w14:textId="77777777">
      <w:pPr>
        <w:spacing w:after="0" w:line="240" w:lineRule="auto"/>
      </w:pPr>
      <w:r>
        <w:continuationSeparator/>
      </w:r>
    </w:p>
  </w:endnote>
  <w:endnote w:type="continuationNotice" w:id="1">
    <w:p w:rsidR="00C85F86" w:rsidRDefault="00C85F86" w14:paraId="781717D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30D" w:rsidRDefault="000E730D" w14:paraId="10A3200A" w14:textId="6ABB72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30D" w:rsidRDefault="000E730D" w14:paraId="1870EBE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5F86" w:rsidP="00E078D5" w:rsidRDefault="00C85F86" w14:paraId="67C4CF76" w14:textId="77777777">
      <w:pPr>
        <w:spacing w:after="0" w:line="240" w:lineRule="auto"/>
      </w:pPr>
      <w:r>
        <w:separator/>
      </w:r>
    </w:p>
  </w:footnote>
  <w:footnote w:type="continuationSeparator" w:id="0">
    <w:p w:rsidR="00C85F86" w:rsidP="00E078D5" w:rsidRDefault="00C85F86" w14:paraId="357558AB" w14:textId="77777777">
      <w:pPr>
        <w:spacing w:after="0" w:line="240" w:lineRule="auto"/>
      </w:pPr>
      <w:r>
        <w:continuationSeparator/>
      </w:r>
    </w:p>
  </w:footnote>
  <w:footnote w:type="continuationNotice" w:id="1">
    <w:p w:rsidR="00C85F86" w:rsidRDefault="00C85F86" w14:paraId="6E9B1A4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D1A4F" w:rsidR="000E730D" w:rsidP="00A12D2D" w:rsidRDefault="000E730D" w14:paraId="64F97315" w14:textId="16D42C79">
    <w:pPr>
      <w:pStyle w:val="Header"/>
      <w:jc w:val="center"/>
      <w:rPr>
        <w:b/>
        <w:bCs/>
        <w:color w:val="FF0000"/>
        <w:sz w:val="24"/>
        <w:szCs w:val="24"/>
      </w:rPr>
    </w:pPr>
    <w:r w:rsidRPr="00DD1A4F">
      <w:rPr>
        <w:b/>
        <w:bCs/>
        <w:color w:val="FF0000"/>
        <w:sz w:val="24"/>
        <w:szCs w:val="24"/>
      </w:rPr>
      <w:t>---</w:t>
    </w:r>
    <w:r w:rsidR="00F51798">
      <w:rPr>
        <w:b/>
        <w:bCs/>
        <w:color w:val="FF0000"/>
        <w:sz w:val="24"/>
        <w:szCs w:val="24"/>
      </w:rPr>
      <w:t>FINAL FOR SUBMISSION</w:t>
    </w:r>
    <w:r w:rsidRPr="00DD1A4F">
      <w:rPr>
        <w:b/>
        <w:bCs/>
        <w:color w:val="FF0000"/>
        <w:sz w:val="24"/>
        <w:szCs w:val="24"/>
      </w:rPr>
      <w:t>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9626090">
    <w:abstractNumId w:val="2"/>
  </w:num>
  <w:num w:numId="2" w16cid:durableId="1902322224">
    <w:abstractNumId w:val="46"/>
  </w:num>
  <w:num w:numId="3" w16cid:durableId="845899310">
    <w:abstractNumId w:val="17"/>
  </w:num>
  <w:num w:numId="4" w16cid:durableId="2057001930">
    <w:abstractNumId w:val="36"/>
  </w:num>
  <w:num w:numId="5" w16cid:durableId="213082014">
    <w:abstractNumId w:val="30"/>
  </w:num>
  <w:num w:numId="6" w16cid:durableId="1825008456">
    <w:abstractNumId w:val="32"/>
  </w:num>
  <w:num w:numId="7" w16cid:durableId="174463043">
    <w:abstractNumId w:val="1"/>
  </w:num>
  <w:num w:numId="8" w16cid:durableId="1636909401">
    <w:abstractNumId w:val="18"/>
  </w:num>
  <w:num w:numId="9" w16cid:durableId="1732583696">
    <w:abstractNumId w:val="26"/>
  </w:num>
  <w:num w:numId="10" w16cid:durableId="1165124108">
    <w:abstractNumId w:val="8"/>
  </w:num>
  <w:num w:numId="11" w16cid:durableId="355883922">
    <w:abstractNumId w:val="37"/>
  </w:num>
  <w:num w:numId="12" w16cid:durableId="110901237">
    <w:abstractNumId w:val="15"/>
  </w:num>
  <w:num w:numId="13" w16cid:durableId="875581358">
    <w:abstractNumId w:val="7"/>
  </w:num>
  <w:num w:numId="14" w16cid:durableId="284123958">
    <w:abstractNumId w:val="35"/>
  </w:num>
  <w:num w:numId="15" w16cid:durableId="1441873420">
    <w:abstractNumId w:val="13"/>
  </w:num>
  <w:num w:numId="16" w16cid:durableId="822964854">
    <w:abstractNumId w:val="40"/>
  </w:num>
  <w:num w:numId="17" w16cid:durableId="641423762">
    <w:abstractNumId w:val="25"/>
  </w:num>
  <w:num w:numId="18" w16cid:durableId="900604009">
    <w:abstractNumId w:val="23"/>
  </w:num>
  <w:num w:numId="19" w16cid:durableId="939987582">
    <w:abstractNumId w:val="38"/>
  </w:num>
  <w:num w:numId="20" w16cid:durableId="2023779300">
    <w:abstractNumId w:val="27"/>
  </w:num>
  <w:num w:numId="21" w16cid:durableId="1143890319">
    <w:abstractNumId w:val="20"/>
  </w:num>
  <w:num w:numId="22" w16cid:durableId="1429080093">
    <w:abstractNumId w:val="47"/>
  </w:num>
  <w:num w:numId="23" w16cid:durableId="1120300387">
    <w:abstractNumId w:val="31"/>
  </w:num>
  <w:num w:numId="24" w16cid:durableId="102382090">
    <w:abstractNumId w:val="43"/>
  </w:num>
  <w:num w:numId="25" w16cid:durableId="596981518">
    <w:abstractNumId w:val="6"/>
  </w:num>
  <w:num w:numId="26" w16cid:durableId="1253704765">
    <w:abstractNumId w:val="19"/>
  </w:num>
  <w:num w:numId="27" w16cid:durableId="1581981229">
    <w:abstractNumId w:val="29"/>
  </w:num>
  <w:num w:numId="28" w16cid:durableId="1086534310">
    <w:abstractNumId w:val="16"/>
  </w:num>
  <w:num w:numId="29" w16cid:durableId="1139609262">
    <w:abstractNumId w:val="9"/>
  </w:num>
  <w:num w:numId="30" w16cid:durableId="1096097912">
    <w:abstractNumId w:val="42"/>
  </w:num>
  <w:num w:numId="31" w16cid:durableId="708796160">
    <w:abstractNumId w:val="21"/>
  </w:num>
  <w:num w:numId="32" w16cid:durableId="33192774">
    <w:abstractNumId w:val="28"/>
  </w:num>
  <w:num w:numId="33" w16cid:durableId="1507282380">
    <w:abstractNumId w:val="4"/>
  </w:num>
  <w:num w:numId="34" w16cid:durableId="1326668311">
    <w:abstractNumId w:val="45"/>
  </w:num>
  <w:num w:numId="35" w16cid:durableId="521673226">
    <w:abstractNumId w:val="3"/>
  </w:num>
  <w:num w:numId="36" w16cid:durableId="1266959174">
    <w:abstractNumId w:val="24"/>
  </w:num>
  <w:num w:numId="37" w16cid:durableId="1310206370">
    <w:abstractNumId w:val="11"/>
  </w:num>
  <w:num w:numId="38" w16cid:durableId="17201192">
    <w:abstractNumId w:val="44"/>
  </w:num>
  <w:num w:numId="39" w16cid:durableId="523054621">
    <w:abstractNumId w:val="34"/>
  </w:num>
  <w:num w:numId="40" w16cid:durableId="1966618433">
    <w:abstractNumId w:val="10"/>
  </w:num>
  <w:num w:numId="41" w16cid:durableId="1062370656">
    <w:abstractNumId w:val="14"/>
  </w:num>
  <w:num w:numId="42" w16cid:durableId="128787442">
    <w:abstractNumId w:val="22"/>
  </w:num>
  <w:num w:numId="43" w16cid:durableId="1562909729">
    <w:abstractNumId w:val="5"/>
  </w:num>
  <w:num w:numId="44" w16cid:durableId="892275719">
    <w:abstractNumId w:val="39"/>
  </w:num>
  <w:num w:numId="45" w16cid:durableId="298656856">
    <w:abstractNumId w:val="0"/>
  </w:num>
  <w:num w:numId="46" w16cid:durableId="2041469430">
    <w:abstractNumId w:val="33"/>
  </w:num>
  <w:num w:numId="47" w16cid:durableId="1990549657">
    <w:abstractNumId w:val="41"/>
  </w:num>
  <w:num w:numId="48" w16cid:durableId="866211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2971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A7B7B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15D1"/>
    <w:rsid w:val="001C1755"/>
    <w:rsid w:val="001C198C"/>
    <w:rsid w:val="001C1EA3"/>
    <w:rsid w:val="001C2619"/>
    <w:rsid w:val="001C2B15"/>
    <w:rsid w:val="001C32E6"/>
    <w:rsid w:val="001C3FFE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4AB"/>
    <w:rsid w:val="00210C6F"/>
    <w:rsid w:val="002112C2"/>
    <w:rsid w:val="002129BB"/>
    <w:rsid w:val="00212BD4"/>
    <w:rsid w:val="00213B0D"/>
    <w:rsid w:val="00215104"/>
    <w:rsid w:val="0021591A"/>
    <w:rsid w:val="00216EAB"/>
    <w:rsid w:val="002170DE"/>
    <w:rsid w:val="00217904"/>
    <w:rsid w:val="00217CE4"/>
    <w:rsid w:val="00217DC7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E0709"/>
    <w:rsid w:val="004E15F0"/>
    <w:rsid w:val="004E1C2F"/>
    <w:rsid w:val="004E1CF9"/>
    <w:rsid w:val="004E2068"/>
    <w:rsid w:val="004E51F0"/>
    <w:rsid w:val="004E5A59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B7DAA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C57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1B2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E07C0"/>
    <w:rsid w:val="009E0F5D"/>
    <w:rsid w:val="009E13B6"/>
    <w:rsid w:val="009E45D8"/>
    <w:rsid w:val="009E4FD1"/>
    <w:rsid w:val="009E69EA"/>
    <w:rsid w:val="009E700A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C2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593"/>
    <w:rsid w:val="00A9281A"/>
    <w:rsid w:val="00A92E18"/>
    <w:rsid w:val="00A931FD"/>
    <w:rsid w:val="00A93B4D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83A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1F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2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5F86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7A84"/>
    <w:rsid w:val="00D50526"/>
    <w:rsid w:val="00D512A0"/>
    <w:rsid w:val="00D5152D"/>
    <w:rsid w:val="00D5183B"/>
    <w:rsid w:val="00D5187A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1446F2DB"/>
    <w:rsid w:val="251923FB"/>
    <w:rsid w:val="3267BFC3"/>
    <w:rsid w:val="618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styleId="BodyTextChar" w:customStyle="1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EndNoteBibliographyTitle" w:customStyle="1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styleId="EndNoteBibliographyTitleChar" w:customStyle="1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styleId="EndNoteBibliography" w:customStyle="1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styleId="EndNoteBibliographyChar" w:customStyle="1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6F313B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sid w:val="00CA2AF5"/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rsid w:val="00B30FCC"/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Heading3Char" w:customStyle="1">
    <w:name w:val="Heading 3 Char"/>
    <w:basedOn w:val="DefaultParagraphFont"/>
    <w:link w:val="Heading3"/>
    <w:uiPriority w:val="9"/>
    <w:rsid w:val="000652FC"/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styleId="underline" w:customStyle="1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styleId="paragraph" w:customStyle="1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24239"/>
  </w:style>
  <w:style w:type="character" w:styleId="eop" w:customStyle="1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d50e6be1a3bc4cc2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8bb95-2d7e-41ce-b3a5-7ff4a735d16e}"/>
      </w:docPartPr>
      <w:docPartBody>
        <w:p w14:paraId="5E3000F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18226-54C2-423F-8408-29F840F852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8BB7E-EE96-45DD-9693-9B58BFA0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Trinity</dc:creator>
  <keywords/>
  <dc:description/>
  <lastModifiedBy>Meghan Gavaghan</lastModifiedBy>
  <revision>4</revision>
  <dcterms:created xsi:type="dcterms:W3CDTF">2023-02-09T16:57:00.0000000Z</dcterms:created>
  <dcterms:modified xsi:type="dcterms:W3CDTF">2023-02-09T17:40:31.5745035Z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