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6994" w:rsidR="00951DDA" w:rsidP="00951DDA" w:rsidRDefault="00951DDA" w14:paraId="584FC833" w14:textId="1C8D4EEE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name="_Ref120026717" w:id="0"/>
      <w:proofErr w:type="spellStart"/>
      <w:r w:rsidRPr="00BE6994">
        <w:rPr>
          <w:i w:val="0"/>
          <w:iCs w:val="0"/>
          <w:color w:val="auto"/>
          <w:sz w:val="24"/>
          <w:szCs w:val="24"/>
        </w:rPr>
        <w:t>eTable</w:t>
      </w:r>
      <w:proofErr w:type="spellEnd"/>
      <w:r w:rsidRPr="00BE6994">
        <w:rPr>
          <w:i w:val="0"/>
          <w:iCs w:val="0"/>
          <w:color w:val="auto"/>
          <w:sz w:val="24"/>
          <w:szCs w:val="24"/>
        </w:rPr>
        <w:t xml:space="preserve"> 1</w:t>
      </w:r>
      <w:bookmarkEnd w:id="0"/>
      <w:r w:rsidRPr="00BE6994">
        <w:rPr>
          <w:i w:val="0"/>
          <w:iCs w:val="0"/>
          <w:color w:val="auto"/>
          <w:sz w:val="24"/>
          <w:szCs w:val="24"/>
        </w:rPr>
        <w:t xml:space="preserve">. </w:t>
      </w:r>
      <w:r w:rsidRPr="00BE6994">
        <w:rPr>
          <w:rFonts w:cstheme="minorHAnsi"/>
          <w:i w:val="0"/>
          <w:iCs w:val="0"/>
          <w:color w:val="auto"/>
          <w:sz w:val="24"/>
          <w:szCs w:val="24"/>
        </w:rPr>
        <w:t>Attributes and attribute levels used in pre-specified hypothetical Product Profiles X, Y, Z, and AA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19"/>
        <w:gridCol w:w="1786"/>
        <w:gridCol w:w="1786"/>
        <w:gridCol w:w="1786"/>
        <w:gridCol w:w="1813"/>
      </w:tblGrid>
      <w:tr w:rsidR="00951DDA" w:rsidTr="00933B1B" w14:paraId="46C68F5F" w14:textId="77777777">
        <w:tc>
          <w:tcPr>
            <w:tcW w:w="1819" w:type="dxa"/>
          </w:tcPr>
          <w:p w:rsidRPr="00510ADE" w:rsidR="00951DDA" w:rsidP="00933B1B" w:rsidRDefault="00951DDA" w14:paraId="07C0343B" w14:textId="77777777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:rsidRPr="00510ADE" w:rsidR="00951DDA" w:rsidP="00933B1B" w:rsidRDefault="00951DDA" w14:paraId="73A07DE4" w14:textId="77777777">
            <w:pPr>
              <w:rPr>
                <w:b/>
                <w:bCs/>
                <w:sz w:val="20"/>
                <w:szCs w:val="20"/>
              </w:rPr>
            </w:pPr>
            <w:r w:rsidRPr="00510ADE">
              <w:rPr>
                <w:b/>
                <w:bCs/>
                <w:sz w:val="20"/>
                <w:szCs w:val="20"/>
              </w:rPr>
              <w:t xml:space="preserve">Profile </w:t>
            </w: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786" w:type="dxa"/>
          </w:tcPr>
          <w:p w:rsidRPr="00510ADE" w:rsidR="00951DDA" w:rsidP="00933B1B" w:rsidRDefault="00951DDA" w14:paraId="6F0A9873" w14:textId="77777777">
            <w:pPr>
              <w:rPr>
                <w:b/>
                <w:bCs/>
                <w:sz w:val="20"/>
                <w:szCs w:val="20"/>
              </w:rPr>
            </w:pPr>
            <w:r w:rsidRPr="00510ADE">
              <w:rPr>
                <w:b/>
                <w:bCs/>
                <w:sz w:val="20"/>
                <w:szCs w:val="20"/>
              </w:rPr>
              <w:t xml:space="preserve">Profile </w:t>
            </w:r>
            <w:r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786" w:type="dxa"/>
          </w:tcPr>
          <w:p w:rsidRPr="00510ADE" w:rsidR="00951DDA" w:rsidP="00933B1B" w:rsidRDefault="00951DDA" w14:paraId="0487611A" w14:textId="77777777">
            <w:pPr>
              <w:rPr>
                <w:b/>
                <w:bCs/>
                <w:sz w:val="20"/>
                <w:szCs w:val="20"/>
              </w:rPr>
            </w:pPr>
            <w:r w:rsidRPr="00510ADE">
              <w:rPr>
                <w:b/>
                <w:bCs/>
                <w:sz w:val="20"/>
                <w:szCs w:val="20"/>
              </w:rPr>
              <w:t xml:space="preserve">Profile </w:t>
            </w:r>
            <w:r>
              <w:rPr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813" w:type="dxa"/>
          </w:tcPr>
          <w:p w:rsidRPr="00510ADE" w:rsidR="00951DDA" w:rsidP="00933B1B" w:rsidRDefault="00951DDA" w14:paraId="58A4D685" w14:textId="77777777">
            <w:pPr>
              <w:rPr>
                <w:b/>
                <w:bCs/>
                <w:sz w:val="20"/>
                <w:szCs w:val="20"/>
              </w:rPr>
            </w:pPr>
            <w:r w:rsidRPr="00510ADE">
              <w:rPr>
                <w:b/>
                <w:bCs/>
                <w:sz w:val="20"/>
                <w:szCs w:val="20"/>
              </w:rPr>
              <w:t xml:space="preserve">Profile </w:t>
            </w:r>
            <w:r>
              <w:rPr>
                <w:b/>
                <w:bCs/>
                <w:sz w:val="20"/>
                <w:szCs w:val="20"/>
              </w:rPr>
              <w:t>AA</w:t>
            </w:r>
          </w:p>
        </w:tc>
      </w:tr>
      <w:tr w:rsidR="00951DDA" w:rsidTr="00933B1B" w14:paraId="17F6F527" w14:textId="77777777">
        <w:tc>
          <w:tcPr>
            <w:tcW w:w="1819" w:type="dxa"/>
          </w:tcPr>
          <w:p w:rsidRPr="00510ADE" w:rsidR="00951DDA" w:rsidP="00933B1B" w:rsidRDefault="00951DDA" w14:paraId="4A770E4C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Taste and Odor</w:t>
            </w:r>
          </w:p>
        </w:tc>
        <w:tc>
          <w:tcPr>
            <w:tcW w:w="1786" w:type="dxa"/>
          </w:tcPr>
          <w:p w:rsidRPr="00510ADE" w:rsidR="00951DDA" w:rsidP="00933B1B" w:rsidRDefault="00951DDA" w14:paraId="546C4AD5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Taste- and Odor-masked (neutral taste/smell)</w:t>
            </w:r>
          </w:p>
        </w:tc>
        <w:tc>
          <w:tcPr>
            <w:tcW w:w="1786" w:type="dxa"/>
          </w:tcPr>
          <w:p w:rsidRPr="00510ADE" w:rsidR="00951DDA" w:rsidP="00933B1B" w:rsidRDefault="00951DDA" w14:paraId="597FA352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Taste- and Odor-masked (neutral taste/smell)</w:t>
            </w:r>
          </w:p>
        </w:tc>
        <w:tc>
          <w:tcPr>
            <w:tcW w:w="1786" w:type="dxa"/>
          </w:tcPr>
          <w:p w:rsidRPr="00510ADE" w:rsidR="00951DDA" w:rsidP="00933B1B" w:rsidRDefault="00951DDA" w14:paraId="10A967BE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Not taste- or odor-masked (strong odor and taste)</w:t>
            </w:r>
          </w:p>
        </w:tc>
        <w:tc>
          <w:tcPr>
            <w:tcW w:w="1813" w:type="dxa"/>
          </w:tcPr>
          <w:p w:rsidRPr="00510ADE" w:rsidR="00951DDA" w:rsidP="00933B1B" w:rsidRDefault="00951DDA" w14:paraId="4DFDAD87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Not taste- or odor-masked (strong odor and taste)</w:t>
            </w:r>
          </w:p>
        </w:tc>
      </w:tr>
      <w:tr w:rsidR="00951DDA" w:rsidTr="00933B1B" w14:paraId="7C1752C6" w14:textId="77777777">
        <w:tc>
          <w:tcPr>
            <w:tcW w:w="1819" w:type="dxa"/>
          </w:tcPr>
          <w:p w:rsidRPr="00510ADE" w:rsidR="00951DDA" w:rsidP="00933B1B" w:rsidRDefault="00951DDA" w14:paraId="78279C3A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Weight restriction</w:t>
            </w:r>
            <w:r w:rsidRPr="001F28AC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86" w:type="dxa"/>
          </w:tcPr>
          <w:p w:rsidRPr="00510ADE" w:rsidR="00951DDA" w:rsidP="00933B1B" w:rsidRDefault="00951DDA" w14:paraId="22A14CB7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Not recognized for &lt;20kg</w:t>
            </w:r>
          </w:p>
        </w:tc>
        <w:tc>
          <w:tcPr>
            <w:tcW w:w="1786" w:type="dxa"/>
          </w:tcPr>
          <w:p w:rsidRPr="00510ADE" w:rsidR="00951DDA" w:rsidP="00933B1B" w:rsidRDefault="00951DDA" w14:paraId="2108D4D6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 weight requirement</w:t>
            </w:r>
          </w:p>
        </w:tc>
        <w:tc>
          <w:tcPr>
            <w:tcW w:w="1786" w:type="dxa"/>
          </w:tcPr>
          <w:p w:rsidRPr="00510ADE" w:rsidR="00951DDA" w:rsidP="00933B1B" w:rsidRDefault="00951DDA" w14:paraId="6AD9CCBD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 weight requirement</w:t>
            </w:r>
          </w:p>
        </w:tc>
        <w:tc>
          <w:tcPr>
            <w:tcW w:w="1813" w:type="dxa"/>
          </w:tcPr>
          <w:p w:rsidRPr="00510ADE" w:rsidR="00951DDA" w:rsidP="00933B1B" w:rsidRDefault="00951DDA" w14:paraId="409054F0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Not recognized for &lt;20kg</w:t>
            </w:r>
          </w:p>
        </w:tc>
      </w:tr>
      <w:tr w:rsidR="00951DDA" w:rsidTr="00933B1B" w14:paraId="1364984D" w14:textId="77777777">
        <w:tc>
          <w:tcPr>
            <w:tcW w:w="1819" w:type="dxa"/>
          </w:tcPr>
          <w:p w:rsidRPr="00510ADE" w:rsidR="00951DDA" w:rsidP="00933B1B" w:rsidRDefault="00951DDA" w14:paraId="25CF8319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Preparation instructions</w:t>
            </w:r>
          </w:p>
        </w:tc>
        <w:tc>
          <w:tcPr>
            <w:tcW w:w="1786" w:type="dxa"/>
          </w:tcPr>
          <w:p w:rsidRPr="00510ADE" w:rsidR="00951DDA" w:rsidP="00933B1B" w:rsidRDefault="00951DDA" w14:paraId="24E511A7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takes contents with water</w:t>
            </w:r>
          </w:p>
        </w:tc>
        <w:tc>
          <w:tcPr>
            <w:tcW w:w="1786" w:type="dxa"/>
          </w:tcPr>
          <w:p w:rsidRPr="00510ADE" w:rsidR="00951DDA" w:rsidP="00933B1B" w:rsidRDefault="00951DDA" w14:paraId="02E2F6A8" w14:textId="77777777">
            <w:pPr>
              <w:rPr>
                <w:sz w:val="20"/>
                <w:szCs w:val="20"/>
              </w:rPr>
            </w:pPr>
            <w:r w:rsidRPr="000C6BC4">
              <w:rPr>
                <w:sz w:val="20"/>
                <w:szCs w:val="20"/>
              </w:rPr>
              <w:t>Patient takes product from container using a single use, discardable syringe via connector cap (Patients must use ~3 syringes per day)</w:t>
            </w:r>
          </w:p>
        </w:tc>
        <w:tc>
          <w:tcPr>
            <w:tcW w:w="1786" w:type="dxa"/>
          </w:tcPr>
          <w:p w:rsidRPr="00510ADE" w:rsidR="00951DDA" w:rsidP="00933B1B" w:rsidRDefault="00951DDA" w14:paraId="581D4D57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mixes contents with food or water (may need to consume multiple cups of water) using a reusable measuring spoon (3.2g or 9.1g scoop)</w:t>
            </w:r>
          </w:p>
        </w:tc>
        <w:tc>
          <w:tcPr>
            <w:tcW w:w="1813" w:type="dxa"/>
          </w:tcPr>
          <w:p w:rsidRPr="00510ADE" w:rsidR="00951DDA" w:rsidP="00933B1B" w:rsidRDefault="00951DDA" w14:paraId="772CF94B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takes contents with water</w:t>
            </w:r>
          </w:p>
        </w:tc>
      </w:tr>
      <w:tr w:rsidR="00951DDA" w:rsidTr="00933B1B" w14:paraId="6F2DDF46" w14:textId="77777777">
        <w:tc>
          <w:tcPr>
            <w:tcW w:w="1819" w:type="dxa"/>
          </w:tcPr>
          <w:p w:rsidRPr="00510ADE" w:rsidR="00951DDA" w:rsidP="00933B1B" w:rsidRDefault="00951DDA" w14:paraId="153384BD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Route of administration</w:t>
            </w:r>
          </w:p>
        </w:tc>
        <w:tc>
          <w:tcPr>
            <w:tcW w:w="1786" w:type="dxa"/>
          </w:tcPr>
          <w:p w:rsidRPr="00510ADE" w:rsidR="00951DDA" w:rsidP="00933B1B" w:rsidRDefault="00951DDA" w14:paraId="7477F410" w14:textId="77777777">
            <w:pPr>
              <w:rPr>
                <w:sz w:val="20"/>
                <w:szCs w:val="20"/>
              </w:rPr>
            </w:pPr>
            <w:r w:rsidRPr="00F320F2">
              <w:rPr>
                <w:sz w:val="20"/>
                <w:szCs w:val="20"/>
              </w:rPr>
              <w:t>Powder to suspend in water and drink. Product can be administered via gastronomy tube</w:t>
            </w:r>
          </w:p>
        </w:tc>
        <w:tc>
          <w:tcPr>
            <w:tcW w:w="1786" w:type="dxa"/>
          </w:tcPr>
          <w:p w:rsidRPr="00510ADE" w:rsidR="00951DDA" w:rsidP="00933B1B" w:rsidRDefault="00951DDA" w14:paraId="38DB0CDD" w14:textId="77777777">
            <w:pPr>
              <w:rPr>
                <w:sz w:val="20"/>
                <w:szCs w:val="20"/>
              </w:rPr>
            </w:pPr>
            <w:r w:rsidRPr="00995528">
              <w:rPr>
                <w:sz w:val="20"/>
                <w:szCs w:val="20"/>
              </w:rPr>
              <w:t>Oral liquid to squirt into mouth. Product can be administered via gastronomy tube</w:t>
            </w:r>
          </w:p>
        </w:tc>
        <w:tc>
          <w:tcPr>
            <w:tcW w:w="1786" w:type="dxa"/>
          </w:tcPr>
          <w:p w:rsidRPr="00510ADE" w:rsidR="00951DDA" w:rsidP="00933B1B" w:rsidRDefault="00951DDA" w14:paraId="46894849" w14:textId="77777777">
            <w:pPr>
              <w:rPr>
                <w:sz w:val="20"/>
                <w:szCs w:val="20"/>
              </w:rPr>
            </w:pPr>
            <w:r w:rsidRPr="00F320F2">
              <w:rPr>
                <w:sz w:val="20"/>
                <w:szCs w:val="20"/>
              </w:rPr>
              <w:t>Powder to suspend in water and drink. Product can be administered via gastronomy tube</w:t>
            </w:r>
          </w:p>
        </w:tc>
        <w:tc>
          <w:tcPr>
            <w:tcW w:w="1813" w:type="dxa"/>
          </w:tcPr>
          <w:p w:rsidRPr="00510ADE" w:rsidR="00951DDA" w:rsidP="00933B1B" w:rsidRDefault="00951DDA" w14:paraId="1BA6F5BC" w14:textId="77777777">
            <w:pPr>
              <w:rPr>
                <w:sz w:val="20"/>
                <w:szCs w:val="20"/>
              </w:rPr>
            </w:pPr>
            <w:r w:rsidRPr="00995528">
              <w:rPr>
                <w:sz w:val="20"/>
                <w:szCs w:val="20"/>
              </w:rPr>
              <w:t xml:space="preserve">Tablet (Patients takes approximately one tablet per kilogram body weight per day (min. 20 &amp; max. 40 tablets/day)). Product can </w:t>
            </w:r>
            <w:r w:rsidRPr="00995528">
              <w:rPr>
                <w:b/>
                <w:bCs/>
                <w:sz w:val="20"/>
                <w:szCs w:val="20"/>
                <w:u w:val="single"/>
              </w:rPr>
              <w:t>NOT</w:t>
            </w:r>
            <w:r w:rsidRPr="00995528">
              <w:rPr>
                <w:sz w:val="20"/>
                <w:szCs w:val="20"/>
              </w:rPr>
              <w:t xml:space="preserve"> be administered via gastronomy tube</w:t>
            </w:r>
          </w:p>
        </w:tc>
      </w:tr>
      <w:tr w:rsidR="00951DDA" w:rsidTr="00933B1B" w14:paraId="28FC5B03" w14:textId="77777777">
        <w:tc>
          <w:tcPr>
            <w:tcW w:w="1819" w:type="dxa"/>
          </w:tcPr>
          <w:p w:rsidRPr="00510ADE" w:rsidR="00951DDA" w:rsidP="00933B1B" w:rsidRDefault="00951DDA" w14:paraId="4DDB6030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Packaging</w:t>
            </w:r>
          </w:p>
        </w:tc>
        <w:tc>
          <w:tcPr>
            <w:tcW w:w="1786" w:type="dxa"/>
          </w:tcPr>
          <w:p w:rsidRPr="00510ADE" w:rsidR="00951DDA" w:rsidP="00933B1B" w:rsidRDefault="00951DDA" w14:paraId="7405F0AB" w14:textId="77777777">
            <w:pPr>
              <w:rPr>
                <w:sz w:val="20"/>
                <w:szCs w:val="20"/>
              </w:rPr>
            </w:pPr>
            <w:r w:rsidRPr="00565CE3">
              <w:rPr>
                <w:sz w:val="20"/>
                <w:szCs w:val="20"/>
              </w:rPr>
              <w:t>Product contained in pocket-sized single use foil sachets, packaged as a monthly kit with 30-day supply (90 doses)</w:t>
            </w:r>
          </w:p>
        </w:tc>
        <w:tc>
          <w:tcPr>
            <w:tcW w:w="1786" w:type="dxa"/>
          </w:tcPr>
          <w:p w:rsidRPr="00510ADE" w:rsidR="00951DDA" w:rsidP="00933B1B" w:rsidRDefault="00951DDA" w14:paraId="22EECB28" w14:textId="77777777">
            <w:pPr>
              <w:rPr>
                <w:sz w:val="20"/>
                <w:szCs w:val="20"/>
              </w:rPr>
            </w:pPr>
            <w:r w:rsidRPr="00625B15">
              <w:rPr>
                <w:sz w:val="20"/>
                <w:szCs w:val="20"/>
              </w:rPr>
              <w:t>Product stored in a kit containing multi-use glass 25mL bottle</w:t>
            </w:r>
          </w:p>
        </w:tc>
        <w:tc>
          <w:tcPr>
            <w:tcW w:w="1786" w:type="dxa"/>
          </w:tcPr>
          <w:p w:rsidRPr="00510ADE" w:rsidR="00951DDA" w:rsidP="00933B1B" w:rsidRDefault="00951DDA" w14:paraId="3DF47AE6" w14:textId="77777777">
            <w:pPr>
              <w:rPr>
                <w:sz w:val="20"/>
                <w:szCs w:val="20"/>
              </w:rPr>
            </w:pPr>
            <w:r w:rsidRPr="00625B15">
              <w:rPr>
                <w:sz w:val="20"/>
                <w:szCs w:val="20"/>
              </w:rPr>
              <w:t>Product stored in a plastic bottle</w:t>
            </w:r>
          </w:p>
        </w:tc>
        <w:tc>
          <w:tcPr>
            <w:tcW w:w="1813" w:type="dxa"/>
          </w:tcPr>
          <w:p w:rsidRPr="00510ADE" w:rsidR="00951DDA" w:rsidP="00933B1B" w:rsidRDefault="00951DDA" w14:paraId="671B9A53" w14:textId="77777777">
            <w:pPr>
              <w:rPr>
                <w:sz w:val="20"/>
                <w:szCs w:val="20"/>
              </w:rPr>
            </w:pPr>
            <w:r w:rsidRPr="00625B15">
              <w:rPr>
                <w:sz w:val="20"/>
                <w:szCs w:val="20"/>
              </w:rPr>
              <w:t>Product stored in a plastic bottle</w:t>
            </w:r>
          </w:p>
        </w:tc>
      </w:tr>
      <w:tr w:rsidR="00951DDA" w:rsidTr="00933B1B" w14:paraId="3F045433" w14:textId="77777777">
        <w:tc>
          <w:tcPr>
            <w:tcW w:w="1819" w:type="dxa"/>
          </w:tcPr>
          <w:p w:rsidRPr="00510ADE" w:rsidR="00951DDA" w:rsidP="00933B1B" w:rsidRDefault="00951DDA" w14:paraId="743C5B67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Measurement</w:t>
            </w:r>
          </w:p>
        </w:tc>
        <w:tc>
          <w:tcPr>
            <w:tcW w:w="1786" w:type="dxa"/>
          </w:tcPr>
          <w:p w:rsidRPr="00510ADE" w:rsidR="00951DDA" w:rsidP="00933B1B" w:rsidRDefault="00951DDA" w14:paraId="4A8B6C0A" w14:textId="77777777">
            <w:pPr>
              <w:rPr>
                <w:sz w:val="20"/>
                <w:szCs w:val="20"/>
              </w:rPr>
            </w:pPr>
            <w:r w:rsidRPr="00582D7D">
              <w:rPr>
                <w:sz w:val="20"/>
                <w:szCs w:val="20"/>
              </w:rPr>
              <w:t>Patient not required to measure dose</w:t>
            </w:r>
          </w:p>
        </w:tc>
        <w:tc>
          <w:tcPr>
            <w:tcW w:w="1786" w:type="dxa"/>
          </w:tcPr>
          <w:p w:rsidRPr="00510ADE" w:rsidR="00951DDA" w:rsidP="00933B1B" w:rsidRDefault="00951DDA" w14:paraId="61BC8B94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measures appropriate dose</w:t>
            </w:r>
          </w:p>
        </w:tc>
        <w:tc>
          <w:tcPr>
            <w:tcW w:w="1786" w:type="dxa"/>
          </w:tcPr>
          <w:p w:rsidRPr="00510ADE" w:rsidR="00951DDA" w:rsidP="00933B1B" w:rsidRDefault="00951DDA" w14:paraId="1943A5B4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measures appropriate dose</w:t>
            </w:r>
          </w:p>
        </w:tc>
        <w:tc>
          <w:tcPr>
            <w:tcW w:w="1813" w:type="dxa"/>
          </w:tcPr>
          <w:p w:rsidRPr="00510ADE" w:rsidR="00951DDA" w:rsidP="00933B1B" w:rsidRDefault="00951DDA" w14:paraId="5338A44F" w14:textId="77777777">
            <w:pPr>
              <w:rPr>
                <w:sz w:val="20"/>
                <w:szCs w:val="20"/>
              </w:rPr>
            </w:pPr>
            <w:r w:rsidRPr="00510ADE">
              <w:rPr>
                <w:sz w:val="20"/>
                <w:szCs w:val="20"/>
              </w:rPr>
              <w:t>Patient measures appropriate dose</w:t>
            </w:r>
          </w:p>
        </w:tc>
      </w:tr>
    </w:tbl>
    <w:p w:rsidR="00EE134B" w:rsidP="00EE134B" w:rsidRDefault="00951DDA" w14:paraId="3CAD137C" w14:textId="241EF8C7">
      <w:r w:rsidRPr="008C5F6C">
        <w:rPr>
          <w:rFonts w:cstheme="minorHAnsi"/>
          <w:sz w:val="20"/>
          <w:szCs w:val="20"/>
          <w:vertAlign w:val="superscript"/>
        </w:rPr>
        <w:t>1</w:t>
      </w:r>
      <w:r w:rsidRPr="008C5F6C">
        <w:rPr>
          <w:rFonts w:cstheme="minorHAnsi"/>
          <w:i/>
          <w:iCs/>
          <w:sz w:val="20"/>
          <w:szCs w:val="20"/>
        </w:rPr>
        <w:t xml:space="preserve"> In context of individual attribute levels, attribute refers to weight restrictions rather than weight-based </w:t>
      </w:r>
      <w:proofErr w:type="gramStart"/>
      <w:r w:rsidRPr="008C5F6C">
        <w:rPr>
          <w:rFonts w:cstheme="minorHAnsi"/>
          <w:i/>
          <w:iCs/>
          <w:sz w:val="20"/>
          <w:szCs w:val="20"/>
        </w:rPr>
        <w:t>dosing</w:t>
      </w:r>
      <w:proofErr w:type="gramEnd"/>
    </w:p>
    <w:p w:rsidR="00430EA7" w:rsidP="00B15D19" w:rsidRDefault="00430EA7" w14:paraId="356F70FF" w14:textId="77777777">
      <w:pPr>
        <w:pStyle w:val="Caption"/>
        <w:keepNext/>
        <w:rPr>
          <w:i w:val="0"/>
          <w:iCs w:val="0"/>
          <w:sz w:val="24"/>
          <w:szCs w:val="24"/>
        </w:rPr>
      </w:pP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7F0C" w:rsidP="00E078D5" w:rsidRDefault="009D7F0C" w14:paraId="360EB38A" w14:textId="77777777">
      <w:pPr>
        <w:spacing w:after="0" w:line="240" w:lineRule="auto"/>
      </w:pPr>
      <w:r>
        <w:separator/>
      </w:r>
    </w:p>
  </w:endnote>
  <w:endnote w:type="continuationSeparator" w:id="0">
    <w:p w:rsidR="009D7F0C" w:rsidP="00E078D5" w:rsidRDefault="009D7F0C" w14:paraId="496674C4" w14:textId="77777777">
      <w:pPr>
        <w:spacing w:after="0" w:line="240" w:lineRule="auto"/>
      </w:pPr>
      <w:r>
        <w:continuationSeparator/>
      </w:r>
    </w:p>
  </w:endnote>
  <w:endnote w:type="continuationNotice" w:id="1">
    <w:p w:rsidR="009D7F0C" w:rsidRDefault="009D7F0C" w14:paraId="100FB3B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7F0C" w:rsidP="00E078D5" w:rsidRDefault="009D7F0C" w14:paraId="4F59FF90" w14:textId="77777777">
      <w:pPr>
        <w:spacing w:after="0" w:line="240" w:lineRule="auto"/>
      </w:pPr>
      <w:r>
        <w:separator/>
      </w:r>
    </w:p>
  </w:footnote>
  <w:footnote w:type="continuationSeparator" w:id="0">
    <w:p w:rsidR="009D7F0C" w:rsidP="00E078D5" w:rsidRDefault="009D7F0C" w14:paraId="1605321D" w14:textId="77777777">
      <w:pPr>
        <w:spacing w:after="0" w:line="240" w:lineRule="auto"/>
      </w:pPr>
      <w:r>
        <w:continuationSeparator/>
      </w:r>
    </w:p>
  </w:footnote>
  <w:footnote w:type="continuationNotice" w:id="1">
    <w:p w:rsidR="009D7F0C" w:rsidRDefault="009D7F0C" w14:paraId="68C802F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D7F0C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3A09FC1F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8d0c4d590ec6497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4ea69-d3c7-42dd-a6d3-d5d7ad03ec00}"/>
      </w:docPartPr>
      <w:docPartBody>
        <w:p w14:paraId="210E2BD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2023-02-09T16:46:00.0000000Z</dcterms:created>
  <dcterms:modified xsi:type="dcterms:W3CDTF">2023-02-09T17:34:43.3085445Z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