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721742" w14:textId="6FAC0EC6" w:rsidR="00687D09" w:rsidRDefault="00687D09" w:rsidP="0015243E">
      <w:pPr>
        <w:pStyle w:val="Heading1"/>
        <w:numPr>
          <w:ilvl w:val="0"/>
          <w:numId w:val="2"/>
        </w:numPr>
      </w:pPr>
      <w:r>
        <w:t>Appendix</w:t>
      </w:r>
    </w:p>
    <w:p w14:paraId="4AF2F1ED" w14:textId="77777777" w:rsidR="00687D09" w:rsidRPr="009D7E49" w:rsidRDefault="00687D09" w:rsidP="00687D09">
      <w:pPr>
        <w:pStyle w:val="Heading2"/>
      </w:pPr>
      <w:r>
        <w:t>Appendix A:</w:t>
      </w:r>
    </w:p>
    <w:p w14:paraId="6537FEB7" w14:textId="77777777" w:rsidR="00687D09" w:rsidRPr="00BD448C" w:rsidRDefault="00687D09" w:rsidP="00687D09">
      <w:r>
        <w:t>The following equations are estimated:</w:t>
      </w:r>
    </w:p>
    <w:p w14:paraId="3033A8B8" w14:textId="77777777" w:rsidR="00687D09" w:rsidRPr="006C2D3A" w:rsidRDefault="00687D09" w:rsidP="00687D09">
      <m:oMathPara>
        <m:oMath>
          <m:r>
            <w:rPr>
              <w:rFonts w:ascii="Cambria Math" w:hAnsi="Cambria Math"/>
            </w:rPr>
            <m:t>child nutritio</m:t>
          </m:r>
          <m:sSub>
            <m:sSubPr>
              <m:ctrlPr>
                <w:rPr>
                  <w:rFonts w:ascii="Cambria Math" w:hAnsi="Cambria Math"/>
                  <w:i/>
                </w:rPr>
              </m:ctrlPr>
            </m:sSubPr>
            <m:e>
              <m:r>
                <w:rPr>
                  <w:rFonts w:ascii="Cambria Math" w:hAnsi="Cambria Math"/>
                </w:rPr>
                <m:t>n</m:t>
              </m:r>
            </m:e>
            <m:sub>
              <m:r>
                <w:rPr>
                  <w:rFonts w:ascii="Cambria Math" w:hAnsi="Cambria Math"/>
                </w:rPr>
                <m:t>i</m:t>
              </m:r>
            </m:sub>
          </m:sSub>
          <m:r>
            <m:rPr>
              <m:sty m:val="p"/>
            </m:rPr>
            <w:rPr>
              <w:rFonts w:ascii="Cambria Math" w:hAnsi="Cambria Math"/>
            </w:rPr>
            <m:t xml:space="preserve">= </m:t>
          </m:r>
          <m:sSub>
            <m:sSubPr>
              <m:ctrlPr>
                <w:rPr>
                  <w:rFonts w:ascii="Cambria Math" w:hAnsi="Cambria Math"/>
                </w:rPr>
              </m:ctrlPr>
            </m:sSubPr>
            <m:e>
              <m:r>
                <w:rPr>
                  <w:rFonts w:ascii="Cambria Math" w:hAnsi="Cambria Math"/>
                </w:rPr>
                <m:t>β</m:t>
              </m:r>
            </m:e>
            <m:sub>
              <m:r>
                <m:rPr>
                  <m:sty m:val="p"/>
                </m:rPr>
                <w:rPr>
                  <w:rFonts w:ascii="Cambria Math" w:hAnsi="Cambria Math"/>
                </w:rPr>
                <m:t>0</m:t>
              </m:r>
            </m:sub>
          </m:sSub>
          <m:r>
            <m:rPr>
              <m:sty m:val="p"/>
            </m:rPr>
            <w:rPr>
              <w:rFonts w:ascii="Cambria Math" w:hAnsi="Cambria Math"/>
            </w:rPr>
            <m:t>+</m:t>
          </m:r>
          <m:sSub>
            <m:sSubPr>
              <m:ctrlPr>
                <w:rPr>
                  <w:rFonts w:ascii="Cambria Math" w:hAnsi="Cambria Math"/>
                </w:rPr>
              </m:ctrlPr>
            </m:sSubPr>
            <m:e>
              <m:r>
                <w:rPr>
                  <w:rFonts w:ascii="Cambria Math" w:hAnsi="Cambria Math"/>
                </w:rPr>
                <m:t>β</m:t>
              </m:r>
            </m:e>
            <m:sub>
              <m:r>
                <m:rPr>
                  <m:sty m:val="p"/>
                </m:rPr>
                <w:rPr>
                  <w:rFonts w:ascii="Cambria Math" w:hAnsi="Cambria Math"/>
                </w:rPr>
                <m:t>1</m:t>
              </m:r>
            </m:sub>
          </m:sSub>
          <m:sSub>
            <m:sSubPr>
              <m:ctrlPr>
                <w:rPr>
                  <w:rFonts w:ascii="Cambria Math" w:hAnsi="Cambria Math"/>
                </w:rPr>
              </m:ctrlPr>
            </m:sSubPr>
            <m:e>
              <m:r>
                <w:rPr>
                  <w:rFonts w:ascii="Cambria Math" w:hAnsi="Cambria Math"/>
                </w:rPr>
                <m:t>maternal orphan rate×maternal absence rate</m:t>
              </m:r>
            </m:e>
            <m:sub>
              <m:r>
                <w:rPr>
                  <w:rFonts w:ascii="Cambria Math" w:hAnsi="Cambria Math"/>
                </w:rPr>
                <m:t>i</m:t>
              </m:r>
            </m:sub>
          </m:sSub>
          <m:r>
            <m:rPr>
              <m:sty m:val="p"/>
            </m:rPr>
            <w:rPr>
              <w:rFonts w:ascii="Cambria Math" w:hAnsi="Cambria Math"/>
            </w:rPr>
            <m:t>+</m:t>
          </m:r>
          <m:sSub>
            <m:sSubPr>
              <m:ctrlPr>
                <w:rPr>
                  <w:rFonts w:ascii="Cambria Math" w:hAnsi="Cambria Math"/>
                </w:rPr>
              </m:ctrlPr>
            </m:sSubPr>
            <m:e>
              <m:r>
                <m:rPr>
                  <m:sty m:val="bi"/>
                </m:rPr>
                <w:rPr>
                  <w:rFonts w:ascii="Cambria Math" w:hAnsi="Cambria Math"/>
                </w:rPr>
                <m:t>δ'</m:t>
              </m:r>
            </m:e>
            <m:sub>
              <m:r>
                <w:rPr>
                  <w:rFonts w:ascii="Cambria Math" w:hAnsi="Cambria Math"/>
                </w:rPr>
                <m:t>i</m:t>
              </m:r>
            </m:sub>
          </m:sSub>
          <m:sSub>
            <m:sSubPr>
              <m:ctrlPr>
                <w:rPr>
                  <w:rFonts w:ascii="Cambria Math" w:hAnsi="Cambria Math"/>
                </w:rPr>
              </m:ctrlPr>
            </m:sSubPr>
            <m:e>
              <m:r>
                <m:rPr>
                  <m:sty m:val="bi"/>
                </m:rPr>
                <w:rPr>
                  <w:rFonts w:ascii="Cambria Math" w:hAnsi="Cambria Math"/>
                </w:rPr>
                <m:t>x</m:t>
              </m:r>
            </m:e>
            <m:sub>
              <m:r>
                <w:rPr>
                  <w:rFonts w:ascii="Cambria Math" w:hAnsi="Cambria Math"/>
                </w:rPr>
                <m:t>i</m:t>
              </m:r>
            </m:sub>
          </m:sSub>
          <m:r>
            <m:rPr>
              <m:sty m:val="p"/>
            </m:rPr>
            <w:rPr>
              <w:rFonts w:ascii="Cambria Math" w:hAnsi="Cambria Math"/>
            </w:rPr>
            <m:t>+</m:t>
          </m:r>
          <m:sSub>
            <m:sSubPr>
              <m:ctrlPr>
                <w:rPr>
                  <w:rFonts w:ascii="Cambria Math" w:hAnsi="Cambria Math"/>
                </w:rPr>
              </m:ctrlPr>
            </m:sSubPr>
            <m:e>
              <m:sSub>
                <m:sSubPr>
                  <m:ctrlPr>
                    <w:rPr>
                      <w:rFonts w:ascii="Cambria Math" w:hAnsi="Cambria Math"/>
                    </w:rPr>
                  </m:ctrlPr>
                </m:sSubPr>
                <m:e>
                  <m:r>
                    <m:rPr>
                      <m:sty m:val="bi"/>
                    </m:rPr>
                    <w:rPr>
                      <w:rFonts w:ascii="Cambria Math" w:hAnsi="Cambria Math"/>
                    </w:rPr>
                    <m:t>β'</m:t>
                  </m:r>
                </m:e>
                <m:sub>
                  <m:r>
                    <m:rPr>
                      <m:sty m:val="p"/>
                    </m:rPr>
                    <w:rPr>
                      <w:rFonts w:ascii="Cambria Math" w:hAnsi="Cambria Math"/>
                    </w:rPr>
                    <m:t>2</m:t>
                  </m:r>
                </m:sub>
              </m:sSub>
              <m:r>
                <w:rPr>
                  <w:rFonts w:ascii="Cambria Math" w:hAnsi="Cambria Math"/>
                </w:rPr>
                <m:t>W</m:t>
              </m:r>
              <m:sSub>
                <m:sSubPr>
                  <m:ctrlPr>
                    <w:rPr>
                      <w:rFonts w:ascii="Cambria Math" w:hAnsi="Cambria Math"/>
                    </w:rPr>
                  </m:ctrlPr>
                </m:sSubPr>
                <m:e>
                  <m:r>
                    <m:rPr>
                      <m:sty m:val="bi"/>
                    </m:rPr>
                    <w:rPr>
                      <w:rFonts w:ascii="Cambria Math" w:hAnsi="Cambria Math"/>
                    </w:rPr>
                    <m:t>x</m:t>
                  </m:r>
                </m:e>
                <m:sub>
                  <m:r>
                    <w:rPr>
                      <w:rFonts w:ascii="Cambria Math" w:hAnsi="Cambria Math"/>
                    </w:rPr>
                    <m:t>i</m:t>
                  </m:r>
                </m:sub>
              </m:sSub>
              <m:r>
                <m:rPr>
                  <m:sty m:val="p"/>
                </m:rPr>
                <w:rPr>
                  <w:rFonts w:ascii="Cambria Math" w:hAnsi="Cambria Math"/>
                </w:rPr>
                <m:t>+</m:t>
              </m:r>
              <m:sSup>
                <m:sSupPr>
                  <m:ctrlPr>
                    <w:rPr>
                      <w:rFonts w:ascii="Cambria Math" w:hAnsi="Cambria Math"/>
                      <w:b/>
                      <w:bCs/>
                    </w:rPr>
                  </m:ctrlPr>
                </m:sSupPr>
                <m:e>
                  <m:d>
                    <m:dPr>
                      <m:ctrlPr>
                        <w:rPr>
                          <w:rFonts w:ascii="Cambria Math" w:hAnsi="Cambria Math"/>
                          <w:i/>
                          <w:iCs/>
                        </w:rPr>
                      </m:ctrlPr>
                    </m:dPr>
                    <m:e>
                      <m:r>
                        <w:rPr>
                          <w:rFonts w:ascii="Cambria Math" w:hAnsi="Cambria Math"/>
                        </w:rPr>
                        <m:t>I-ρW</m:t>
                      </m:r>
                      <m:ctrlPr>
                        <w:rPr>
                          <w:rFonts w:ascii="Cambria Math" w:hAnsi="Cambria Math"/>
                          <w:b/>
                          <w:bCs/>
                          <w:i/>
                          <w:iCs/>
                        </w:rPr>
                      </m:ctrlPr>
                    </m:e>
                  </m:d>
                </m:e>
                <m:sup>
                  <m:r>
                    <m:rPr>
                      <m:sty m:val="b"/>
                    </m:rPr>
                    <w:rPr>
                      <w:rFonts w:ascii="Cambria Math" w:hAnsi="Cambria Math"/>
                    </w:rPr>
                    <m:t>-</m:t>
                  </m:r>
                  <m:r>
                    <m:rPr>
                      <m:sty m:val="p"/>
                    </m:rPr>
                    <w:rPr>
                      <w:rFonts w:ascii="Cambria Math" w:hAnsi="Cambria Math"/>
                    </w:rPr>
                    <m:t>1</m:t>
                  </m:r>
                </m:sup>
              </m:sSup>
              <m:r>
                <w:rPr>
                  <w:rFonts w:ascii="Cambria Math" w:hAnsi="Cambria Math"/>
                </w:rPr>
                <m:t>u</m:t>
              </m:r>
            </m:e>
            <m:sub>
              <m:r>
                <w:rPr>
                  <w:rFonts w:ascii="Cambria Math" w:hAnsi="Cambria Math"/>
                </w:rPr>
                <m:t>i</m:t>
              </m:r>
            </m:sub>
          </m:sSub>
        </m:oMath>
      </m:oMathPara>
    </w:p>
    <w:p w14:paraId="48DC6672" w14:textId="77777777" w:rsidR="00687D09" w:rsidRPr="006C2D3A" w:rsidRDefault="00687D09" w:rsidP="00687D09">
      <m:oMathPara>
        <m:oMath>
          <m:r>
            <w:rPr>
              <w:rFonts w:ascii="Cambria Math" w:hAnsi="Cambria Math"/>
            </w:rPr>
            <m:t>child nutritio</m:t>
          </m:r>
          <m:sSub>
            <m:sSubPr>
              <m:ctrlPr>
                <w:rPr>
                  <w:rFonts w:ascii="Cambria Math" w:hAnsi="Cambria Math"/>
                  <w:i/>
                </w:rPr>
              </m:ctrlPr>
            </m:sSubPr>
            <m:e>
              <m:r>
                <w:rPr>
                  <w:rFonts w:ascii="Cambria Math" w:hAnsi="Cambria Math"/>
                </w:rPr>
                <m:t>n</m:t>
              </m:r>
            </m:e>
            <m:sub>
              <m:r>
                <w:rPr>
                  <w:rFonts w:ascii="Cambria Math" w:hAnsi="Cambria Math"/>
                </w:rPr>
                <m:t>i</m:t>
              </m:r>
            </m:sub>
          </m:sSub>
          <m:r>
            <m:rPr>
              <m:sty m:val="p"/>
            </m:rPr>
            <w:rPr>
              <w:rFonts w:ascii="Cambria Math" w:hAnsi="Cambria Math"/>
            </w:rPr>
            <m:t xml:space="preserve">= </m:t>
          </m:r>
          <m:sSub>
            <m:sSubPr>
              <m:ctrlPr>
                <w:rPr>
                  <w:rFonts w:ascii="Cambria Math" w:hAnsi="Cambria Math"/>
                </w:rPr>
              </m:ctrlPr>
            </m:sSubPr>
            <m:e>
              <m:r>
                <w:rPr>
                  <w:rFonts w:ascii="Cambria Math" w:hAnsi="Cambria Math"/>
                </w:rPr>
                <m:t>β</m:t>
              </m:r>
            </m:e>
            <m:sub>
              <m:r>
                <m:rPr>
                  <m:sty m:val="p"/>
                </m:rPr>
                <w:rPr>
                  <w:rFonts w:ascii="Cambria Math" w:hAnsi="Cambria Math"/>
                </w:rPr>
                <m:t>0</m:t>
              </m:r>
            </m:sub>
          </m:sSub>
          <m:r>
            <m:rPr>
              <m:sty m:val="p"/>
            </m:rPr>
            <w:rPr>
              <w:rFonts w:ascii="Cambria Math" w:hAnsi="Cambria Math"/>
            </w:rPr>
            <m:t xml:space="preserve">+ </m:t>
          </m:r>
          <m:sSub>
            <m:sSubPr>
              <m:ctrlPr>
                <w:rPr>
                  <w:rFonts w:ascii="Cambria Math" w:hAnsi="Cambria Math"/>
                </w:rPr>
              </m:ctrlPr>
            </m:sSubPr>
            <m:e>
              <m:r>
                <w:rPr>
                  <w:rFonts w:ascii="Cambria Math" w:hAnsi="Cambria Math"/>
                </w:rPr>
                <m:t>β</m:t>
              </m:r>
            </m:e>
            <m:sub>
              <m:r>
                <m:rPr>
                  <m:sty m:val="p"/>
                </m:rPr>
                <w:rPr>
                  <w:rFonts w:ascii="Cambria Math" w:hAnsi="Cambria Math"/>
                </w:rPr>
                <m:t>1</m:t>
              </m:r>
            </m:sub>
          </m:sSub>
          <m:sSub>
            <m:sSubPr>
              <m:ctrlPr>
                <w:rPr>
                  <w:rFonts w:ascii="Cambria Math" w:hAnsi="Cambria Math"/>
                </w:rPr>
              </m:ctrlPr>
            </m:sSubPr>
            <m:e>
              <m:r>
                <w:rPr>
                  <w:rFonts w:ascii="Cambria Math" w:hAnsi="Cambria Math"/>
                </w:rPr>
                <m:t>paternal orphan rate×paternal absence rate</m:t>
              </m:r>
            </m:e>
            <m:sub>
              <m:r>
                <w:rPr>
                  <w:rFonts w:ascii="Cambria Math" w:hAnsi="Cambria Math"/>
                </w:rPr>
                <m:t>i</m:t>
              </m:r>
            </m:sub>
          </m:sSub>
          <m:r>
            <m:rPr>
              <m:sty m:val="p"/>
            </m:rPr>
            <w:rPr>
              <w:rFonts w:ascii="Cambria Math" w:hAnsi="Cambria Math"/>
            </w:rPr>
            <m:t>+</m:t>
          </m:r>
          <m:sSub>
            <m:sSubPr>
              <m:ctrlPr>
                <w:rPr>
                  <w:rFonts w:ascii="Cambria Math" w:hAnsi="Cambria Math"/>
                </w:rPr>
              </m:ctrlPr>
            </m:sSubPr>
            <m:e>
              <m:r>
                <m:rPr>
                  <m:sty m:val="bi"/>
                </m:rPr>
                <w:rPr>
                  <w:rFonts w:ascii="Cambria Math" w:hAnsi="Cambria Math"/>
                </w:rPr>
                <m:t>δ'</m:t>
              </m:r>
            </m:e>
            <m:sub>
              <m:r>
                <w:rPr>
                  <w:rFonts w:ascii="Cambria Math" w:hAnsi="Cambria Math"/>
                </w:rPr>
                <m:t>i</m:t>
              </m:r>
            </m:sub>
          </m:sSub>
          <m:sSub>
            <m:sSubPr>
              <m:ctrlPr>
                <w:rPr>
                  <w:rFonts w:ascii="Cambria Math" w:hAnsi="Cambria Math"/>
                </w:rPr>
              </m:ctrlPr>
            </m:sSubPr>
            <m:e>
              <m:r>
                <m:rPr>
                  <m:sty m:val="bi"/>
                </m:rPr>
                <w:rPr>
                  <w:rFonts w:ascii="Cambria Math" w:hAnsi="Cambria Math"/>
                </w:rPr>
                <m:t>x</m:t>
              </m:r>
            </m:e>
            <m:sub>
              <m:r>
                <w:rPr>
                  <w:rFonts w:ascii="Cambria Math" w:hAnsi="Cambria Math"/>
                </w:rPr>
                <m:t>i</m:t>
              </m:r>
            </m:sub>
          </m:sSub>
          <m:r>
            <m:rPr>
              <m:sty m:val="p"/>
            </m:rPr>
            <w:rPr>
              <w:rFonts w:ascii="Cambria Math" w:hAnsi="Cambria Math"/>
            </w:rPr>
            <m:t>+</m:t>
          </m:r>
          <m:sSub>
            <m:sSubPr>
              <m:ctrlPr>
                <w:rPr>
                  <w:rFonts w:ascii="Cambria Math" w:hAnsi="Cambria Math"/>
                </w:rPr>
              </m:ctrlPr>
            </m:sSubPr>
            <m:e>
              <m:sSub>
                <m:sSubPr>
                  <m:ctrlPr>
                    <w:rPr>
                      <w:rFonts w:ascii="Cambria Math" w:hAnsi="Cambria Math"/>
                    </w:rPr>
                  </m:ctrlPr>
                </m:sSubPr>
                <m:e>
                  <m:r>
                    <m:rPr>
                      <m:sty m:val="bi"/>
                    </m:rPr>
                    <w:rPr>
                      <w:rFonts w:ascii="Cambria Math" w:hAnsi="Cambria Math"/>
                    </w:rPr>
                    <m:t>β'</m:t>
                  </m:r>
                </m:e>
                <m:sub>
                  <m:r>
                    <m:rPr>
                      <m:sty m:val="p"/>
                    </m:rPr>
                    <w:rPr>
                      <w:rFonts w:ascii="Cambria Math" w:hAnsi="Cambria Math"/>
                    </w:rPr>
                    <m:t>2</m:t>
                  </m:r>
                </m:sub>
              </m:sSub>
              <m:r>
                <w:rPr>
                  <w:rFonts w:ascii="Cambria Math" w:hAnsi="Cambria Math"/>
                </w:rPr>
                <m:t>W</m:t>
              </m:r>
              <m:sSub>
                <m:sSubPr>
                  <m:ctrlPr>
                    <w:rPr>
                      <w:rFonts w:ascii="Cambria Math" w:hAnsi="Cambria Math"/>
                    </w:rPr>
                  </m:ctrlPr>
                </m:sSubPr>
                <m:e>
                  <m:r>
                    <m:rPr>
                      <m:sty m:val="bi"/>
                    </m:rPr>
                    <w:rPr>
                      <w:rFonts w:ascii="Cambria Math" w:hAnsi="Cambria Math"/>
                    </w:rPr>
                    <m:t>x</m:t>
                  </m:r>
                </m:e>
                <m:sub>
                  <m:r>
                    <w:rPr>
                      <w:rFonts w:ascii="Cambria Math" w:hAnsi="Cambria Math"/>
                    </w:rPr>
                    <m:t>i</m:t>
                  </m:r>
                </m:sub>
              </m:sSub>
              <m:r>
                <m:rPr>
                  <m:sty m:val="p"/>
                </m:rPr>
                <w:rPr>
                  <w:rFonts w:ascii="Cambria Math" w:hAnsi="Cambria Math"/>
                </w:rPr>
                <m:t>+</m:t>
              </m:r>
              <m:sSup>
                <m:sSupPr>
                  <m:ctrlPr>
                    <w:rPr>
                      <w:rFonts w:ascii="Cambria Math" w:hAnsi="Cambria Math"/>
                      <w:b/>
                      <w:bCs/>
                    </w:rPr>
                  </m:ctrlPr>
                </m:sSupPr>
                <m:e>
                  <m:d>
                    <m:dPr>
                      <m:ctrlPr>
                        <w:rPr>
                          <w:rFonts w:ascii="Cambria Math" w:hAnsi="Cambria Math"/>
                          <w:i/>
                          <w:iCs/>
                        </w:rPr>
                      </m:ctrlPr>
                    </m:dPr>
                    <m:e>
                      <m:r>
                        <w:rPr>
                          <w:rFonts w:ascii="Cambria Math" w:hAnsi="Cambria Math"/>
                        </w:rPr>
                        <m:t>I-ρW</m:t>
                      </m:r>
                      <m:ctrlPr>
                        <w:rPr>
                          <w:rFonts w:ascii="Cambria Math" w:hAnsi="Cambria Math"/>
                          <w:b/>
                          <w:bCs/>
                          <w:i/>
                          <w:iCs/>
                        </w:rPr>
                      </m:ctrlPr>
                    </m:e>
                  </m:d>
                </m:e>
                <m:sup>
                  <m:r>
                    <m:rPr>
                      <m:sty m:val="b"/>
                    </m:rPr>
                    <w:rPr>
                      <w:rFonts w:ascii="Cambria Math" w:hAnsi="Cambria Math"/>
                    </w:rPr>
                    <m:t>-</m:t>
                  </m:r>
                  <m:r>
                    <m:rPr>
                      <m:sty m:val="p"/>
                    </m:rPr>
                    <w:rPr>
                      <w:rFonts w:ascii="Cambria Math" w:hAnsi="Cambria Math"/>
                    </w:rPr>
                    <m:t>1</m:t>
                  </m:r>
                </m:sup>
              </m:sSup>
              <m:r>
                <w:rPr>
                  <w:rFonts w:ascii="Cambria Math" w:hAnsi="Cambria Math"/>
                </w:rPr>
                <m:t>u</m:t>
              </m:r>
            </m:e>
            <m:sub>
              <m:r>
                <w:rPr>
                  <w:rFonts w:ascii="Cambria Math" w:hAnsi="Cambria Math"/>
                </w:rPr>
                <m:t>i</m:t>
              </m:r>
            </m:sub>
          </m:sSub>
        </m:oMath>
      </m:oMathPara>
    </w:p>
    <w:p w14:paraId="4A5307D1" w14:textId="77777777" w:rsidR="00687D09" w:rsidRDefault="00687D09" w:rsidP="00687D09">
      <w:r>
        <w:t xml:space="preserve">where child nutrition outcomes include stunting and underweight prevalence by ward to estimate the chronic and acute impacts respectively. Association between parental absence or death in 2011 and stunting in 2013 are estimated. The time difference is introduced because stunting is a measure of chronic poor health, where children who are orphans or have absent parents are likely to exhibit stunting only 24 months later (in 2013) </w:t>
      </w:r>
      <w:sdt>
        <w:sdtPr>
          <w:rPr>
            <w:color w:val="000000"/>
          </w:rPr>
          <w:tag w:val="MENDELEY_CITATION_v3_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"/>
          <w:id w:val="-756282880"/>
          <w:placeholder>
            <w:docPart w:val="48FA91CBEDA444F1810C072F99B89347"/>
          </w:placeholder>
        </w:sdtPr>
        <w:sdtContent>
          <w:r w:rsidRPr="005D2DEB">
            <w:rPr>
              <w:color w:val="000000"/>
            </w:rPr>
            <w:t>(63)</w:t>
          </w:r>
        </w:sdtContent>
      </w:sdt>
      <w:r>
        <w:t xml:space="preserve">. By contrast, ward-level rates of underweight from 2011 and not 2013 are used. In this case, the outcome and underweight are measured in the same year because associations with acute health are estimated.  </w:t>
      </w:r>
    </w:p>
    <w:p w14:paraId="6E5FC60C" w14:textId="77777777" w:rsidR="00687D09" w:rsidRPr="009D7E49" w:rsidRDefault="00687D09" w:rsidP="00687D09"/>
    <w:p w14:paraId="16D1A157" w14:textId="77777777" w:rsidR="001760E5" w:rsidRDefault="0015243E"/>
    <w:sectPr w:rsidR="001760E5">
      <w:footerReference w:type="even" r:id="rId5"/>
      <w:footerReference w:type="default" r:id="rId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361426983"/>
      <w:docPartObj>
        <w:docPartGallery w:val="Page Numbers (Bottom of Page)"/>
        <w:docPartUnique/>
      </w:docPartObj>
    </w:sdtPr>
    <w:sdtEndPr>
      <w:rPr>
        <w:rStyle w:val="PageNumber"/>
      </w:rPr>
    </w:sdtEndPr>
    <w:sdtContent>
      <w:p w14:paraId="6B3DB47D" w14:textId="77777777" w:rsidR="00F5431F" w:rsidRDefault="0015243E" w:rsidP="00B14FD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942229C" w14:textId="77777777" w:rsidR="00F5431F" w:rsidRDefault="0015243E" w:rsidP="00F5431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77027402"/>
      <w:docPartObj>
        <w:docPartGallery w:val="Page Numbers (Bottom of Page)"/>
        <w:docPartUnique/>
      </w:docPartObj>
    </w:sdtPr>
    <w:sdtEndPr>
      <w:rPr>
        <w:rStyle w:val="PageNumber"/>
      </w:rPr>
    </w:sdtEndPr>
    <w:sdtContent>
      <w:p w14:paraId="7E3CB3A3" w14:textId="77777777" w:rsidR="00F5431F" w:rsidRDefault="0015243E" w:rsidP="00B14FD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9C473AA" w14:textId="77777777" w:rsidR="00F5431F" w:rsidRDefault="0015243E" w:rsidP="00F5431F">
    <w:pPr>
      <w:pStyle w:val="Footer"/>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69B755C"/>
    <w:multiLevelType w:val="hybridMultilevel"/>
    <w:tmpl w:val="6E10BCB8"/>
    <w:lvl w:ilvl="0" w:tplc="951CC2E8">
      <w:start w:val="1"/>
      <w:numFmt w:val="decimal"/>
      <w:pStyle w:val="Heading1"/>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6BF7319"/>
    <w:multiLevelType w:val="hybridMultilevel"/>
    <w:tmpl w:val="D5B082E8"/>
    <w:lvl w:ilvl="0" w:tplc="4009000F">
      <w:start w:val="9"/>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7D09"/>
    <w:rsid w:val="0015243E"/>
    <w:rsid w:val="00687D09"/>
    <w:rsid w:val="006E225C"/>
    <w:rsid w:val="008A3324"/>
    <w:rsid w:val="0096107C"/>
    <w:rsid w:val="00996CDB"/>
    <w:rsid w:val="009B6A41"/>
    <w:rsid w:val="00BA546E"/>
    <w:rsid w:val="00E17A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E089D2"/>
  <w15:chartTrackingRefBased/>
  <w15:docId w15:val="{F8FC2266-B389-4442-8E45-A301272019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7D09"/>
    <w:pPr>
      <w:shd w:val="clear" w:color="auto" w:fill="FFFFFF"/>
      <w:spacing w:after="120" w:line="360" w:lineRule="auto"/>
      <w:jc w:val="both"/>
    </w:pPr>
    <w:rPr>
      <w:rFonts w:eastAsia="Times New Roman" w:cstheme="minorHAnsi"/>
      <w:sz w:val="24"/>
      <w:szCs w:val="24"/>
      <w:lang w:val="en-ZA" w:eastAsia="en-GB"/>
    </w:rPr>
  </w:style>
  <w:style w:type="paragraph" w:styleId="Heading1">
    <w:name w:val="heading 1"/>
    <w:basedOn w:val="Normal"/>
    <w:next w:val="Normal"/>
    <w:link w:val="Heading1Char"/>
    <w:uiPriority w:val="9"/>
    <w:qFormat/>
    <w:rsid w:val="00687D09"/>
    <w:pPr>
      <w:keepNext/>
      <w:keepLines/>
      <w:numPr>
        <w:numId w:val="1"/>
      </w:numPr>
      <w:spacing w:before="240" w:after="0"/>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687D0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7D09"/>
    <w:rPr>
      <w:rFonts w:asciiTheme="majorHAnsi" w:eastAsiaTheme="majorEastAsia" w:hAnsiTheme="majorHAnsi" w:cstheme="majorBidi"/>
      <w:b/>
      <w:bCs/>
      <w:sz w:val="28"/>
      <w:szCs w:val="28"/>
      <w:shd w:val="clear" w:color="auto" w:fill="FFFFFF"/>
      <w:lang w:val="en-ZA" w:eastAsia="en-GB"/>
    </w:rPr>
  </w:style>
  <w:style w:type="character" w:customStyle="1" w:styleId="Heading2Char">
    <w:name w:val="Heading 2 Char"/>
    <w:basedOn w:val="DefaultParagraphFont"/>
    <w:link w:val="Heading2"/>
    <w:uiPriority w:val="9"/>
    <w:rsid w:val="00687D09"/>
    <w:rPr>
      <w:rFonts w:asciiTheme="majorHAnsi" w:eastAsiaTheme="majorEastAsia" w:hAnsiTheme="majorHAnsi" w:cstheme="majorBidi"/>
      <w:color w:val="2F5496" w:themeColor="accent1" w:themeShade="BF"/>
      <w:sz w:val="26"/>
      <w:szCs w:val="26"/>
      <w:shd w:val="clear" w:color="auto" w:fill="FFFFFF"/>
      <w:lang w:val="en-ZA" w:eastAsia="en-GB"/>
    </w:rPr>
  </w:style>
  <w:style w:type="paragraph" w:styleId="Footer">
    <w:name w:val="footer"/>
    <w:basedOn w:val="Normal"/>
    <w:link w:val="FooterChar"/>
    <w:uiPriority w:val="99"/>
    <w:unhideWhenUsed/>
    <w:rsid w:val="00687D09"/>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7D09"/>
    <w:rPr>
      <w:rFonts w:eastAsia="Times New Roman" w:cstheme="minorHAnsi"/>
      <w:sz w:val="24"/>
      <w:szCs w:val="24"/>
      <w:shd w:val="clear" w:color="auto" w:fill="FFFFFF"/>
      <w:lang w:val="en-ZA" w:eastAsia="en-GB"/>
    </w:rPr>
  </w:style>
  <w:style w:type="character" w:styleId="PageNumber">
    <w:name w:val="page number"/>
    <w:basedOn w:val="DefaultParagraphFont"/>
    <w:uiPriority w:val="99"/>
    <w:semiHidden/>
    <w:unhideWhenUsed/>
    <w:rsid w:val="00687D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48FA91CBEDA444F1810C072F99B89347"/>
        <w:category>
          <w:name w:val="General"/>
          <w:gallery w:val="placeholder"/>
        </w:category>
        <w:types>
          <w:type w:val="bbPlcHdr"/>
        </w:types>
        <w:behaviors>
          <w:behavior w:val="content"/>
        </w:behaviors>
        <w:guid w:val="{1EFFAECC-CC03-4714-98AC-81667D80AD01}"/>
      </w:docPartPr>
      <w:docPartBody>
        <w:p w:rsidR="00000000" w:rsidRDefault="000443EB" w:rsidP="000443EB">
          <w:pPr>
            <w:pStyle w:val="48FA91CBEDA444F1810C072F99B89347"/>
          </w:pPr>
          <w:r w:rsidRPr="00F11636">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43EB"/>
    <w:rsid w:val="000443EB"/>
    <w:rsid w:val="009926D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443EB"/>
    <w:rPr>
      <w:color w:val="808080"/>
    </w:rPr>
  </w:style>
  <w:style w:type="paragraph" w:customStyle="1" w:styleId="48FA91CBEDA444F1810C072F99B89347">
    <w:name w:val="48FA91CBEDA444F1810C072F99B89347"/>
    <w:rsid w:val="000443E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161</Words>
  <Characters>923</Characters>
  <Application>Microsoft Office Word</Application>
  <DocSecurity>0</DocSecurity>
  <Lines>7</Lines>
  <Paragraphs>2</Paragraphs>
  <ScaleCrop>false</ScaleCrop>
  <Company>Springer Nature</Company>
  <LinksUpToDate>false</LinksUpToDate>
  <CharactersWithSpaces>1082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2</cp:revision>
  <dcterms:created xsi:type="dcterms:W3CDTF">2023-02-16T04:54:00Z</dcterms:created>
  <dcterms:modified xsi:type="dcterms:W3CDTF">2023-02-16T04:55:00Z</dcterms:modified>
</cp:coreProperties>
</file>