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F70" w:rsidRPr="008E0F7F" w:rsidRDefault="000D0F70" w:rsidP="006266D8">
      <w:pPr>
        <w:spacing w:after="0" w:line="360" w:lineRule="auto"/>
        <w:ind w:left="-851" w:firstLine="425"/>
        <w:jc w:val="both"/>
        <w:rPr>
          <w:rStyle w:val="tlid-translation"/>
          <w:rFonts w:ascii="Times New Roman" w:hAnsi="Times New Roman"/>
          <w:sz w:val="20"/>
          <w:szCs w:val="20"/>
          <w:lang w:val="en-US"/>
        </w:rPr>
      </w:pPr>
      <w:r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Alteration of PBMC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>transcriptome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 profile after interaction with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>multipotent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 mesenchymal stromal cells under “physiological” hypoxia</w:t>
      </w:r>
    </w:p>
    <w:p w:rsidR="000D0F70" w:rsidRPr="008E0F7F" w:rsidRDefault="000D0F70" w:rsidP="006266D8">
      <w:pPr>
        <w:shd w:val="clear" w:color="auto" w:fill="FFFFFF"/>
        <w:ind w:left="-851" w:firstLine="425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8E0F7F">
        <w:rPr>
          <w:rFonts w:ascii="Times New Roman" w:hAnsi="Times New Roman"/>
          <w:sz w:val="20"/>
          <w:szCs w:val="20"/>
          <w:lang w:val="en-US"/>
        </w:rPr>
        <w:t>Cytotechnology</w:t>
      </w:r>
      <w:proofErr w:type="spellEnd"/>
    </w:p>
    <w:p w:rsidR="00C00664" w:rsidRPr="003D0B09" w:rsidRDefault="00C00664" w:rsidP="00C00664">
      <w:pPr>
        <w:shd w:val="clear" w:color="auto" w:fill="FFFFFF"/>
        <w:ind w:left="-851" w:firstLine="425"/>
        <w:rPr>
          <w:rFonts w:ascii="Times New Roman" w:hAnsi="Times New Roman"/>
          <w:sz w:val="20"/>
          <w:szCs w:val="20"/>
          <w:vertAlign w:val="superscript"/>
          <w:lang w:val="en-US"/>
        </w:rPr>
      </w:pPr>
      <w:proofErr w:type="spellStart"/>
      <w:r w:rsidRPr="003D0B09">
        <w:rPr>
          <w:rFonts w:ascii="Times New Roman" w:hAnsi="Times New Roman"/>
          <w:sz w:val="20"/>
          <w:szCs w:val="20"/>
          <w:lang w:val="en-US"/>
        </w:rPr>
        <w:t>Gornostaeva</w:t>
      </w:r>
      <w:proofErr w:type="spellEnd"/>
      <w:r w:rsidRPr="003D0B09">
        <w:rPr>
          <w:rFonts w:ascii="Times New Roman" w:hAnsi="Times New Roman"/>
          <w:sz w:val="20"/>
          <w:szCs w:val="20"/>
          <w:lang w:val="en-US"/>
        </w:rPr>
        <w:t xml:space="preserve"> AN</w:t>
      </w:r>
      <w:r w:rsidRPr="003D0B09">
        <w:rPr>
          <w:rFonts w:ascii="Times New Roman" w:hAnsi="Times New Roman"/>
          <w:sz w:val="20"/>
          <w:szCs w:val="20"/>
          <w:vertAlign w:val="superscript"/>
          <w:lang w:val="en-US"/>
        </w:rPr>
        <w:t>1</w:t>
      </w:r>
      <w:r w:rsidRPr="003D0B09"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Bobyleva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PI</w:t>
      </w:r>
      <w:r w:rsidRPr="00E40CE8">
        <w:rPr>
          <w:rFonts w:ascii="Times New Roman" w:hAnsi="Times New Roman"/>
          <w:sz w:val="20"/>
          <w:szCs w:val="20"/>
          <w:vertAlign w:val="superscript"/>
          <w:lang w:val="en-US"/>
        </w:rPr>
        <w:t>1</w:t>
      </w:r>
      <w:r>
        <w:rPr>
          <w:rFonts w:ascii="Times New Roman" w:hAnsi="Times New Roman"/>
          <w:sz w:val="20"/>
          <w:szCs w:val="20"/>
          <w:lang w:val="en-US"/>
        </w:rPr>
        <w:t xml:space="preserve">, </w:t>
      </w:r>
      <w:proofErr w:type="spellStart"/>
      <w:r w:rsidRPr="003D0B09">
        <w:rPr>
          <w:rFonts w:ascii="Times New Roman" w:hAnsi="Times New Roman"/>
          <w:sz w:val="20"/>
          <w:szCs w:val="20"/>
          <w:lang w:val="en-US"/>
        </w:rPr>
        <w:t>Andreeva</w:t>
      </w:r>
      <w:proofErr w:type="spellEnd"/>
      <w:r w:rsidRPr="003D0B09">
        <w:rPr>
          <w:rFonts w:ascii="Times New Roman" w:hAnsi="Times New Roman"/>
          <w:sz w:val="20"/>
          <w:szCs w:val="20"/>
          <w:lang w:val="en-US"/>
        </w:rPr>
        <w:t xml:space="preserve"> ER</w:t>
      </w:r>
      <w:r w:rsidRPr="003D0B09">
        <w:rPr>
          <w:rFonts w:ascii="Times New Roman" w:hAnsi="Times New Roman"/>
          <w:sz w:val="20"/>
          <w:szCs w:val="20"/>
          <w:vertAlign w:val="superscript"/>
          <w:lang w:val="en-US"/>
        </w:rPr>
        <w:t>1</w:t>
      </w:r>
      <w:r w:rsidRPr="003D0B09"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en-US"/>
        </w:rPr>
        <w:t>Gogiy</w:t>
      </w:r>
      <w:r w:rsidRPr="007078A4">
        <w:rPr>
          <w:rFonts w:ascii="Times New Roman" w:hAnsi="Times New Roman"/>
          <w:sz w:val="20"/>
          <w:szCs w:val="20"/>
          <w:lang w:val="en-US"/>
        </w:rPr>
        <w:t>a</w:t>
      </w:r>
      <w:r w:rsidRPr="003D0B09">
        <w:rPr>
          <w:rStyle w:val="author-sup-separator"/>
          <w:rFonts w:ascii="Times New Roman" w:hAnsi="Times New Roman"/>
          <w:sz w:val="20"/>
          <w:szCs w:val="20"/>
          <w:vertAlign w:val="superscript"/>
          <w:lang w:val="en-US"/>
        </w:rPr>
        <w:t>2</w:t>
      </w:r>
      <w:r w:rsidRPr="000B21C3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B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Sh</w:t>
      </w:r>
      <w:proofErr w:type="spellEnd"/>
      <w:r w:rsidRPr="003D0B09">
        <w:rPr>
          <w:rStyle w:val="comma"/>
          <w:rFonts w:ascii="Times New Roman" w:hAnsi="Times New Roman"/>
          <w:sz w:val="20"/>
          <w:szCs w:val="20"/>
          <w:lang w:val="en-US"/>
        </w:rPr>
        <w:t>,</w:t>
      </w:r>
      <w:r w:rsidRPr="003D0B09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3D0B09">
        <w:rPr>
          <w:rFonts w:ascii="Times New Roman" w:hAnsi="Times New Roman"/>
          <w:sz w:val="20"/>
          <w:szCs w:val="20"/>
          <w:lang w:val="en-US"/>
        </w:rPr>
        <w:t>Buravkova</w:t>
      </w:r>
      <w:proofErr w:type="spellEnd"/>
      <w:r w:rsidRPr="003D0B09">
        <w:rPr>
          <w:rFonts w:ascii="Times New Roman" w:hAnsi="Times New Roman"/>
          <w:sz w:val="20"/>
          <w:szCs w:val="20"/>
          <w:lang w:val="en-US"/>
        </w:rPr>
        <w:t xml:space="preserve"> LB</w:t>
      </w:r>
      <w:r w:rsidRPr="003D0B09">
        <w:rPr>
          <w:rFonts w:ascii="Times New Roman" w:hAnsi="Times New Roman"/>
          <w:sz w:val="20"/>
          <w:szCs w:val="20"/>
          <w:vertAlign w:val="superscript"/>
          <w:lang w:val="en-US"/>
        </w:rPr>
        <w:t>1</w:t>
      </w:r>
    </w:p>
    <w:p w:rsidR="000D0F70" w:rsidRPr="008E0F7F" w:rsidRDefault="000D0F70" w:rsidP="006266D8">
      <w:pPr>
        <w:shd w:val="clear" w:color="auto" w:fill="FFFFFF"/>
        <w:ind w:left="-851" w:firstLine="425"/>
        <w:rPr>
          <w:rFonts w:ascii="Times New Roman" w:hAnsi="Times New Roman"/>
          <w:sz w:val="20"/>
          <w:szCs w:val="20"/>
          <w:lang w:val="en-US"/>
        </w:rPr>
      </w:pPr>
    </w:p>
    <w:p w:rsidR="000D0F70" w:rsidRPr="008E0F7F" w:rsidRDefault="000D0F70" w:rsidP="006266D8">
      <w:pPr>
        <w:spacing w:after="0" w:line="360" w:lineRule="auto"/>
        <w:ind w:left="-851" w:firstLine="425"/>
        <w:jc w:val="both"/>
        <w:rPr>
          <w:rFonts w:ascii="Times New Roman" w:hAnsi="Times New Roman"/>
          <w:sz w:val="20"/>
          <w:szCs w:val="20"/>
          <w:lang w:val="en-US"/>
        </w:rPr>
      </w:pPr>
      <w:r w:rsidRPr="008E0F7F">
        <w:rPr>
          <w:rFonts w:ascii="Times New Roman" w:hAnsi="Times New Roman"/>
          <w:sz w:val="20"/>
          <w:szCs w:val="20"/>
          <w:lang w:val="en-US"/>
        </w:rPr>
        <w:t>1 – Cell Physiology Laboratory, Institute of Biomedical Problems, Russian Academy of Sciences,</w:t>
      </w:r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>Khoroshevskoye</w:t>
      </w:r>
      <w:proofErr w:type="spellEnd"/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 xml:space="preserve"> highway 76a, 123007,</w:t>
      </w:r>
      <w:r w:rsidRPr="008E0F7F">
        <w:rPr>
          <w:rFonts w:ascii="Times New Roman" w:hAnsi="Times New Roman"/>
          <w:sz w:val="20"/>
          <w:szCs w:val="20"/>
          <w:lang w:val="en-US"/>
        </w:rPr>
        <w:t xml:space="preserve"> Moscow, Russia</w:t>
      </w:r>
    </w:p>
    <w:p w:rsidR="000D0F70" w:rsidRPr="008E0F7F" w:rsidRDefault="000D0F70" w:rsidP="006266D8">
      <w:pPr>
        <w:spacing w:after="0" w:line="360" w:lineRule="auto"/>
        <w:ind w:left="-851" w:firstLine="425"/>
        <w:jc w:val="both"/>
        <w:rPr>
          <w:rFonts w:ascii="Times New Roman" w:hAnsi="Times New Roman"/>
          <w:sz w:val="20"/>
          <w:szCs w:val="20"/>
          <w:lang w:val="en-US"/>
        </w:rPr>
      </w:pPr>
      <w:r w:rsidRPr="008E0F7F">
        <w:rPr>
          <w:rFonts w:ascii="Times New Roman" w:hAnsi="Times New Roman"/>
          <w:sz w:val="20"/>
          <w:szCs w:val="20"/>
          <w:lang w:val="en-US"/>
        </w:rPr>
        <w:t xml:space="preserve">2 – Department of </w:t>
      </w:r>
      <w:proofErr w:type="spellStart"/>
      <w:r w:rsidRPr="008E0F7F">
        <w:rPr>
          <w:rFonts w:ascii="Times New Roman" w:hAnsi="Times New Roman"/>
          <w:sz w:val="20"/>
          <w:szCs w:val="20"/>
          <w:lang w:val="en-US"/>
        </w:rPr>
        <w:t>Herniology</w:t>
      </w:r>
      <w:proofErr w:type="spellEnd"/>
      <w:r w:rsidRPr="008E0F7F">
        <w:rPr>
          <w:rFonts w:ascii="Times New Roman" w:hAnsi="Times New Roman"/>
          <w:sz w:val="20"/>
          <w:szCs w:val="20"/>
          <w:lang w:val="en-US"/>
        </w:rPr>
        <w:t xml:space="preserve"> and Plastic Surgery, A. V. </w:t>
      </w:r>
      <w:proofErr w:type="spellStart"/>
      <w:r w:rsidRPr="008E0F7F">
        <w:rPr>
          <w:rFonts w:ascii="Times New Roman" w:hAnsi="Times New Roman"/>
          <w:sz w:val="20"/>
          <w:szCs w:val="20"/>
          <w:lang w:val="en-US"/>
        </w:rPr>
        <w:t>Vishnevsky</w:t>
      </w:r>
      <w:proofErr w:type="spellEnd"/>
      <w:r w:rsidRPr="008E0F7F">
        <w:rPr>
          <w:rFonts w:ascii="Times New Roman" w:hAnsi="Times New Roman"/>
          <w:sz w:val="20"/>
          <w:szCs w:val="20"/>
          <w:lang w:val="en-US"/>
        </w:rPr>
        <w:t xml:space="preserve"> Institute of Surgery, </w:t>
      </w:r>
      <w:proofErr w:type="spellStart"/>
      <w:r w:rsidRPr="008E0F7F">
        <w:rPr>
          <w:rFonts w:ascii="Times New Roman" w:hAnsi="Times New Roman"/>
          <w:sz w:val="20"/>
          <w:szCs w:val="20"/>
          <w:lang w:val="en-US"/>
        </w:rPr>
        <w:t>Bolshaya</w:t>
      </w:r>
      <w:proofErr w:type="spellEnd"/>
      <w:r w:rsidRPr="008E0F7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8E0F7F">
        <w:rPr>
          <w:rFonts w:ascii="Times New Roman" w:hAnsi="Times New Roman"/>
          <w:sz w:val="20"/>
          <w:szCs w:val="20"/>
          <w:lang w:val="en-US"/>
        </w:rPr>
        <w:t>Serpukhovskaya</w:t>
      </w:r>
      <w:proofErr w:type="spellEnd"/>
      <w:r w:rsidRPr="008E0F7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8E0F7F">
        <w:rPr>
          <w:rFonts w:ascii="Times New Roman" w:hAnsi="Times New Roman"/>
          <w:sz w:val="20"/>
          <w:szCs w:val="20"/>
          <w:lang w:val="en-US"/>
        </w:rPr>
        <w:t>str</w:t>
      </w:r>
      <w:proofErr w:type="spellEnd"/>
      <w:r w:rsidRPr="008E0F7F">
        <w:rPr>
          <w:rFonts w:ascii="Times New Roman" w:hAnsi="Times New Roman"/>
          <w:sz w:val="20"/>
          <w:szCs w:val="20"/>
          <w:lang w:val="en-US"/>
        </w:rPr>
        <w:t>, 27, 117997, Moscow, Russia</w:t>
      </w:r>
    </w:p>
    <w:p w:rsidR="000D0F70" w:rsidRPr="008E0F7F" w:rsidRDefault="000D0F70" w:rsidP="006266D8">
      <w:pPr>
        <w:spacing w:after="0" w:line="360" w:lineRule="auto"/>
        <w:ind w:left="-851" w:firstLine="425"/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</w:pPr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>Corresponding author</w:t>
      </w:r>
    </w:p>
    <w:p w:rsidR="000D0F70" w:rsidRPr="008E0F7F" w:rsidRDefault="000D0F70" w:rsidP="006266D8">
      <w:pPr>
        <w:spacing w:after="0" w:line="360" w:lineRule="auto"/>
        <w:ind w:left="-851" w:firstLine="425"/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</w:pPr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 xml:space="preserve">Aleksandra N. </w:t>
      </w:r>
      <w:proofErr w:type="spellStart"/>
      <w:r w:rsidRPr="008E0F7F">
        <w:rPr>
          <w:rFonts w:ascii="Times New Roman" w:hAnsi="Times New Roman"/>
          <w:sz w:val="20"/>
          <w:szCs w:val="20"/>
          <w:lang w:val="en-US"/>
        </w:rPr>
        <w:t>Gornostaeva</w:t>
      </w:r>
      <w:proofErr w:type="spellEnd"/>
    </w:p>
    <w:p w:rsidR="000D0F70" w:rsidRPr="008E0F7F" w:rsidRDefault="000D0F70" w:rsidP="006266D8">
      <w:pPr>
        <w:spacing w:after="0" w:line="360" w:lineRule="auto"/>
        <w:ind w:left="-851" w:firstLine="425"/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</w:pPr>
      <w:proofErr w:type="spellStart"/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>Khoroshevskoye</w:t>
      </w:r>
      <w:proofErr w:type="spellEnd"/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 xml:space="preserve"> </w:t>
      </w:r>
      <w:proofErr w:type="spellStart"/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>shosse</w:t>
      </w:r>
      <w:proofErr w:type="spellEnd"/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 xml:space="preserve"> 76a, 123007, Moscow, Russia</w:t>
      </w:r>
    </w:p>
    <w:p w:rsidR="000D0F70" w:rsidRPr="008E0F7F" w:rsidRDefault="000D0F70" w:rsidP="006266D8">
      <w:pPr>
        <w:spacing w:after="0" w:line="360" w:lineRule="auto"/>
        <w:ind w:left="-851" w:firstLine="425"/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</w:pPr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 xml:space="preserve">Tel: </w:t>
      </w:r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val="en-US" w:eastAsia="ru-RU"/>
        </w:rPr>
        <w:t>+7</w:t>
      </w:r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>(499)195-6544</w:t>
      </w:r>
    </w:p>
    <w:p w:rsidR="000D0F70" w:rsidRPr="008E0F7F" w:rsidRDefault="000D0F70" w:rsidP="006266D8">
      <w:pPr>
        <w:spacing w:after="0" w:line="360" w:lineRule="auto"/>
        <w:ind w:left="-851" w:firstLine="425"/>
        <w:rPr>
          <w:rFonts w:ascii="Times New Roman" w:hAnsi="Times New Roman"/>
          <w:color w:val="000000"/>
          <w:sz w:val="20"/>
          <w:szCs w:val="20"/>
        </w:rPr>
      </w:pPr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 xml:space="preserve">Fax: </w:t>
      </w:r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val="en-US" w:eastAsia="ru-RU"/>
        </w:rPr>
        <w:t>+7</w:t>
      </w:r>
      <w:r w:rsidRPr="008E0F7F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(499)195-2253</w:t>
      </w:r>
    </w:p>
    <w:p w:rsidR="000D0F70" w:rsidRPr="008E0F7F" w:rsidRDefault="000D0F70" w:rsidP="006266D8">
      <w:pPr>
        <w:spacing w:after="0" w:line="360" w:lineRule="auto"/>
        <w:ind w:left="-851" w:firstLine="425"/>
        <w:rPr>
          <w:rFonts w:ascii="Times New Roman" w:eastAsia="Times New Roman" w:hAnsi="Times New Roman"/>
          <w:iCs/>
          <w:color w:val="000000"/>
          <w:sz w:val="20"/>
          <w:szCs w:val="20"/>
          <w:lang w:val="en-US" w:eastAsia="ru-RU"/>
        </w:rPr>
      </w:pPr>
      <w:proofErr w:type="spellStart"/>
      <w:r w:rsidRPr="008E0F7F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>e-mail:HindIII@yandex.ru</w:t>
      </w:r>
      <w:proofErr w:type="spellEnd"/>
    </w:p>
    <w:p w:rsidR="000D166D" w:rsidRPr="008E0F7F" w:rsidRDefault="000D166D" w:rsidP="006266D8">
      <w:pPr>
        <w:ind w:left="-851" w:firstLine="425"/>
        <w:rPr>
          <w:rFonts w:ascii="Times New Roman" w:hAnsi="Times New Roman"/>
          <w:b/>
          <w:sz w:val="20"/>
          <w:szCs w:val="20"/>
          <w:lang w:val="en-US"/>
        </w:rPr>
      </w:pPr>
    </w:p>
    <w:p w:rsidR="005B0817" w:rsidRPr="008E0F7F" w:rsidRDefault="005B0817" w:rsidP="006266D8">
      <w:pPr>
        <w:ind w:left="-851" w:firstLine="425"/>
        <w:rPr>
          <w:rStyle w:val="tlid-translation"/>
          <w:rFonts w:ascii="Times New Roman" w:hAnsi="Times New Roman"/>
          <w:b/>
          <w:sz w:val="20"/>
          <w:szCs w:val="20"/>
        </w:rPr>
      </w:pPr>
      <w:proofErr w:type="gramStart"/>
      <w:r w:rsidRPr="008E0F7F">
        <w:rPr>
          <w:rStyle w:val="tlid-translation"/>
          <w:rFonts w:ascii="Times New Roman" w:hAnsi="Times New Roman"/>
          <w:b/>
          <w:sz w:val="20"/>
          <w:szCs w:val="20"/>
        </w:rPr>
        <w:t xml:space="preserve">MSC </w:t>
      </w:r>
      <w:proofErr w:type="spellStart"/>
      <w:r w:rsidRPr="008E0F7F">
        <w:rPr>
          <w:rStyle w:val="tlid-translation"/>
          <w:rFonts w:ascii="Times New Roman" w:hAnsi="Times New Roman"/>
          <w:b/>
          <w:sz w:val="20"/>
          <w:szCs w:val="20"/>
        </w:rPr>
        <w:t>immunophenotype</w:t>
      </w:r>
      <w:proofErr w:type="spellEnd"/>
      <w:r w:rsidRPr="008E0F7F">
        <w:rPr>
          <w:rStyle w:val="tlid-translation"/>
          <w:rFonts w:ascii="Times New Roman" w:hAnsi="Times New Roman"/>
          <w:b/>
          <w:sz w:val="20"/>
          <w:szCs w:val="20"/>
        </w:rPr>
        <w:t>.</w:t>
      </w:r>
      <w:proofErr w:type="gramEnd"/>
    </w:p>
    <w:p w:rsidR="0043534A" w:rsidRPr="008E0F7F" w:rsidRDefault="005B0817" w:rsidP="006266D8">
      <w:pPr>
        <w:ind w:left="-851" w:firstLine="425"/>
        <w:rPr>
          <w:rStyle w:val="tlid-translation"/>
          <w:rFonts w:ascii="Times New Roman" w:hAnsi="Times New Roman"/>
          <w:sz w:val="20"/>
          <w:szCs w:val="20"/>
          <w:lang w:val="en-US"/>
        </w:rPr>
      </w:pPr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Monoclonal antibodies conjugated with FITC or PE </w:t>
      </w:r>
      <w:proofErr w:type="gramStart"/>
      <w:r w:rsidRPr="008E0F7F">
        <w:rPr>
          <w:rStyle w:val="tlid-translation"/>
          <w:rFonts w:ascii="Times New Roman" w:hAnsi="Times New Roman"/>
          <w:sz w:val="20"/>
          <w:szCs w:val="20"/>
        </w:rPr>
        <w:t>were</w:t>
      </w:r>
      <w:proofErr w:type="gram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 used to identify MSCs, including CD90-FITC, CD73-PE, CD105-PE, CD45-PE and CD14-PE (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Immunotec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, France);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IgG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-PE or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IgG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>-FITC were used as a negative control (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Immunotec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>, France).</w:t>
      </w:r>
      <w:r w:rsidR="00F356EC"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 </w:t>
      </w:r>
      <w:r w:rsidR="00BE3DC7"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Surface antigens expression was </w:t>
      </w:r>
      <w:r w:rsidR="0043534A" w:rsidRPr="008E0F7F">
        <w:rPr>
          <w:rStyle w:val="tlid-translation"/>
          <w:rFonts w:ascii="Times New Roman" w:hAnsi="Times New Roman"/>
          <w:sz w:val="20"/>
          <w:szCs w:val="20"/>
        </w:rPr>
        <w:t xml:space="preserve">characterised with flow cytometry (AccuriC6, BD Bioscience, </w:t>
      </w:r>
      <w:proofErr w:type="gramStart"/>
      <w:r w:rsidR="0043534A" w:rsidRPr="008E0F7F">
        <w:rPr>
          <w:rStyle w:val="tlid-translation"/>
          <w:rFonts w:ascii="Times New Roman" w:hAnsi="Times New Roman"/>
          <w:sz w:val="20"/>
          <w:szCs w:val="20"/>
        </w:rPr>
        <w:t>USA</w:t>
      </w:r>
      <w:proofErr w:type="gramEnd"/>
      <w:r w:rsidR="0043534A" w:rsidRPr="008E0F7F">
        <w:rPr>
          <w:rStyle w:val="tlid-translation"/>
          <w:rFonts w:ascii="Times New Roman" w:hAnsi="Times New Roman"/>
          <w:sz w:val="20"/>
          <w:szCs w:val="20"/>
        </w:rPr>
        <w:t>)</w:t>
      </w:r>
    </w:p>
    <w:p w:rsidR="004450A8" w:rsidRPr="008E0F7F" w:rsidRDefault="00BE3DC7" w:rsidP="006266D8">
      <w:pPr>
        <w:ind w:left="-851" w:firstLine="425"/>
        <w:rPr>
          <w:rStyle w:val="tlid-translation"/>
          <w:rFonts w:ascii="Times New Roman" w:hAnsi="Times New Roman"/>
          <w:sz w:val="20"/>
          <w:szCs w:val="20"/>
          <w:lang w:val="en-US"/>
        </w:rPr>
      </w:pPr>
      <w:r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MSC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>immunophenotype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 were confirmed. MSCs were CD105, CD73, CD90 positive, and CD14 and CD45 negative</w:t>
      </w:r>
      <w:r w:rsidR="00F21B88"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 (Fig. 1).</w:t>
      </w:r>
    </w:p>
    <w:p w:rsidR="004450A8" w:rsidRPr="008E0F7F" w:rsidRDefault="00F21B88" w:rsidP="006266D8">
      <w:pPr>
        <w:ind w:left="-851" w:firstLine="425"/>
        <w:rPr>
          <w:rStyle w:val="tlid-translation"/>
          <w:rFonts w:ascii="Times New Roman" w:hAnsi="Times New Roman"/>
          <w:sz w:val="20"/>
          <w:szCs w:val="20"/>
          <w:lang w:val="en-US"/>
        </w:rPr>
      </w:pPr>
      <w:r w:rsidRPr="008E0F7F">
        <w:rPr>
          <w:rFonts w:ascii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 wp14:anchorId="3EC94A69" wp14:editId="4B388625">
            <wp:extent cx="5940425" cy="3286370"/>
            <wp:effectExtent l="0" t="0" r="3175" b="9525"/>
            <wp:docPr id="2" name="Рисунок 2" descr="E:\ИМБП\ИМПБ самоизоляция\Статья в ДАН или Бэбим-New\статья 2020\Cytotechnology\из дома 2020\MS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МБП\ИМПБ самоизоляция\Статья в ДАН или Бэбим-New\статья 2020\Cytotechnology\из дома 2020\MSC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B88" w:rsidRPr="008E0F7F" w:rsidRDefault="006A678E" w:rsidP="00F21B88">
      <w:pPr>
        <w:rPr>
          <w:rStyle w:val="shorttext"/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Figure 8</w:t>
      </w:r>
      <w:r w:rsidR="00F21B88" w:rsidRPr="008E0F7F">
        <w:rPr>
          <w:rFonts w:ascii="Times New Roman" w:hAnsi="Times New Roman"/>
          <w:sz w:val="20"/>
          <w:szCs w:val="20"/>
          <w:lang w:val="en-US"/>
        </w:rPr>
        <w:t>.</w:t>
      </w:r>
      <w:proofErr w:type="gramEnd"/>
      <w:r w:rsidR="00F21B88" w:rsidRPr="008E0F7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21B88" w:rsidRPr="008E0F7F">
        <w:rPr>
          <w:rFonts w:ascii="Times New Roman" w:hAnsi="Times New Roman"/>
          <w:sz w:val="20"/>
          <w:szCs w:val="20"/>
        </w:rPr>
        <w:t xml:space="preserve">Flow cytometry analysis of </w:t>
      </w:r>
      <w:r w:rsidR="00F21B88" w:rsidRPr="008E0F7F">
        <w:rPr>
          <w:rStyle w:val="shorttext"/>
          <w:rFonts w:ascii="Times New Roman" w:hAnsi="Times New Roman"/>
          <w:sz w:val="20"/>
          <w:szCs w:val="20"/>
          <w:lang w:val="en"/>
        </w:rPr>
        <w:t xml:space="preserve">MSC phenotype </w:t>
      </w:r>
    </w:p>
    <w:p w:rsidR="00F21B88" w:rsidRPr="008E0F7F" w:rsidRDefault="00F21B88" w:rsidP="00F21B88">
      <w:pPr>
        <w:rPr>
          <w:rFonts w:ascii="Times New Roman" w:hAnsi="Times New Roman"/>
          <w:sz w:val="20"/>
          <w:szCs w:val="20"/>
        </w:rPr>
      </w:pPr>
      <w:r w:rsidRPr="008E0F7F">
        <w:rPr>
          <w:rStyle w:val="shorttext"/>
          <w:rFonts w:ascii="Times New Roman" w:hAnsi="Times New Roman"/>
          <w:sz w:val="20"/>
          <w:szCs w:val="20"/>
          <w:lang w:val="en"/>
        </w:rPr>
        <w:t xml:space="preserve">Representative histograms of MSCs stained with antibody against positive (CD90, CD73, CD105) </w:t>
      </w:r>
      <w:r w:rsidRPr="008E0F7F">
        <w:rPr>
          <w:rStyle w:val="shorttext"/>
          <w:rFonts w:ascii="Times New Roman" w:hAnsi="Times New Roman"/>
          <w:sz w:val="20"/>
          <w:szCs w:val="20"/>
        </w:rPr>
        <w:t xml:space="preserve">and </w:t>
      </w:r>
      <w:r w:rsidRPr="008E0F7F">
        <w:rPr>
          <w:rStyle w:val="shorttext"/>
          <w:rFonts w:ascii="Times New Roman" w:hAnsi="Times New Roman"/>
          <w:sz w:val="20"/>
          <w:szCs w:val="20"/>
          <w:lang w:val="en"/>
        </w:rPr>
        <w:t>negative</w:t>
      </w:r>
      <w:r w:rsidRPr="008E0F7F">
        <w:rPr>
          <w:rStyle w:val="shorttext"/>
          <w:rFonts w:ascii="Times New Roman" w:hAnsi="Times New Roman"/>
          <w:sz w:val="20"/>
          <w:szCs w:val="20"/>
        </w:rPr>
        <w:t xml:space="preserve"> (CD45, CD14) </w:t>
      </w:r>
      <w:r w:rsidRPr="008E0F7F">
        <w:rPr>
          <w:rStyle w:val="shorttext"/>
          <w:rFonts w:ascii="Times New Roman" w:hAnsi="Times New Roman"/>
          <w:sz w:val="20"/>
          <w:szCs w:val="20"/>
          <w:lang w:val="en"/>
        </w:rPr>
        <w:t>markers</w:t>
      </w:r>
      <w:r w:rsidR="00533794" w:rsidRPr="008E0F7F">
        <w:rPr>
          <w:rStyle w:val="shorttext"/>
          <w:rFonts w:ascii="Times New Roman" w:hAnsi="Times New Roman"/>
          <w:sz w:val="20"/>
          <w:szCs w:val="20"/>
          <w:lang w:val="en"/>
        </w:rPr>
        <w:t>, (n=8</w:t>
      </w:r>
      <w:r w:rsidRPr="008E0F7F">
        <w:rPr>
          <w:rStyle w:val="shorttext"/>
          <w:rFonts w:ascii="Times New Roman" w:hAnsi="Times New Roman"/>
          <w:sz w:val="20"/>
          <w:szCs w:val="20"/>
          <w:lang w:val="en"/>
        </w:rPr>
        <w:t>).</w:t>
      </w:r>
    </w:p>
    <w:p w:rsidR="004450A8" w:rsidRPr="008E0F7F" w:rsidRDefault="004450A8" w:rsidP="006266D8">
      <w:pPr>
        <w:spacing w:after="0" w:line="360" w:lineRule="auto"/>
        <w:ind w:left="-851" w:firstLine="425"/>
        <w:jc w:val="both"/>
        <w:rPr>
          <w:rStyle w:val="tlid-translation"/>
          <w:rFonts w:ascii="Times New Roman" w:hAnsi="Times New Roman"/>
          <w:sz w:val="20"/>
          <w:szCs w:val="20"/>
          <w:u w:val="single"/>
        </w:rPr>
      </w:pPr>
      <w:proofErr w:type="gramStart"/>
      <w:r w:rsidRPr="008E0F7F">
        <w:rPr>
          <w:rStyle w:val="tlid-translation"/>
          <w:rFonts w:ascii="Times New Roman" w:hAnsi="Times New Roman"/>
          <w:sz w:val="20"/>
          <w:szCs w:val="20"/>
          <w:u w:val="single"/>
        </w:rPr>
        <w:lastRenderedPageBreak/>
        <w:t xml:space="preserve">MSC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  <w:u w:val="single"/>
        </w:rPr>
        <w:t>osteo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  <w:u w:val="single"/>
        </w:rPr>
        <w:t xml:space="preserve">- and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  <w:u w:val="single"/>
        </w:rPr>
        <w:t>adipopotential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  <w:u w:val="single"/>
        </w:rPr>
        <w:t>.</w:t>
      </w:r>
      <w:proofErr w:type="gramEnd"/>
      <w:r w:rsidRPr="008E0F7F">
        <w:rPr>
          <w:rStyle w:val="tlid-translation"/>
          <w:rFonts w:ascii="Times New Roman" w:hAnsi="Times New Roman"/>
          <w:sz w:val="20"/>
          <w:szCs w:val="20"/>
          <w:u w:val="single"/>
        </w:rPr>
        <w:t xml:space="preserve"> </w:t>
      </w:r>
    </w:p>
    <w:p w:rsidR="004450A8" w:rsidRPr="008E0F7F" w:rsidRDefault="004450A8" w:rsidP="006266D8">
      <w:pPr>
        <w:spacing w:after="0" w:line="360" w:lineRule="auto"/>
        <w:ind w:left="-851" w:firstLine="425"/>
        <w:jc w:val="both"/>
        <w:rPr>
          <w:rStyle w:val="tlid-translation"/>
          <w:rFonts w:ascii="Times New Roman" w:hAnsi="Times New Roman"/>
          <w:sz w:val="20"/>
          <w:szCs w:val="20"/>
          <w:lang w:val="en-US"/>
        </w:rPr>
      </w:pPr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For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osteogenic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 induction, </w:t>
      </w:r>
      <w:r w:rsidRPr="008E0F7F">
        <w:rPr>
          <w:rFonts w:ascii="Times New Roman" w:hAnsi="Times New Roman"/>
          <w:sz w:val="20"/>
          <w:szCs w:val="20"/>
        </w:rPr>
        <w:t>10</w:t>
      </w:r>
      <w:r w:rsidRPr="008E0F7F">
        <w:rPr>
          <w:rFonts w:ascii="Times New Roman" w:hAnsi="Times New Roman"/>
          <w:sz w:val="20"/>
          <w:szCs w:val="20"/>
          <w:vertAlign w:val="superscript"/>
        </w:rPr>
        <w:t>-</w:t>
      </w:r>
      <w:smartTag w:uri="urn:schemas-microsoft-com:office:smarttags" w:element="metricconverter">
        <w:smartTagPr>
          <w:attr w:name="ProductID" w:val="8 М"/>
        </w:smartTagPr>
        <w:r w:rsidRPr="008E0F7F">
          <w:rPr>
            <w:rFonts w:ascii="Times New Roman" w:hAnsi="Times New Roman"/>
            <w:sz w:val="20"/>
            <w:szCs w:val="20"/>
            <w:vertAlign w:val="superscript"/>
          </w:rPr>
          <w:t xml:space="preserve">8 </w:t>
        </w:r>
        <w:r w:rsidRPr="008E0F7F">
          <w:rPr>
            <w:rFonts w:ascii="Times New Roman" w:hAnsi="Times New Roman"/>
            <w:sz w:val="20"/>
            <w:szCs w:val="20"/>
          </w:rPr>
          <w:t xml:space="preserve">М </w:t>
        </w:r>
      </w:smartTag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dexamethasone, 10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mM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 glycerol-2-phosphate and 0.2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mM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 2-phospho-L-ascorbic acid (Sigma, USA) were added to α-MEM.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Osteogenic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 differentiation was verified after staining of the mineralized matrix components with Alizarin red (Millipore, USA). For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adipogenic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 induction, 0.5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mM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isobutylmethylxanthine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, 1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μM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 dexamethasone, 10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μg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/ml insulin, and 200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μM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 indomethacin (Sigma, USA) were added to the culture medium.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Adipodifferentiation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 was confirmed with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OilRed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 O staining of intracellular lipid droplets (Millipore, USA).</w:t>
      </w:r>
      <w:r w:rsidR="0043534A"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 </w:t>
      </w:r>
    </w:p>
    <w:p w:rsidR="00BE3DC7" w:rsidRPr="008E0F7F" w:rsidRDefault="00BE3DC7" w:rsidP="006266D8">
      <w:pPr>
        <w:ind w:left="-851" w:firstLine="425"/>
        <w:rPr>
          <w:rStyle w:val="tlid-translation"/>
          <w:rFonts w:ascii="Times New Roman" w:hAnsi="Times New Roman"/>
          <w:sz w:val="20"/>
          <w:szCs w:val="20"/>
        </w:rPr>
      </w:pPr>
      <w:r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>MSC</w:t>
      </w:r>
      <w:r w:rsidR="00C00664">
        <w:rPr>
          <w:rStyle w:val="tlid-translation"/>
          <w:rFonts w:ascii="Times New Roman" w:hAnsi="Times New Roman"/>
          <w:sz w:val="20"/>
          <w:szCs w:val="20"/>
          <w:lang w:val="en-US"/>
        </w:rPr>
        <w:t>s</w:t>
      </w:r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were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 undergoing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osteo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- and </w:t>
      </w:r>
      <w:proofErr w:type="spellStart"/>
      <w:r w:rsidRPr="008E0F7F">
        <w:rPr>
          <w:rStyle w:val="tlid-translation"/>
          <w:rFonts w:ascii="Times New Roman" w:hAnsi="Times New Roman"/>
          <w:sz w:val="20"/>
          <w:szCs w:val="20"/>
        </w:rPr>
        <w:t>adipogenic</w:t>
      </w:r>
      <w:proofErr w:type="spellEnd"/>
      <w:r w:rsidRPr="008E0F7F">
        <w:rPr>
          <w:rStyle w:val="tlid-translation"/>
          <w:rFonts w:ascii="Times New Roman" w:hAnsi="Times New Roman"/>
          <w:sz w:val="20"/>
          <w:szCs w:val="20"/>
        </w:rPr>
        <w:t xml:space="preserve"> differentiation in the presence of the appropriate stimuli in the medium</w:t>
      </w:r>
      <w:r w:rsidR="00F21B88" w:rsidRPr="008E0F7F">
        <w:rPr>
          <w:rStyle w:val="tlid-translation"/>
          <w:rFonts w:ascii="Times New Roman" w:hAnsi="Times New Roman"/>
          <w:sz w:val="20"/>
          <w:szCs w:val="20"/>
        </w:rPr>
        <w:t xml:space="preserve"> (Fig. 2)</w:t>
      </w:r>
    </w:p>
    <w:p w:rsidR="00BE3DC7" w:rsidRPr="008E0F7F" w:rsidRDefault="00BE3DC7" w:rsidP="006266D8">
      <w:pPr>
        <w:ind w:left="-851" w:firstLine="425"/>
        <w:rPr>
          <w:rStyle w:val="tlid-translation"/>
          <w:rFonts w:ascii="Times New Roman" w:hAnsi="Times New Roman"/>
          <w:sz w:val="20"/>
          <w:szCs w:val="20"/>
        </w:rPr>
      </w:pPr>
    </w:p>
    <w:p w:rsidR="004450A8" w:rsidRPr="008E0F7F" w:rsidRDefault="001339A4" w:rsidP="006266D8">
      <w:pPr>
        <w:ind w:left="-851" w:firstLine="425"/>
        <w:rPr>
          <w:rFonts w:ascii="Times New Roman" w:hAnsi="Times New Roman"/>
          <w:sz w:val="20"/>
          <w:szCs w:val="20"/>
          <w:lang w:val="en-US"/>
        </w:rPr>
      </w:pPr>
      <w:r w:rsidRPr="008E0F7F">
        <w:rPr>
          <w:rFonts w:ascii="Times New Roman" w:hAnsi="Times New Roman"/>
          <w:b/>
          <w:noProof/>
          <w:color w:val="FF0000"/>
          <w:sz w:val="20"/>
          <w:szCs w:val="20"/>
          <w:lang w:val="ru-RU" w:eastAsia="ru-RU"/>
        </w:rPr>
        <w:drawing>
          <wp:inline distT="0" distB="0" distL="0" distR="0" wp14:anchorId="527F17C6" wp14:editId="70BFFB11">
            <wp:extent cx="5422699" cy="2530136"/>
            <wp:effectExtent l="0" t="0" r="6985" b="3810"/>
            <wp:docPr id="1" name="Рисунок 1" descr="E:\ИМБП\ИМПБ самоизоляция\РФФИ 2020\диференц обща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ИМБП\ИМПБ самоизоляция\РФФИ 2020\диференц общая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350" cy="253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9A4" w:rsidRPr="008E0F7F" w:rsidRDefault="006A678E" w:rsidP="006266D8">
      <w:pPr>
        <w:ind w:left="-851" w:firstLine="425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Figure 9</w:t>
      </w:r>
      <w:r w:rsidR="00E671E1" w:rsidRPr="008E0F7F">
        <w:rPr>
          <w:rFonts w:ascii="Times New Roman" w:hAnsi="Times New Roman"/>
          <w:sz w:val="20"/>
          <w:szCs w:val="20"/>
          <w:lang w:val="en-US"/>
        </w:rPr>
        <w:t>.</w:t>
      </w:r>
      <w:proofErr w:type="gramEnd"/>
      <w:r w:rsidR="00E671E1" w:rsidRPr="008E0F7F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="001339A4" w:rsidRPr="008E0F7F">
        <w:rPr>
          <w:rFonts w:ascii="Times New Roman" w:hAnsi="Times New Roman"/>
          <w:sz w:val="20"/>
          <w:szCs w:val="20"/>
        </w:rPr>
        <w:t>Osteogenic</w:t>
      </w:r>
      <w:proofErr w:type="spellEnd"/>
      <w:r w:rsidR="001339A4" w:rsidRPr="008E0F7F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="001339A4" w:rsidRPr="008E0F7F">
        <w:rPr>
          <w:rFonts w:ascii="Times New Roman" w:hAnsi="Times New Roman"/>
          <w:sz w:val="20"/>
          <w:szCs w:val="20"/>
        </w:rPr>
        <w:t>adipogenic</w:t>
      </w:r>
      <w:proofErr w:type="spellEnd"/>
      <w:r w:rsidR="001339A4" w:rsidRPr="008E0F7F">
        <w:rPr>
          <w:rFonts w:ascii="Times New Roman" w:hAnsi="Times New Roman"/>
          <w:sz w:val="20"/>
          <w:szCs w:val="20"/>
        </w:rPr>
        <w:t xml:space="preserve"> differentiation of </w:t>
      </w:r>
      <w:r w:rsidR="001339A4" w:rsidRPr="008E0F7F">
        <w:rPr>
          <w:rFonts w:ascii="Times New Roman" w:hAnsi="Times New Roman"/>
          <w:sz w:val="20"/>
          <w:szCs w:val="20"/>
          <w:lang w:val="en-US"/>
        </w:rPr>
        <w:t>M</w:t>
      </w:r>
      <w:r w:rsidR="00E671E1" w:rsidRPr="008E0F7F">
        <w:rPr>
          <w:rFonts w:ascii="Times New Roman" w:hAnsi="Times New Roman"/>
          <w:sz w:val="20"/>
          <w:szCs w:val="20"/>
        </w:rPr>
        <w:t>SCs.</w:t>
      </w:r>
      <w:proofErr w:type="gramEnd"/>
    </w:p>
    <w:p w:rsidR="001339A4" w:rsidRPr="008E0F7F" w:rsidRDefault="001339A4" w:rsidP="006266D8">
      <w:pPr>
        <w:ind w:left="-851" w:firstLine="425"/>
        <w:rPr>
          <w:rFonts w:ascii="Times New Roman" w:hAnsi="Times New Roman"/>
          <w:sz w:val="20"/>
          <w:szCs w:val="20"/>
        </w:rPr>
      </w:pPr>
      <w:r w:rsidRPr="008E0F7F">
        <w:rPr>
          <w:rFonts w:ascii="Times New Roman" w:hAnsi="Times New Roman"/>
          <w:iCs/>
          <w:color w:val="000000"/>
          <w:sz w:val="20"/>
          <w:szCs w:val="20"/>
        </w:rPr>
        <w:t xml:space="preserve">The induced </w:t>
      </w:r>
      <w:proofErr w:type="spellStart"/>
      <w:r w:rsidRPr="008E0F7F">
        <w:rPr>
          <w:rFonts w:ascii="Times New Roman" w:hAnsi="Times New Roman"/>
          <w:iCs/>
          <w:color w:val="000000"/>
          <w:sz w:val="20"/>
          <w:szCs w:val="20"/>
        </w:rPr>
        <w:t>osteo</w:t>
      </w:r>
      <w:proofErr w:type="spellEnd"/>
      <w:r w:rsidRPr="008E0F7F">
        <w:rPr>
          <w:rFonts w:ascii="Times New Roman" w:hAnsi="Times New Roman"/>
          <w:iCs/>
          <w:color w:val="000000"/>
          <w:sz w:val="20"/>
          <w:szCs w:val="20"/>
        </w:rPr>
        <w:t xml:space="preserve">- and </w:t>
      </w:r>
      <w:proofErr w:type="spellStart"/>
      <w:r w:rsidRPr="008E0F7F">
        <w:rPr>
          <w:rFonts w:ascii="Times New Roman" w:hAnsi="Times New Roman"/>
          <w:iCs/>
          <w:color w:val="000000"/>
          <w:sz w:val="20"/>
          <w:szCs w:val="20"/>
        </w:rPr>
        <w:t>adipo</w:t>
      </w:r>
      <w:proofErr w:type="spellEnd"/>
      <w:r w:rsidRPr="008E0F7F">
        <w:rPr>
          <w:rStyle w:val="shorttext"/>
          <w:rFonts w:ascii="Times New Roman" w:hAnsi="Times New Roman"/>
          <w:sz w:val="20"/>
          <w:szCs w:val="20"/>
          <w:lang w:val="en"/>
        </w:rPr>
        <w:t xml:space="preserve">differentiation </w:t>
      </w:r>
      <w:r w:rsidRPr="008E0F7F">
        <w:rPr>
          <w:rFonts w:ascii="Times New Roman" w:hAnsi="Times New Roman"/>
          <w:iCs/>
          <w:color w:val="000000"/>
          <w:sz w:val="20"/>
          <w:szCs w:val="20"/>
        </w:rPr>
        <w:t xml:space="preserve">was </w:t>
      </w:r>
      <w:proofErr w:type="gramStart"/>
      <w:r w:rsidRPr="008E0F7F">
        <w:rPr>
          <w:rFonts w:ascii="Times New Roman" w:hAnsi="Times New Roman"/>
          <w:iCs/>
          <w:color w:val="000000"/>
          <w:sz w:val="20"/>
          <w:szCs w:val="20"/>
        </w:rPr>
        <w:t>evaluate</w:t>
      </w:r>
      <w:proofErr w:type="gramEnd"/>
      <w:r w:rsidRPr="008E0F7F">
        <w:rPr>
          <w:rFonts w:ascii="Times New Roman" w:hAnsi="Times New Roman"/>
          <w:iCs/>
          <w:color w:val="000000"/>
          <w:sz w:val="20"/>
          <w:szCs w:val="20"/>
        </w:rPr>
        <w:t xml:space="preserve"> </w:t>
      </w:r>
      <w:r w:rsidRPr="008E0F7F">
        <w:rPr>
          <w:rFonts w:ascii="Times New Roman" w:hAnsi="Times New Roman"/>
          <w:sz w:val="20"/>
          <w:szCs w:val="20"/>
        </w:rPr>
        <w:t>in each passage</w:t>
      </w:r>
      <w:r w:rsidRPr="008E0F7F">
        <w:rPr>
          <w:rStyle w:val="shorttext"/>
          <w:rFonts w:ascii="Times New Roman" w:hAnsi="Times New Roman"/>
          <w:sz w:val="20"/>
          <w:szCs w:val="20"/>
        </w:rPr>
        <w:t xml:space="preserve">. </w:t>
      </w:r>
      <w:r w:rsidRPr="008E0F7F">
        <w:rPr>
          <w:rStyle w:val="shorttext"/>
          <w:rFonts w:ascii="Times New Roman" w:hAnsi="Times New Roman"/>
          <w:sz w:val="20"/>
          <w:szCs w:val="20"/>
          <w:lang w:val="en"/>
        </w:rPr>
        <w:t xml:space="preserve">Representative </w:t>
      </w:r>
      <w:r w:rsidRPr="008E0F7F">
        <w:rPr>
          <w:rStyle w:val="shorttext"/>
          <w:rFonts w:ascii="Times New Roman" w:hAnsi="Times New Roman"/>
          <w:sz w:val="20"/>
          <w:szCs w:val="20"/>
        </w:rPr>
        <w:t xml:space="preserve">images, </w:t>
      </w:r>
      <w:r w:rsidR="00533794" w:rsidRPr="008E0F7F">
        <w:rPr>
          <w:rStyle w:val="shorttext"/>
          <w:rFonts w:ascii="Times New Roman" w:hAnsi="Times New Roman"/>
          <w:sz w:val="20"/>
          <w:szCs w:val="20"/>
          <w:lang w:val="en"/>
        </w:rPr>
        <w:t>(n=8</w:t>
      </w:r>
      <w:r w:rsidRPr="008E0F7F">
        <w:rPr>
          <w:rStyle w:val="shorttext"/>
          <w:rFonts w:ascii="Times New Roman" w:hAnsi="Times New Roman"/>
          <w:sz w:val="20"/>
          <w:szCs w:val="20"/>
          <w:lang w:val="en"/>
        </w:rPr>
        <w:t>).</w:t>
      </w:r>
    </w:p>
    <w:p w:rsidR="008E0F7F" w:rsidRDefault="008E0F7F" w:rsidP="008E0F7F">
      <w:pPr>
        <w:ind w:left="-851" w:firstLine="4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A.</w:t>
      </w:r>
      <w:r w:rsidR="001339A4" w:rsidRPr="008E0F7F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–</w:t>
      </w:r>
      <w:r w:rsidR="001339A4" w:rsidRPr="008E0F7F">
        <w:rPr>
          <w:rFonts w:ascii="Times New Roman" w:hAnsi="Times New Roman"/>
          <w:sz w:val="20"/>
          <w:szCs w:val="20"/>
        </w:rPr>
        <w:t xml:space="preserve"> Lipid droplets in ASCs, Oil Red O staining. Bar 100 µm.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339A4" w:rsidRPr="008E0F7F">
        <w:rPr>
          <w:rFonts w:ascii="Times New Roman" w:hAnsi="Times New Roman"/>
          <w:sz w:val="20"/>
          <w:szCs w:val="20"/>
        </w:rPr>
        <w:t>B– ASC mineralized</w:t>
      </w:r>
      <w:r>
        <w:rPr>
          <w:rFonts w:ascii="Times New Roman" w:hAnsi="Times New Roman"/>
          <w:sz w:val="20"/>
          <w:szCs w:val="20"/>
        </w:rPr>
        <w:t xml:space="preserve"> matrix, alizarin red staining.</w:t>
      </w:r>
    </w:p>
    <w:p w:rsidR="001339A4" w:rsidRPr="008E0F7F" w:rsidRDefault="001339A4" w:rsidP="008E0F7F">
      <w:pPr>
        <w:ind w:left="-851" w:firstLine="425"/>
        <w:rPr>
          <w:rFonts w:ascii="Times New Roman" w:hAnsi="Times New Roman"/>
          <w:sz w:val="20"/>
          <w:szCs w:val="20"/>
          <w:lang w:val="en-US"/>
        </w:rPr>
      </w:pPr>
      <w:r w:rsidRPr="008E0F7F">
        <w:rPr>
          <w:rFonts w:ascii="Times New Roman" w:hAnsi="Times New Roman"/>
          <w:sz w:val="20"/>
          <w:szCs w:val="20"/>
        </w:rPr>
        <w:t>Bar 100 µm.</w:t>
      </w:r>
    </w:p>
    <w:p w:rsidR="009C3646" w:rsidRPr="008E0F7F" w:rsidRDefault="009C3646" w:rsidP="006266D8">
      <w:pPr>
        <w:ind w:left="-851" w:firstLine="425"/>
        <w:rPr>
          <w:rFonts w:ascii="Times New Roman" w:hAnsi="Times New Roman"/>
          <w:sz w:val="20"/>
          <w:szCs w:val="20"/>
          <w:lang w:val="en-US"/>
        </w:rPr>
      </w:pPr>
    </w:p>
    <w:p w:rsidR="009C3646" w:rsidRPr="008E0F7F" w:rsidRDefault="00E671E1" w:rsidP="006266D8">
      <w:pPr>
        <w:ind w:left="-851" w:firstLine="425"/>
        <w:rPr>
          <w:rFonts w:ascii="Times New Roman" w:hAnsi="Times New Roman"/>
          <w:sz w:val="24"/>
          <w:szCs w:val="24"/>
          <w:lang w:val="en-US"/>
        </w:rPr>
      </w:pPr>
      <w:r w:rsidRPr="008E0F7F">
        <w:rPr>
          <w:rFonts w:ascii="Times New Roman" w:hAnsi="Times New Roman"/>
          <w:b/>
          <w:sz w:val="24"/>
          <w:szCs w:val="24"/>
        </w:rPr>
        <w:t xml:space="preserve">PBMC </w:t>
      </w:r>
      <w:proofErr w:type="gramStart"/>
      <w:r w:rsidRPr="008E0F7F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populations</w:t>
      </w:r>
      <w:proofErr w:type="gramEnd"/>
      <w:r w:rsidRPr="008E0F7F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 distribution</w:t>
      </w:r>
    </w:p>
    <w:p w:rsidR="00A5705B" w:rsidRPr="008E0F7F" w:rsidRDefault="00A5705B" w:rsidP="006266D8">
      <w:pPr>
        <w:spacing w:after="0" w:line="360" w:lineRule="auto"/>
        <w:ind w:left="-851" w:firstLine="425"/>
        <w:jc w:val="both"/>
        <w:rPr>
          <w:rStyle w:val="tlid-translation"/>
          <w:rFonts w:ascii="Times New Roman" w:hAnsi="Times New Roman"/>
          <w:sz w:val="20"/>
          <w:szCs w:val="20"/>
          <w:lang w:val="en-US"/>
        </w:rPr>
      </w:pPr>
      <w:r w:rsidRPr="008E0F7F">
        <w:rPr>
          <w:rStyle w:val="tlid-translation"/>
          <w:rFonts w:ascii="Times New Roman" w:hAnsi="Times New Roman"/>
          <w:sz w:val="20"/>
          <w:szCs w:val="20"/>
        </w:rPr>
        <w:t>The PBMC populations from each donor were characterised with flow cytometry (AccuriC6, BD Bioscience, USA) using antibodies against CD3/CD8/CD45/CD4 (BD Biosciences Cat# 340499, RRID</w:t>
      </w:r>
      <w:proofErr w:type="gramStart"/>
      <w:r w:rsidRPr="008E0F7F">
        <w:rPr>
          <w:rStyle w:val="tlid-translation"/>
          <w:rFonts w:ascii="Times New Roman" w:hAnsi="Times New Roman"/>
          <w:sz w:val="20"/>
          <w:szCs w:val="20"/>
        </w:rPr>
        <w:t>:AB</w:t>
      </w:r>
      <w:proofErr w:type="gramEnd"/>
      <w:r w:rsidRPr="008E0F7F">
        <w:rPr>
          <w:rStyle w:val="tlid-translation"/>
          <w:rFonts w:ascii="Times New Roman" w:hAnsi="Times New Roman"/>
          <w:sz w:val="20"/>
          <w:szCs w:val="20"/>
        </w:rPr>
        <w:t>_400472) and CD3/CD16+CD56/CD45/CD19 (BD Biosciences</w:t>
      </w:r>
      <w:r w:rsidRPr="008E0F7F">
        <w:rPr>
          <w:rFonts w:ascii="Times New Roman" w:hAnsi="Times New Roman"/>
          <w:sz w:val="20"/>
          <w:szCs w:val="20"/>
        </w:rPr>
        <w:t xml:space="preserve"> </w:t>
      </w:r>
      <w:r w:rsidRPr="008E0F7F">
        <w:rPr>
          <w:rStyle w:val="tlid-translation"/>
          <w:rFonts w:ascii="Times New Roman" w:hAnsi="Times New Roman"/>
          <w:sz w:val="20"/>
          <w:szCs w:val="20"/>
        </w:rPr>
        <w:t>Cat# 340500, RRID:AB_400473)</w:t>
      </w:r>
      <w:r w:rsidR="00DD12FB"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>, CD14</w:t>
      </w:r>
      <w:r w:rsidR="00726150"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>-PE</w:t>
      </w:r>
      <w:r w:rsidR="00DD12FB"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 (</w:t>
      </w:r>
      <w:proofErr w:type="spellStart"/>
      <w:r w:rsidR="006A678E" w:rsidRPr="006A678E">
        <w:rPr>
          <w:rStyle w:val="tlid-translation"/>
          <w:rFonts w:ascii="Times New Roman" w:hAnsi="Times New Roman"/>
          <w:sz w:val="20"/>
          <w:szCs w:val="20"/>
        </w:rPr>
        <w:t>Immunotec</w:t>
      </w:r>
      <w:proofErr w:type="spellEnd"/>
      <w:r w:rsidR="006A678E" w:rsidRPr="006A678E">
        <w:rPr>
          <w:rStyle w:val="tlid-translation"/>
          <w:rFonts w:ascii="Times New Roman" w:hAnsi="Times New Roman"/>
          <w:sz w:val="20"/>
          <w:szCs w:val="20"/>
        </w:rPr>
        <w:t>, France</w:t>
      </w:r>
      <w:r w:rsidR="00DD12FB" w:rsidRPr="008E0F7F">
        <w:rPr>
          <w:rStyle w:val="tlid-translation"/>
          <w:rFonts w:ascii="Times New Roman" w:hAnsi="Times New Roman"/>
          <w:sz w:val="20"/>
          <w:szCs w:val="20"/>
        </w:rPr>
        <w:t>),</w:t>
      </w:r>
      <w:r w:rsidR="00DD12FB"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 CD45</w:t>
      </w:r>
      <w:r w:rsidR="00726150"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>-PerCP</w:t>
      </w:r>
      <w:r w:rsidR="00DD12FB"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 (BD </w:t>
      </w:r>
      <w:r w:rsidR="00DD12FB" w:rsidRPr="008E0F7F">
        <w:rPr>
          <w:rStyle w:val="tlid-translation"/>
          <w:rFonts w:ascii="Times New Roman" w:hAnsi="Times New Roman"/>
          <w:sz w:val="20"/>
          <w:szCs w:val="20"/>
        </w:rPr>
        <w:t>Biosciences, USA)</w:t>
      </w:r>
      <w:r w:rsidRPr="008E0F7F">
        <w:rPr>
          <w:rStyle w:val="tlid-translation"/>
          <w:rFonts w:ascii="Times New Roman" w:hAnsi="Times New Roman"/>
          <w:sz w:val="20"/>
          <w:szCs w:val="20"/>
        </w:rPr>
        <w:t>.</w:t>
      </w:r>
      <w:r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 </w:t>
      </w:r>
      <w:r w:rsidR="00DD12FB"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>The ratio of lymphocyte populations/T cell subpopulations in PBMCs was demonstrated to be within the reference range</w:t>
      </w:r>
      <w:r w:rsidR="00F21B88"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 (Table 1</w:t>
      </w:r>
      <w:r w:rsidR="008E0F7F">
        <w:rPr>
          <w:rStyle w:val="tlid-translation"/>
          <w:rFonts w:ascii="Times New Roman" w:hAnsi="Times New Roman"/>
          <w:sz w:val="20"/>
          <w:szCs w:val="20"/>
          <w:lang w:val="en-US"/>
        </w:rPr>
        <w:t>, Fig. 3</w:t>
      </w:r>
      <w:r w:rsidR="00F21B88"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>).</w:t>
      </w:r>
    </w:p>
    <w:p w:rsidR="001E22B7" w:rsidRPr="008E0F7F" w:rsidRDefault="006A678E" w:rsidP="006266D8">
      <w:pPr>
        <w:ind w:left="-851" w:firstLine="425"/>
        <w:rPr>
          <w:rFonts w:ascii="Times New Roman" w:hAnsi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Table 6</w:t>
      </w:r>
      <w:r w:rsidR="00F21B88" w:rsidRPr="008E0F7F">
        <w:rPr>
          <w:rFonts w:ascii="Times New Roman" w:hAnsi="Times New Roman"/>
          <w:sz w:val="20"/>
          <w:szCs w:val="20"/>
          <w:lang w:val="en-US"/>
        </w:rPr>
        <w:t>.</w:t>
      </w:r>
      <w:proofErr w:type="gramEnd"/>
      <w:r w:rsidR="00F21B88" w:rsidRPr="008E0F7F">
        <w:rPr>
          <w:rFonts w:ascii="Times New Roman" w:hAnsi="Times New Roman"/>
          <w:sz w:val="20"/>
          <w:szCs w:val="20"/>
          <w:lang w:val="en-US"/>
        </w:rPr>
        <w:t xml:space="preserve"> PBMC </w:t>
      </w:r>
      <w:proofErr w:type="gramStart"/>
      <w:r w:rsidR="00F21B88" w:rsidRPr="008E0F7F">
        <w:rPr>
          <w:rFonts w:ascii="Times New Roman" w:hAnsi="Times New Roman"/>
          <w:sz w:val="20"/>
          <w:szCs w:val="20"/>
          <w:lang w:val="en-US"/>
        </w:rPr>
        <w:t>populations</w:t>
      </w:r>
      <w:proofErr w:type="gramEnd"/>
      <w:r w:rsidR="00F21B88" w:rsidRPr="008E0F7F">
        <w:rPr>
          <w:rFonts w:ascii="Times New Roman" w:hAnsi="Times New Roman"/>
          <w:sz w:val="20"/>
          <w:szCs w:val="20"/>
          <w:lang w:val="en-US"/>
        </w:rPr>
        <w:t xml:space="preserve"> distribution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851"/>
        <w:gridCol w:w="1611"/>
        <w:gridCol w:w="1649"/>
        <w:gridCol w:w="1418"/>
        <w:gridCol w:w="2268"/>
        <w:gridCol w:w="1666"/>
      </w:tblGrid>
      <w:tr w:rsidR="00C00664" w:rsidRPr="008E0F7F" w:rsidTr="00C00664">
        <w:tc>
          <w:tcPr>
            <w:tcW w:w="851" w:type="dxa"/>
          </w:tcPr>
          <w:p w:rsidR="00F14515" w:rsidRPr="008E0F7F" w:rsidRDefault="00F14515" w:rsidP="003C67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 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cells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3+</w:t>
            </w:r>
          </w:p>
        </w:tc>
        <w:tc>
          <w:tcPr>
            <w:tcW w:w="851" w:type="dxa"/>
          </w:tcPr>
          <w:p w:rsidR="00F14515" w:rsidRPr="008E0F7F" w:rsidRDefault="00F14515" w:rsidP="003C67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cells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19+</w:t>
            </w:r>
          </w:p>
        </w:tc>
        <w:tc>
          <w:tcPr>
            <w:tcW w:w="1611" w:type="dxa"/>
          </w:tcPr>
          <w:p w:rsidR="00F14515" w:rsidRPr="008E0F7F" w:rsidRDefault="00F14515" w:rsidP="003C67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TEK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3+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56+16+</w:t>
            </w:r>
          </w:p>
        </w:tc>
        <w:tc>
          <w:tcPr>
            <w:tcW w:w="1649" w:type="dxa"/>
          </w:tcPr>
          <w:p w:rsidR="00C00664" w:rsidRDefault="00F14515" w:rsidP="003C675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EK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F14515" w:rsidRPr="008E0F7F" w:rsidRDefault="00F14515" w:rsidP="003C67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="00C00664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C0066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56+16+</w:t>
            </w:r>
          </w:p>
        </w:tc>
        <w:tc>
          <w:tcPr>
            <w:tcW w:w="1418" w:type="dxa"/>
          </w:tcPr>
          <w:p w:rsidR="00C00664" w:rsidRDefault="00C00664" w:rsidP="003C675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helpers</w:t>
            </w:r>
          </w:p>
          <w:p w:rsidR="00F14515" w:rsidRPr="00C00664" w:rsidRDefault="00F14515" w:rsidP="003C675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3+/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4+</w:t>
            </w:r>
          </w:p>
        </w:tc>
        <w:tc>
          <w:tcPr>
            <w:tcW w:w="2268" w:type="dxa"/>
          </w:tcPr>
          <w:p w:rsidR="00C00664" w:rsidRDefault="00C00664" w:rsidP="003C675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 w:rsidRPr="00C0066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suppressors/cytotoxic</w:t>
            </w:r>
          </w:p>
          <w:p w:rsidR="00F14515" w:rsidRPr="00C00664" w:rsidRDefault="00F14515" w:rsidP="003C675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Pr="00C00664">
              <w:rPr>
                <w:rFonts w:ascii="Times New Roman" w:hAnsi="Times New Roman"/>
                <w:sz w:val="20"/>
                <w:szCs w:val="20"/>
                <w:lang w:val="en-US"/>
              </w:rPr>
              <w:t>3+/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Pr="00C00664">
              <w:rPr>
                <w:rFonts w:ascii="Times New Roman" w:hAnsi="Times New Roman"/>
                <w:sz w:val="20"/>
                <w:szCs w:val="20"/>
                <w:lang w:val="en-US"/>
              </w:rPr>
              <w:t>8+</w:t>
            </w:r>
          </w:p>
        </w:tc>
        <w:tc>
          <w:tcPr>
            <w:tcW w:w="1666" w:type="dxa"/>
          </w:tcPr>
          <w:p w:rsidR="00C00664" w:rsidRDefault="00C00664" w:rsidP="003C675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0664">
              <w:rPr>
                <w:rFonts w:ascii="Times New Roman" w:hAnsi="Times New Roman"/>
                <w:sz w:val="20"/>
                <w:szCs w:val="20"/>
                <w:lang w:val="en-US"/>
              </w:rPr>
              <w:t>Monocytes</w:t>
            </w:r>
          </w:p>
          <w:p w:rsidR="00C00664" w:rsidRPr="00C00664" w:rsidRDefault="00F14515" w:rsidP="003C675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CD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14+</w:t>
            </w:r>
          </w:p>
        </w:tc>
      </w:tr>
      <w:tr w:rsidR="00C00664" w:rsidRPr="008E0F7F" w:rsidTr="00C00664">
        <w:tc>
          <w:tcPr>
            <w:tcW w:w="851" w:type="dxa"/>
          </w:tcPr>
          <w:p w:rsidR="00F14515" w:rsidRPr="008E0F7F" w:rsidRDefault="00F14515" w:rsidP="003C675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±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14515" w:rsidRPr="008E0F7F" w:rsidRDefault="00F14515" w:rsidP="003C675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±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11" w:type="dxa"/>
          </w:tcPr>
          <w:p w:rsidR="00F14515" w:rsidRPr="008E0F7F" w:rsidRDefault="00F14515" w:rsidP="003C675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±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649" w:type="dxa"/>
          </w:tcPr>
          <w:p w:rsidR="00F14515" w:rsidRPr="008E0F7F" w:rsidRDefault="00F14515" w:rsidP="003C675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11±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</w:tcPr>
          <w:p w:rsidR="00F14515" w:rsidRPr="008E0F7F" w:rsidRDefault="00F14515" w:rsidP="003C6757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41</w:t>
            </w: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±</w:t>
            </w:r>
            <w:r w:rsidRPr="008E0F7F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268" w:type="dxa"/>
          </w:tcPr>
          <w:p w:rsidR="00F14515" w:rsidRPr="008E0F7F" w:rsidRDefault="00F14515" w:rsidP="003C67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24±6</w:t>
            </w:r>
          </w:p>
        </w:tc>
        <w:tc>
          <w:tcPr>
            <w:tcW w:w="1666" w:type="dxa"/>
          </w:tcPr>
          <w:p w:rsidR="00F14515" w:rsidRPr="008E0F7F" w:rsidRDefault="00F14515" w:rsidP="003C675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E0F7F">
              <w:rPr>
                <w:rFonts w:ascii="Times New Roman" w:hAnsi="Times New Roman"/>
                <w:sz w:val="20"/>
                <w:szCs w:val="20"/>
                <w:lang w:val="ru-RU"/>
              </w:rPr>
              <w:t>5±3</w:t>
            </w:r>
          </w:p>
        </w:tc>
      </w:tr>
    </w:tbl>
    <w:p w:rsidR="00011AF3" w:rsidRPr="008E0F7F" w:rsidRDefault="00C00664" w:rsidP="006266D8">
      <w:pPr>
        <w:ind w:left="-851" w:firstLine="425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F21B88" w:rsidRPr="008E0F7F" w:rsidRDefault="00F21B88" w:rsidP="00533794">
      <w:pPr>
        <w:ind w:left="-851" w:firstLine="567"/>
        <w:jc w:val="both"/>
        <w:rPr>
          <w:rFonts w:ascii="Times New Roman" w:hAnsi="Times New Roman"/>
          <w:color w:val="222222"/>
          <w:sz w:val="20"/>
          <w:szCs w:val="20"/>
          <w:shd w:val="clear" w:color="auto" w:fill="FFFFFF"/>
          <w:lang w:val="en-US"/>
        </w:rPr>
      </w:pPr>
      <w:r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The ratio of lymphocyte populations/T cell subpopulations in PBMCs was demonstrated to be within </w:t>
      </w:r>
      <w:r w:rsidR="00E04120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the reference range (T cells: 77±8%, </w:t>
      </w:r>
      <w:bookmarkStart w:id="0" w:name="_GoBack"/>
      <w:bookmarkEnd w:id="0"/>
      <w:r w:rsidR="00E04120">
        <w:rPr>
          <w:rStyle w:val="tlid-translation"/>
          <w:rFonts w:ascii="Times New Roman" w:hAnsi="Times New Roman"/>
          <w:sz w:val="20"/>
          <w:szCs w:val="20"/>
          <w:lang w:val="en-US"/>
        </w:rPr>
        <w:t>B cells: 7±2</w:t>
      </w:r>
      <w:r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%, </w:t>
      </w:r>
      <w:r w:rsidRPr="008E0F7F">
        <w:rPr>
          <w:rStyle w:val="tlid-translation"/>
          <w:rFonts w:ascii="Times New Roman" w:hAnsi="Times New Roman"/>
          <w:sz w:val="20"/>
          <w:szCs w:val="20"/>
        </w:rPr>
        <w:t>Т</w:t>
      </w:r>
      <w:r w:rsidR="00E04120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 helpers: 41±8%, T cytotoxic: 24±6%, NKs: 11±5%, NKTs: 3±2</w:t>
      </w:r>
      <w:r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>% among lymphocytes and</w:t>
      </w:r>
      <w:r w:rsidR="000A3024">
        <w:rPr>
          <w:rStyle w:val="tlid-translation"/>
          <w:rFonts w:ascii="Times New Roman" w:hAnsi="Times New Roman"/>
          <w:sz w:val="20"/>
          <w:szCs w:val="20"/>
          <w:lang w:val="en-US"/>
        </w:rPr>
        <w:t xml:space="preserve"> </w:t>
      </w:r>
      <w:r w:rsidR="000A3024">
        <w:rPr>
          <w:rStyle w:val="tlid-translation"/>
          <w:rFonts w:ascii="Times New Roman" w:hAnsi="Times New Roman"/>
          <w:sz w:val="20"/>
          <w:szCs w:val="20"/>
        </w:rPr>
        <w:t>monocytes</w:t>
      </w:r>
      <w:r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>: 5±3% among leukocytes).</w:t>
      </w:r>
    </w:p>
    <w:p w:rsidR="00F21B88" w:rsidRPr="008E0F7F" w:rsidRDefault="00F21B88" w:rsidP="00F21B88">
      <w:pPr>
        <w:rPr>
          <w:rFonts w:ascii="Times New Roman" w:hAnsi="Times New Roman"/>
          <w:sz w:val="20"/>
          <w:szCs w:val="20"/>
          <w:lang w:val="en-US"/>
        </w:rPr>
      </w:pPr>
    </w:p>
    <w:p w:rsidR="00F21B88" w:rsidRPr="008E0F7F" w:rsidRDefault="00F21B88" w:rsidP="006266D8">
      <w:pPr>
        <w:ind w:left="-851" w:firstLine="425"/>
        <w:rPr>
          <w:rFonts w:ascii="Times New Roman" w:hAnsi="Times New Roman"/>
          <w:sz w:val="20"/>
          <w:szCs w:val="20"/>
          <w:lang w:val="en-US"/>
        </w:rPr>
      </w:pPr>
      <w:r w:rsidRPr="008E0F7F">
        <w:rPr>
          <w:rFonts w:ascii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 wp14:anchorId="100FA9D9" wp14:editId="43F3A83F">
            <wp:extent cx="5940425" cy="4077779"/>
            <wp:effectExtent l="0" t="0" r="3175" b="0"/>
            <wp:docPr id="3" name="Рисунок 3" descr="E:\ИМБП\ИМПБ самоизоляция\Статья в ДАН или Бэбим-New\статья 2020\Cytotechnology\из дома 2020\PBMC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ИМБП\ИМПБ самоизоляция\Статья в ДАН или Бэбим-New\статья 2020\Cytotechnology\из дома 2020\PBMCs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B88" w:rsidRPr="008E0F7F" w:rsidRDefault="006A678E" w:rsidP="00F21B88">
      <w:pPr>
        <w:rPr>
          <w:rStyle w:val="shorttext"/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Figure 10</w:t>
      </w:r>
      <w:r w:rsidR="00F21B88" w:rsidRPr="008E0F7F">
        <w:rPr>
          <w:rFonts w:ascii="Times New Roman" w:hAnsi="Times New Roman"/>
          <w:sz w:val="20"/>
          <w:szCs w:val="20"/>
          <w:lang w:val="en-US"/>
        </w:rPr>
        <w:t>.</w:t>
      </w:r>
      <w:proofErr w:type="gramEnd"/>
      <w:r w:rsidR="00F21B88" w:rsidRPr="008E0F7F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F21B88" w:rsidRPr="008E0F7F">
        <w:rPr>
          <w:rFonts w:ascii="Times New Roman" w:hAnsi="Times New Roman"/>
          <w:sz w:val="20"/>
          <w:szCs w:val="20"/>
        </w:rPr>
        <w:t xml:space="preserve">Flow cytometry analysis of </w:t>
      </w:r>
      <w:r w:rsidR="00F21B88" w:rsidRPr="008E0F7F">
        <w:rPr>
          <w:rStyle w:val="shorttext"/>
          <w:rFonts w:ascii="Times New Roman" w:hAnsi="Times New Roman"/>
          <w:sz w:val="20"/>
          <w:szCs w:val="20"/>
          <w:lang w:val="en"/>
        </w:rPr>
        <w:t xml:space="preserve">PBMC populations distribution </w:t>
      </w:r>
    </w:p>
    <w:p w:rsidR="00F21B88" w:rsidRPr="008E0F7F" w:rsidRDefault="00F21B88" w:rsidP="00F21B88">
      <w:pPr>
        <w:rPr>
          <w:rFonts w:ascii="Times New Roman" w:hAnsi="Times New Roman"/>
          <w:sz w:val="20"/>
          <w:szCs w:val="20"/>
        </w:rPr>
      </w:pPr>
      <w:r w:rsidRPr="008E0F7F">
        <w:rPr>
          <w:rStyle w:val="shorttext"/>
          <w:rFonts w:ascii="Times New Roman" w:hAnsi="Times New Roman"/>
          <w:sz w:val="20"/>
          <w:szCs w:val="20"/>
          <w:lang w:val="en"/>
        </w:rPr>
        <w:t xml:space="preserve">Representative histograms of </w:t>
      </w:r>
      <w:r w:rsidR="00533794" w:rsidRPr="008E0F7F">
        <w:rPr>
          <w:rStyle w:val="shorttext"/>
          <w:rFonts w:ascii="Times New Roman" w:hAnsi="Times New Roman"/>
          <w:sz w:val="20"/>
          <w:szCs w:val="20"/>
          <w:lang w:val="en"/>
        </w:rPr>
        <w:t>PBMC</w:t>
      </w:r>
      <w:r w:rsidRPr="008E0F7F">
        <w:rPr>
          <w:rStyle w:val="shorttext"/>
          <w:rFonts w:ascii="Times New Roman" w:hAnsi="Times New Roman"/>
          <w:sz w:val="20"/>
          <w:szCs w:val="20"/>
          <w:lang w:val="en"/>
        </w:rPr>
        <w:t>s stained with antibody</w:t>
      </w:r>
      <w:r w:rsidR="00533794" w:rsidRPr="008E0F7F">
        <w:rPr>
          <w:rStyle w:val="shorttext"/>
          <w:rFonts w:ascii="Times New Roman" w:hAnsi="Times New Roman"/>
          <w:sz w:val="20"/>
          <w:szCs w:val="20"/>
          <w:lang w:val="en"/>
        </w:rPr>
        <w:t xml:space="preserve"> against</w:t>
      </w:r>
      <w:r w:rsidR="00533794" w:rsidRPr="008E0F7F">
        <w:rPr>
          <w:rStyle w:val="tlid-translation"/>
          <w:rFonts w:ascii="Times New Roman" w:hAnsi="Times New Roman"/>
          <w:sz w:val="20"/>
          <w:szCs w:val="20"/>
        </w:rPr>
        <w:t xml:space="preserve"> CD3/CD8/CD45/CD4, CD3/CD16+CD56/CD45/CD19, </w:t>
      </w:r>
      <w:r w:rsidR="00533794" w:rsidRPr="008E0F7F">
        <w:rPr>
          <w:rStyle w:val="tlid-translation"/>
          <w:rFonts w:ascii="Times New Roman" w:hAnsi="Times New Roman"/>
          <w:sz w:val="20"/>
          <w:szCs w:val="20"/>
          <w:lang w:val="en-US"/>
        </w:rPr>
        <w:t>CD14-PE, CD45-PerCP</w:t>
      </w:r>
      <w:r w:rsidR="00533794" w:rsidRPr="008E0F7F">
        <w:rPr>
          <w:rStyle w:val="shorttext"/>
          <w:rFonts w:ascii="Times New Roman" w:hAnsi="Times New Roman"/>
          <w:sz w:val="20"/>
          <w:szCs w:val="20"/>
          <w:lang w:val="en"/>
        </w:rPr>
        <w:t xml:space="preserve"> (n=8</w:t>
      </w:r>
      <w:r w:rsidRPr="008E0F7F">
        <w:rPr>
          <w:rStyle w:val="shorttext"/>
          <w:rFonts w:ascii="Times New Roman" w:hAnsi="Times New Roman"/>
          <w:sz w:val="20"/>
          <w:szCs w:val="20"/>
          <w:lang w:val="en"/>
        </w:rPr>
        <w:t>).</w:t>
      </w:r>
    </w:p>
    <w:sectPr w:rsidR="00F21B88" w:rsidRPr="008E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6C"/>
    <w:rsid w:val="00011AF3"/>
    <w:rsid w:val="000A3024"/>
    <w:rsid w:val="000D0F70"/>
    <w:rsid w:val="000D166D"/>
    <w:rsid w:val="001339A4"/>
    <w:rsid w:val="0014183A"/>
    <w:rsid w:val="001A0E46"/>
    <w:rsid w:val="001E22B7"/>
    <w:rsid w:val="00283753"/>
    <w:rsid w:val="00316249"/>
    <w:rsid w:val="003613CE"/>
    <w:rsid w:val="0043534A"/>
    <w:rsid w:val="004450A8"/>
    <w:rsid w:val="004619EA"/>
    <w:rsid w:val="00485225"/>
    <w:rsid w:val="00533794"/>
    <w:rsid w:val="005B0817"/>
    <w:rsid w:val="006266D8"/>
    <w:rsid w:val="00697A8C"/>
    <w:rsid w:val="006A643C"/>
    <w:rsid w:val="006A678E"/>
    <w:rsid w:val="00726150"/>
    <w:rsid w:val="007720B2"/>
    <w:rsid w:val="007F2406"/>
    <w:rsid w:val="008E0F7F"/>
    <w:rsid w:val="0099167B"/>
    <w:rsid w:val="009A67F8"/>
    <w:rsid w:val="009C3646"/>
    <w:rsid w:val="00A44F25"/>
    <w:rsid w:val="00A4795F"/>
    <w:rsid w:val="00A5705B"/>
    <w:rsid w:val="00AA7DCD"/>
    <w:rsid w:val="00AB4A6C"/>
    <w:rsid w:val="00B51265"/>
    <w:rsid w:val="00BE3DC7"/>
    <w:rsid w:val="00BF0C24"/>
    <w:rsid w:val="00BF74B2"/>
    <w:rsid w:val="00C00664"/>
    <w:rsid w:val="00C06FA4"/>
    <w:rsid w:val="00CE3DE0"/>
    <w:rsid w:val="00D34722"/>
    <w:rsid w:val="00D62A19"/>
    <w:rsid w:val="00DB40F4"/>
    <w:rsid w:val="00DD12FB"/>
    <w:rsid w:val="00E04120"/>
    <w:rsid w:val="00E624F2"/>
    <w:rsid w:val="00E64DFA"/>
    <w:rsid w:val="00E671E1"/>
    <w:rsid w:val="00F14515"/>
    <w:rsid w:val="00F21B88"/>
    <w:rsid w:val="00F3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F70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0D0F70"/>
  </w:style>
  <w:style w:type="character" w:customStyle="1" w:styleId="author-sup-separator">
    <w:name w:val="author-sup-separator"/>
    <w:basedOn w:val="a0"/>
    <w:rsid w:val="000D0F70"/>
  </w:style>
  <w:style w:type="character" w:customStyle="1" w:styleId="comma">
    <w:name w:val="comma"/>
    <w:basedOn w:val="a0"/>
    <w:rsid w:val="000D0F70"/>
  </w:style>
  <w:style w:type="table" w:styleId="a3">
    <w:name w:val="Table Grid"/>
    <w:basedOn w:val="a1"/>
    <w:uiPriority w:val="59"/>
    <w:rsid w:val="001E2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AF3"/>
    <w:rPr>
      <w:rFonts w:ascii="Tahoma" w:eastAsia="Calibri" w:hAnsi="Tahoma" w:cs="Tahoma"/>
      <w:sz w:val="16"/>
      <w:szCs w:val="16"/>
      <w:lang w:val="en-GB"/>
    </w:rPr>
  </w:style>
  <w:style w:type="character" w:customStyle="1" w:styleId="shorttext">
    <w:name w:val="short_text"/>
    <w:rsid w:val="001339A4"/>
  </w:style>
  <w:style w:type="character" w:customStyle="1" w:styleId="alt-edited">
    <w:name w:val="alt-edited"/>
    <w:rsid w:val="001339A4"/>
  </w:style>
  <w:style w:type="paragraph" w:styleId="a6">
    <w:name w:val="List Paragraph"/>
    <w:basedOn w:val="a"/>
    <w:uiPriority w:val="34"/>
    <w:qFormat/>
    <w:rsid w:val="008E0F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F70"/>
    <w:rPr>
      <w:rFonts w:ascii="Calibri" w:eastAsia="Calibri" w:hAnsi="Calibri" w:cs="Times New Roman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0D0F70"/>
  </w:style>
  <w:style w:type="character" w:customStyle="1" w:styleId="author-sup-separator">
    <w:name w:val="author-sup-separator"/>
    <w:basedOn w:val="a0"/>
    <w:rsid w:val="000D0F70"/>
  </w:style>
  <w:style w:type="character" w:customStyle="1" w:styleId="comma">
    <w:name w:val="comma"/>
    <w:basedOn w:val="a0"/>
    <w:rsid w:val="000D0F70"/>
  </w:style>
  <w:style w:type="table" w:styleId="a3">
    <w:name w:val="Table Grid"/>
    <w:basedOn w:val="a1"/>
    <w:uiPriority w:val="59"/>
    <w:rsid w:val="001E22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1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1AF3"/>
    <w:rPr>
      <w:rFonts w:ascii="Tahoma" w:eastAsia="Calibri" w:hAnsi="Tahoma" w:cs="Tahoma"/>
      <w:sz w:val="16"/>
      <w:szCs w:val="16"/>
      <w:lang w:val="en-GB"/>
    </w:rPr>
  </w:style>
  <w:style w:type="character" w:customStyle="1" w:styleId="shorttext">
    <w:name w:val="short_text"/>
    <w:rsid w:val="001339A4"/>
  </w:style>
  <w:style w:type="character" w:customStyle="1" w:styleId="alt-edited">
    <w:name w:val="alt-edited"/>
    <w:rsid w:val="001339A4"/>
  </w:style>
  <w:style w:type="paragraph" w:styleId="a6">
    <w:name w:val="List Paragraph"/>
    <w:basedOn w:val="a"/>
    <w:uiPriority w:val="34"/>
    <w:qFormat/>
    <w:rsid w:val="008E0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Горностаева</dc:creator>
  <cp:keywords/>
  <dc:description/>
  <cp:lastModifiedBy>Александра</cp:lastModifiedBy>
  <cp:revision>51</cp:revision>
  <cp:lastPrinted>2020-12-25T10:03:00Z</cp:lastPrinted>
  <dcterms:created xsi:type="dcterms:W3CDTF">2020-12-18T12:54:00Z</dcterms:created>
  <dcterms:modified xsi:type="dcterms:W3CDTF">2020-12-28T16:43:00Z</dcterms:modified>
</cp:coreProperties>
</file>