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431C6" w14:textId="77777777" w:rsidR="00E92519" w:rsidRPr="002224F4" w:rsidRDefault="00E92519" w:rsidP="00E92519">
      <w:pPr>
        <w:pStyle w:val="Heading1"/>
        <w:numPr>
          <w:ilvl w:val="0"/>
          <w:numId w:val="0"/>
        </w:numPr>
        <w:spacing w:line="276" w:lineRule="auto"/>
        <w:ind w:left="360" w:hanging="360"/>
        <w:rPr>
          <w:lang w:val="en-GB"/>
        </w:rPr>
      </w:pPr>
      <w:r w:rsidRPr="54D41087">
        <w:rPr>
          <w:lang w:val="en-GB"/>
        </w:rPr>
        <w:t>Appendix</w:t>
      </w:r>
    </w:p>
    <w:p w14:paraId="375678C2" w14:textId="77777777" w:rsidR="00E92519" w:rsidRPr="002224F4" w:rsidRDefault="00E92519" w:rsidP="00E92519">
      <w:pPr>
        <w:spacing w:line="276" w:lineRule="auto"/>
        <w:rPr>
          <w:lang w:val="en-GB"/>
        </w:rPr>
      </w:pPr>
    </w:p>
    <w:p w14:paraId="0B637FD3" w14:textId="77777777" w:rsidR="00E92519" w:rsidRPr="002224F4" w:rsidRDefault="00E92519" w:rsidP="00E92519">
      <w:pPr>
        <w:spacing w:line="276" w:lineRule="auto"/>
        <w:ind w:firstLine="0"/>
        <w:rPr>
          <w:lang w:val="en-GB"/>
        </w:rPr>
      </w:pPr>
    </w:p>
    <w:p w14:paraId="032B70DC" w14:textId="77777777" w:rsidR="00E92519" w:rsidRPr="002224F4" w:rsidRDefault="00E92519" w:rsidP="00E92519">
      <w:pPr>
        <w:pStyle w:val="Caption"/>
        <w:spacing w:line="276" w:lineRule="auto"/>
        <w:ind w:firstLine="0"/>
        <w:rPr>
          <w:lang w:val="en-GB"/>
        </w:rPr>
      </w:pPr>
      <w:r w:rsidRPr="002224F4">
        <w:rPr>
          <w:b/>
          <w:lang w:val="en-GB"/>
        </w:rPr>
        <w:t>Table A.1.</w:t>
      </w:r>
      <w:r w:rsidRPr="002224F4">
        <w:rPr>
          <w:lang w:val="en-GB"/>
        </w:rPr>
        <w:t xml:space="preserve"> Error component model results.</w:t>
      </w:r>
    </w:p>
    <w:tbl>
      <w:tblPr>
        <w:tblW w:w="9095" w:type="dxa"/>
        <w:jc w:val="center"/>
        <w:tblLook w:val="04A0" w:firstRow="1" w:lastRow="0" w:firstColumn="1" w:lastColumn="0" w:noHBand="0" w:noVBand="1"/>
      </w:tblPr>
      <w:tblGrid>
        <w:gridCol w:w="5720"/>
        <w:gridCol w:w="1757"/>
        <w:gridCol w:w="1618"/>
      </w:tblGrid>
      <w:tr w:rsidR="00E92519" w:rsidRPr="002224F4" w14:paraId="0931B9E8" w14:textId="77777777" w:rsidTr="003416AB">
        <w:trPr>
          <w:trHeight w:val="274"/>
          <w:jc w:val="center"/>
        </w:trPr>
        <w:tc>
          <w:tcPr>
            <w:tcW w:w="5720" w:type="dxa"/>
            <w:tcBorders>
              <w:top w:val="single" w:sz="4" w:space="0" w:color="auto"/>
              <w:left w:val="nil"/>
              <w:bottom w:val="single" w:sz="4" w:space="0" w:color="auto"/>
              <w:right w:val="nil"/>
            </w:tcBorders>
            <w:shd w:val="clear" w:color="auto" w:fill="auto"/>
            <w:noWrap/>
            <w:vAlign w:val="bottom"/>
            <w:hideMark/>
          </w:tcPr>
          <w:p w14:paraId="34956C08" w14:textId="77777777" w:rsidR="00E92519" w:rsidRPr="002224F4" w:rsidRDefault="00E92519" w:rsidP="003416AB">
            <w:pPr>
              <w:spacing w:line="276" w:lineRule="auto"/>
              <w:ind w:firstLine="0"/>
              <w:rPr>
                <w:lang w:val="en-GB"/>
              </w:rPr>
            </w:pPr>
            <w:r w:rsidRPr="002224F4">
              <w:rPr>
                <w:lang w:val="en-GB"/>
              </w:rPr>
              <w:t>Variables</w:t>
            </w:r>
          </w:p>
        </w:tc>
        <w:tc>
          <w:tcPr>
            <w:tcW w:w="3375" w:type="dxa"/>
            <w:gridSpan w:val="2"/>
            <w:tcBorders>
              <w:top w:val="single" w:sz="4" w:space="0" w:color="auto"/>
              <w:left w:val="nil"/>
              <w:bottom w:val="single" w:sz="4" w:space="0" w:color="auto"/>
              <w:right w:val="nil"/>
            </w:tcBorders>
            <w:shd w:val="clear" w:color="auto" w:fill="auto"/>
            <w:noWrap/>
            <w:vAlign w:val="bottom"/>
            <w:hideMark/>
          </w:tcPr>
          <w:p w14:paraId="635E4D04" w14:textId="77777777" w:rsidR="00E92519" w:rsidRPr="002224F4" w:rsidRDefault="00E92519" w:rsidP="003416AB">
            <w:pPr>
              <w:spacing w:line="276" w:lineRule="auto"/>
              <w:ind w:firstLine="0"/>
              <w:rPr>
                <w:lang w:val="en-GB"/>
              </w:rPr>
            </w:pPr>
            <w:r w:rsidRPr="002224F4">
              <w:rPr>
                <w:lang w:val="en-GB"/>
              </w:rPr>
              <w:t>EC model</w:t>
            </w:r>
          </w:p>
          <w:p w14:paraId="33BD88B1" w14:textId="77777777" w:rsidR="00E92519" w:rsidRPr="002224F4" w:rsidRDefault="00E92519" w:rsidP="003416AB">
            <w:pPr>
              <w:spacing w:line="276" w:lineRule="auto"/>
              <w:ind w:firstLine="0"/>
              <w:rPr>
                <w:lang w:val="en-GB"/>
              </w:rPr>
            </w:pPr>
          </w:p>
        </w:tc>
      </w:tr>
      <w:tr w:rsidR="00E92519" w:rsidRPr="002224F4" w14:paraId="349F5821" w14:textId="77777777" w:rsidTr="003416AB">
        <w:trPr>
          <w:trHeight w:val="73"/>
          <w:jc w:val="center"/>
        </w:trPr>
        <w:tc>
          <w:tcPr>
            <w:tcW w:w="5720" w:type="dxa"/>
            <w:tcBorders>
              <w:top w:val="single" w:sz="4" w:space="0" w:color="auto"/>
              <w:left w:val="nil"/>
              <w:bottom w:val="single" w:sz="4" w:space="0" w:color="auto"/>
              <w:right w:val="nil"/>
            </w:tcBorders>
            <w:shd w:val="clear" w:color="auto" w:fill="auto"/>
            <w:noWrap/>
            <w:vAlign w:val="bottom"/>
            <w:hideMark/>
          </w:tcPr>
          <w:p w14:paraId="53B5B752" w14:textId="77777777" w:rsidR="00E92519" w:rsidRPr="002224F4" w:rsidRDefault="00E92519" w:rsidP="003416AB">
            <w:pPr>
              <w:spacing w:line="276" w:lineRule="auto"/>
              <w:ind w:firstLine="0"/>
              <w:rPr>
                <w:lang w:val="en-GB"/>
              </w:rPr>
            </w:pPr>
            <w:r w:rsidRPr="002224F4">
              <w:rPr>
                <w:lang w:val="en-GB"/>
              </w:rPr>
              <w:t> </w:t>
            </w:r>
          </w:p>
        </w:tc>
        <w:tc>
          <w:tcPr>
            <w:tcW w:w="1757" w:type="dxa"/>
            <w:tcBorders>
              <w:top w:val="single" w:sz="4" w:space="0" w:color="auto"/>
              <w:left w:val="nil"/>
              <w:bottom w:val="single" w:sz="4" w:space="0" w:color="auto"/>
              <w:right w:val="nil"/>
            </w:tcBorders>
            <w:shd w:val="clear" w:color="auto" w:fill="auto"/>
            <w:noWrap/>
            <w:vAlign w:val="bottom"/>
            <w:hideMark/>
          </w:tcPr>
          <w:p w14:paraId="7D46ADE9" w14:textId="77777777" w:rsidR="00E92519" w:rsidRPr="002224F4" w:rsidRDefault="00E92519" w:rsidP="003416AB">
            <w:pPr>
              <w:spacing w:line="276" w:lineRule="auto"/>
              <w:ind w:firstLine="0"/>
              <w:rPr>
                <w:lang w:val="en-GB"/>
              </w:rPr>
            </w:pPr>
            <w:r w:rsidRPr="002224F4">
              <w:rPr>
                <w:lang w:val="en-GB"/>
              </w:rPr>
              <w:t>Est.</w:t>
            </w:r>
          </w:p>
        </w:tc>
        <w:tc>
          <w:tcPr>
            <w:tcW w:w="1618" w:type="dxa"/>
            <w:tcBorders>
              <w:top w:val="single" w:sz="4" w:space="0" w:color="auto"/>
              <w:left w:val="nil"/>
              <w:bottom w:val="single" w:sz="4" w:space="0" w:color="auto"/>
              <w:right w:val="nil"/>
            </w:tcBorders>
            <w:shd w:val="clear" w:color="auto" w:fill="auto"/>
            <w:noWrap/>
            <w:vAlign w:val="bottom"/>
            <w:hideMark/>
          </w:tcPr>
          <w:p w14:paraId="1B8ABDC8" w14:textId="77777777" w:rsidR="00E92519" w:rsidRPr="002224F4" w:rsidRDefault="00E92519" w:rsidP="003416AB">
            <w:pPr>
              <w:spacing w:line="276" w:lineRule="auto"/>
              <w:ind w:firstLine="0"/>
              <w:rPr>
                <w:lang w:val="en-GB"/>
              </w:rPr>
            </w:pPr>
            <w:r w:rsidRPr="002224F4">
              <w:rPr>
                <w:lang w:val="en-GB"/>
              </w:rPr>
              <w:t>(SE)</w:t>
            </w:r>
          </w:p>
        </w:tc>
      </w:tr>
      <w:tr w:rsidR="00E92519" w:rsidRPr="002224F4" w14:paraId="200B2438" w14:textId="77777777" w:rsidTr="003416AB">
        <w:trPr>
          <w:trHeight w:val="73"/>
          <w:jc w:val="center"/>
        </w:trPr>
        <w:tc>
          <w:tcPr>
            <w:tcW w:w="5720" w:type="dxa"/>
            <w:tcBorders>
              <w:top w:val="nil"/>
              <w:left w:val="nil"/>
              <w:bottom w:val="nil"/>
              <w:right w:val="nil"/>
            </w:tcBorders>
            <w:shd w:val="clear" w:color="auto" w:fill="auto"/>
            <w:noWrap/>
            <w:vAlign w:val="bottom"/>
          </w:tcPr>
          <w:p w14:paraId="6004C5D9" w14:textId="77777777" w:rsidR="00E92519" w:rsidRPr="002224F4" w:rsidRDefault="00E92519" w:rsidP="003416AB">
            <w:pPr>
              <w:spacing w:line="276" w:lineRule="auto"/>
              <w:ind w:firstLine="0"/>
              <w:rPr>
                <w:b/>
                <w:bCs/>
                <w:lang w:val="en-GB"/>
              </w:rPr>
            </w:pPr>
            <w:r w:rsidRPr="002224F4">
              <w:rPr>
                <w:b/>
                <w:bCs/>
                <w:lang w:val="en-GB"/>
              </w:rPr>
              <w:t>Choice model</w:t>
            </w:r>
          </w:p>
        </w:tc>
        <w:tc>
          <w:tcPr>
            <w:tcW w:w="1757" w:type="dxa"/>
            <w:tcBorders>
              <w:top w:val="nil"/>
              <w:left w:val="nil"/>
              <w:bottom w:val="nil"/>
              <w:right w:val="nil"/>
            </w:tcBorders>
            <w:shd w:val="clear" w:color="auto" w:fill="auto"/>
            <w:noWrap/>
            <w:vAlign w:val="bottom"/>
          </w:tcPr>
          <w:p w14:paraId="32270A32" w14:textId="77777777" w:rsidR="00E92519" w:rsidRPr="002224F4" w:rsidRDefault="00E92519" w:rsidP="003416AB">
            <w:pPr>
              <w:spacing w:line="276" w:lineRule="auto"/>
              <w:ind w:firstLine="0"/>
              <w:rPr>
                <w:lang w:val="en-GB"/>
              </w:rPr>
            </w:pPr>
          </w:p>
        </w:tc>
        <w:tc>
          <w:tcPr>
            <w:tcW w:w="1618" w:type="dxa"/>
            <w:tcBorders>
              <w:top w:val="nil"/>
              <w:left w:val="nil"/>
              <w:bottom w:val="nil"/>
              <w:right w:val="nil"/>
            </w:tcBorders>
            <w:shd w:val="clear" w:color="auto" w:fill="auto"/>
            <w:noWrap/>
            <w:vAlign w:val="bottom"/>
          </w:tcPr>
          <w:p w14:paraId="1EBEFD61" w14:textId="77777777" w:rsidR="00E92519" w:rsidRPr="002224F4" w:rsidRDefault="00E92519" w:rsidP="003416AB">
            <w:pPr>
              <w:spacing w:line="276" w:lineRule="auto"/>
              <w:ind w:firstLine="0"/>
              <w:rPr>
                <w:lang w:val="en-GB"/>
              </w:rPr>
            </w:pPr>
          </w:p>
        </w:tc>
      </w:tr>
      <w:tr w:rsidR="00E92519" w:rsidRPr="002224F4" w14:paraId="7B69E6B8"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667931BD" w14:textId="77777777" w:rsidR="00E92519" w:rsidRPr="002224F4" w:rsidRDefault="00E92519" w:rsidP="003416AB">
            <w:pPr>
              <w:spacing w:line="276" w:lineRule="auto"/>
              <w:ind w:firstLine="0"/>
              <w:rPr>
                <w:color w:val="000000"/>
                <w:lang w:val="en-GB"/>
              </w:rPr>
            </w:pPr>
            <m:oMath>
              <m:r>
                <w:rPr>
                  <w:rFonts w:ascii="Cambria Math" w:hAnsi="Cambria Math"/>
                  <w:lang w:val="en-GB"/>
                </w:rPr>
                <m:t>AS</m:t>
              </m:r>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train</m:t>
                  </m:r>
                </m:sub>
              </m:sSub>
            </m:oMath>
            <w:r w:rsidRPr="002224F4">
              <w:rPr>
                <w:color w:val="000000"/>
                <w:lang w:val="en-GB"/>
              </w:rPr>
              <w:t xml:space="preserve"> (ref = plane)</w:t>
            </w:r>
          </w:p>
        </w:tc>
        <w:tc>
          <w:tcPr>
            <w:tcW w:w="1757" w:type="dxa"/>
            <w:tcBorders>
              <w:top w:val="nil"/>
              <w:left w:val="nil"/>
              <w:bottom w:val="nil"/>
              <w:right w:val="nil"/>
            </w:tcBorders>
            <w:shd w:val="clear" w:color="auto" w:fill="auto"/>
            <w:noWrap/>
            <w:vAlign w:val="bottom"/>
            <w:hideMark/>
          </w:tcPr>
          <w:p w14:paraId="5275FEBE" w14:textId="77777777" w:rsidR="00E92519" w:rsidRPr="002224F4" w:rsidRDefault="00E92519" w:rsidP="003416AB">
            <w:pPr>
              <w:spacing w:line="276" w:lineRule="auto"/>
              <w:ind w:firstLine="0"/>
              <w:rPr>
                <w:lang w:val="en-GB"/>
              </w:rPr>
            </w:pPr>
            <w:r w:rsidRPr="002224F4">
              <w:rPr>
                <w:lang w:val="en-GB"/>
              </w:rPr>
              <w:t>-0.696</w:t>
            </w:r>
          </w:p>
        </w:tc>
        <w:tc>
          <w:tcPr>
            <w:tcW w:w="1618" w:type="dxa"/>
            <w:tcBorders>
              <w:top w:val="nil"/>
              <w:left w:val="nil"/>
              <w:bottom w:val="nil"/>
              <w:right w:val="nil"/>
            </w:tcBorders>
            <w:shd w:val="clear" w:color="auto" w:fill="auto"/>
            <w:noWrap/>
            <w:vAlign w:val="bottom"/>
            <w:hideMark/>
          </w:tcPr>
          <w:p w14:paraId="13BAAC1F" w14:textId="77777777" w:rsidR="00E92519" w:rsidRPr="002224F4" w:rsidRDefault="00E92519" w:rsidP="003416AB">
            <w:pPr>
              <w:spacing w:line="276" w:lineRule="auto"/>
              <w:ind w:firstLine="0"/>
              <w:rPr>
                <w:lang w:val="en-GB"/>
              </w:rPr>
            </w:pPr>
            <w:r w:rsidRPr="002224F4">
              <w:rPr>
                <w:lang w:val="en-GB"/>
              </w:rPr>
              <w:t>(0.651)</w:t>
            </w:r>
          </w:p>
        </w:tc>
      </w:tr>
      <w:tr w:rsidR="00E92519" w:rsidRPr="002224F4" w14:paraId="37C9C457"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28C5094C" w14:textId="77777777" w:rsidR="00E92519" w:rsidRPr="002224F4" w:rsidRDefault="00E92519" w:rsidP="003416AB">
            <w:pPr>
              <w:spacing w:line="276" w:lineRule="auto"/>
              <w:ind w:firstLine="0"/>
              <w:rPr>
                <w:color w:val="000000"/>
                <w:lang w:val="en-GB"/>
              </w:rPr>
            </w:pPr>
            <m:oMathPara>
              <m:oMathParaPr>
                <m:jc m:val="left"/>
              </m:oMathParaPr>
              <m:oMath>
                <m:sSub>
                  <m:sSubPr>
                    <m:ctrlPr>
                      <w:rPr>
                        <w:rFonts w:ascii="Cambria Math" w:hAnsi="Cambria Math"/>
                        <w:i/>
                        <w:lang w:val="en-GB"/>
                      </w:rPr>
                    </m:ctrlPr>
                  </m:sSubPr>
                  <m:e>
                    <m:r>
                      <w:rPr>
                        <w:rFonts w:ascii="Cambria Math" w:hAnsi="Cambria Math"/>
                        <w:lang w:val="en-GB"/>
                      </w:rPr>
                      <m:t>ASC</m:t>
                    </m:r>
                  </m:e>
                  <m:sub>
                    <m:r>
                      <w:rPr>
                        <w:rFonts w:ascii="Cambria Math" w:hAnsi="Cambria Math"/>
                        <w:lang w:val="en-GB"/>
                      </w:rPr>
                      <m:t>Origin</m:t>
                    </m:r>
                  </m:sub>
                </m:sSub>
              </m:oMath>
            </m:oMathPara>
          </w:p>
        </w:tc>
        <w:tc>
          <w:tcPr>
            <w:tcW w:w="1757" w:type="dxa"/>
            <w:tcBorders>
              <w:top w:val="nil"/>
              <w:left w:val="nil"/>
              <w:bottom w:val="nil"/>
              <w:right w:val="nil"/>
            </w:tcBorders>
            <w:shd w:val="clear" w:color="auto" w:fill="auto"/>
            <w:noWrap/>
            <w:vAlign w:val="bottom"/>
            <w:hideMark/>
          </w:tcPr>
          <w:p w14:paraId="2A02642E" w14:textId="77777777" w:rsidR="00E92519" w:rsidRPr="002224F4" w:rsidRDefault="00E92519" w:rsidP="003416AB">
            <w:pPr>
              <w:spacing w:line="276" w:lineRule="auto"/>
              <w:ind w:firstLine="0"/>
              <w:rPr>
                <w:lang w:val="en-GB"/>
              </w:rPr>
            </w:pPr>
            <w:r w:rsidRPr="002224F4">
              <w:rPr>
                <w:lang w:val="en-GB"/>
              </w:rPr>
              <w:t>0.617**</w:t>
            </w:r>
          </w:p>
        </w:tc>
        <w:tc>
          <w:tcPr>
            <w:tcW w:w="1618" w:type="dxa"/>
            <w:tcBorders>
              <w:top w:val="nil"/>
              <w:left w:val="nil"/>
              <w:bottom w:val="nil"/>
              <w:right w:val="nil"/>
            </w:tcBorders>
            <w:shd w:val="clear" w:color="auto" w:fill="auto"/>
            <w:noWrap/>
            <w:vAlign w:val="bottom"/>
            <w:hideMark/>
          </w:tcPr>
          <w:p w14:paraId="38C9FBB3" w14:textId="77777777" w:rsidR="00E92519" w:rsidRPr="002224F4" w:rsidRDefault="00E92519" w:rsidP="003416AB">
            <w:pPr>
              <w:spacing w:line="276" w:lineRule="auto"/>
              <w:ind w:firstLine="0"/>
              <w:rPr>
                <w:lang w:val="en-GB"/>
              </w:rPr>
            </w:pPr>
            <w:r w:rsidRPr="002224F4">
              <w:rPr>
                <w:lang w:val="en-GB"/>
              </w:rPr>
              <w:t>(0.274)</w:t>
            </w:r>
          </w:p>
        </w:tc>
      </w:tr>
      <w:tr w:rsidR="00E92519" w:rsidRPr="002224F4" w14:paraId="7D0EF712" w14:textId="77777777" w:rsidTr="003416AB">
        <w:trPr>
          <w:trHeight w:val="83"/>
          <w:jc w:val="center"/>
        </w:trPr>
        <w:tc>
          <w:tcPr>
            <w:tcW w:w="5720" w:type="dxa"/>
            <w:tcBorders>
              <w:top w:val="nil"/>
              <w:left w:val="nil"/>
              <w:bottom w:val="nil"/>
              <w:right w:val="nil"/>
            </w:tcBorders>
            <w:shd w:val="clear" w:color="auto" w:fill="auto"/>
            <w:noWrap/>
            <w:vAlign w:val="center"/>
          </w:tcPr>
          <w:p w14:paraId="527E0DEE" w14:textId="77777777" w:rsidR="00E92519" w:rsidRPr="002224F4" w:rsidRDefault="00E92519" w:rsidP="003416AB">
            <w:pPr>
              <w:spacing w:line="276" w:lineRule="auto"/>
              <w:ind w:firstLine="0"/>
              <w:rPr>
                <w:lang w:val="en-GB"/>
              </w:rPr>
            </w:pPr>
            <m:oMathPara>
              <m:oMathParaPr>
                <m:jc m:val="left"/>
              </m:oMathParaPr>
              <m:oMath>
                <m:sSub>
                  <m:sSubPr>
                    <m:ctrlPr>
                      <w:rPr>
                        <w:rFonts w:ascii="Cambria Math" w:hAnsi="Cambria Math"/>
                        <w:i/>
                        <w:lang w:val="en-GB"/>
                      </w:rPr>
                    </m:ctrlPr>
                  </m:sSubPr>
                  <m:e>
                    <m:r>
                      <w:rPr>
                        <w:rFonts w:ascii="Cambria Math" w:hAnsi="Cambria Math"/>
                        <w:lang w:val="en-GB"/>
                      </w:rPr>
                      <m:t>ASC</m:t>
                    </m:r>
                  </m:e>
                  <m:sub>
                    <m:r>
                      <w:rPr>
                        <w:rFonts w:ascii="Cambria Math" w:hAnsi="Cambria Math"/>
                        <w:lang w:val="en-GB"/>
                      </w:rPr>
                      <m:t>Destination</m:t>
                    </m:r>
                  </m:sub>
                </m:sSub>
              </m:oMath>
            </m:oMathPara>
          </w:p>
        </w:tc>
        <w:tc>
          <w:tcPr>
            <w:tcW w:w="1757" w:type="dxa"/>
            <w:tcBorders>
              <w:top w:val="nil"/>
              <w:left w:val="nil"/>
              <w:bottom w:val="nil"/>
              <w:right w:val="nil"/>
            </w:tcBorders>
            <w:shd w:val="clear" w:color="auto" w:fill="auto"/>
            <w:noWrap/>
            <w:vAlign w:val="bottom"/>
          </w:tcPr>
          <w:p w14:paraId="48E93283" w14:textId="77777777" w:rsidR="00E92519" w:rsidRPr="002224F4" w:rsidRDefault="00E92519" w:rsidP="003416AB">
            <w:pPr>
              <w:spacing w:line="276" w:lineRule="auto"/>
              <w:ind w:firstLine="0"/>
              <w:rPr>
                <w:lang w:val="en-GB"/>
              </w:rPr>
            </w:pPr>
            <w:r w:rsidRPr="002224F4">
              <w:rPr>
                <w:lang w:val="en-GB"/>
              </w:rPr>
              <w:t>0.617**</w:t>
            </w:r>
          </w:p>
        </w:tc>
        <w:tc>
          <w:tcPr>
            <w:tcW w:w="1618" w:type="dxa"/>
            <w:tcBorders>
              <w:top w:val="nil"/>
              <w:left w:val="nil"/>
              <w:bottom w:val="nil"/>
              <w:right w:val="nil"/>
            </w:tcBorders>
            <w:shd w:val="clear" w:color="auto" w:fill="auto"/>
            <w:noWrap/>
            <w:vAlign w:val="bottom"/>
          </w:tcPr>
          <w:p w14:paraId="35439745" w14:textId="77777777" w:rsidR="00E92519" w:rsidRPr="002224F4" w:rsidRDefault="00E92519" w:rsidP="003416AB">
            <w:pPr>
              <w:spacing w:line="276" w:lineRule="auto"/>
              <w:ind w:firstLine="0"/>
              <w:rPr>
                <w:lang w:val="en-GB"/>
              </w:rPr>
            </w:pPr>
            <w:r w:rsidRPr="002224F4">
              <w:rPr>
                <w:lang w:val="en-GB"/>
              </w:rPr>
              <w:t>(0.274)</w:t>
            </w:r>
          </w:p>
        </w:tc>
      </w:tr>
      <w:tr w:rsidR="00E92519" w:rsidRPr="002224F4" w14:paraId="45BD7E86"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422978E8" w14:textId="77777777" w:rsidR="00E92519" w:rsidRPr="002224F4" w:rsidRDefault="00E92519" w:rsidP="003416AB">
            <w:pPr>
              <w:spacing w:line="276" w:lineRule="auto"/>
              <w:ind w:firstLine="0"/>
              <w:rPr>
                <w:lang w:val="en-GB"/>
              </w:rPr>
            </w:pPr>
            <w:r w:rsidRPr="002224F4">
              <w:rPr>
                <w:lang w:val="en-GB"/>
              </w:rPr>
              <w:t>Comfort level</w:t>
            </w:r>
          </w:p>
        </w:tc>
        <w:tc>
          <w:tcPr>
            <w:tcW w:w="1757" w:type="dxa"/>
            <w:tcBorders>
              <w:top w:val="nil"/>
              <w:left w:val="nil"/>
              <w:bottom w:val="nil"/>
              <w:right w:val="nil"/>
            </w:tcBorders>
            <w:shd w:val="clear" w:color="auto" w:fill="auto"/>
            <w:noWrap/>
            <w:vAlign w:val="bottom"/>
            <w:hideMark/>
          </w:tcPr>
          <w:p w14:paraId="4C10306D" w14:textId="77777777" w:rsidR="00E92519" w:rsidRPr="002224F4" w:rsidRDefault="00E92519" w:rsidP="003416AB">
            <w:pPr>
              <w:spacing w:line="276" w:lineRule="auto"/>
              <w:ind w:firstLine="0"/>
              <w:rPr>
                <w:lang w:val="en-GB"/>
              </w:rPr>
            </w:pPr>
            <w:r w:rsidRPr="002224F4">
              <w:rPr>
                <w:lang w:val="en-GB"/>
              </w:rPr>
              <w:t>1.451***</w:t>
            </w:r>
          </w:p>
        </w:tc>
        <w:tc>
          <w:tcPr>
            <w:tcW w:w="1618" w:type="dxa"/>
            <w:tcBorders>
              <w:top w:val="nil"/>
              <w:left w:val="nil"/>
              <w:bottom w:val="nil"/>
              <w:right w:val="nil"/>
            </w:tcBorders>
            <w:shd w:val="clear" w:color="auto" w:fill="auto"/>
            <w:noWrap/>
            <w:vAlign w:val="bottom"/>
            <w:hideMark/>
          </w:tcPr>
          <w:p w14:paraId="241E9EC4" w14:textId="77777777" w:rsidR="00E92519" w:rsidRPr="002224F4" w:rsidRDefault="00E92519" w:rsidP="003416AB">
            <w:pPr>
              <w:spacing w:line="276" w:lineRule="auto"/>
              <w:ind w:firstLine="0"/>
              <w:rPr>
                <w:lang w:val="en-GB"/>
              </w:rPr>
            </w:pPr>
            <w:r w:rsidRPr="002224F4">
              <w:rPr>
                <w:lang w:val="en-GB"/>
              </w:rPr>
              <w:t>(0.147)</w:t>
            </w:r>
          </w:p>
        </w:tc>
      </w:tr>
      <w:tr w:rsidR="00E92519" w:rsidRPr="002224F4" w14:paraId="0D53758A"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11ABB2CC" w14:textId="77777777" w:rsidR="00E92519" w:rsidRPr="002224F4" w:rsidRDefault="00E92519" w:rsidP="003416AB">
            <w:pPr>
              <w:spacing w:line="276" w:lineRule="auto"/>
              <w:ind w:firstLine="0"/>
              <w:rPr>
                <w:lang w:val="en-GB"/>
              </w:rPr>
            </w:pPr>
            <w:r w:rsidRPr="002224F4">
              <w:rPr>
                <w:lang w:val="en-GB"/>
              </w:rPr>
              <w:t>One change (ref = direct train)</w:t>
            </w:r>
          </w:p>
        </w:tc>
        <w:tc>
          <w:tcPr>
            <w:tcW w:w="1757" w:type="dxa"/>
            <w:tcBorders>
              <w:top w:val="nil"/>
              <w:left w:val="nil"/>
              <w:bottom w:val="nil"/>
              <w:right w:val="nil"/>
            </w:tcBorders>
            <w:shd w:val="clear" w:color="auto" w:fill="auto"/>
            <w:noWrap/>
            <w:vAlign w:val="bottom"/>
            <w:hideMark/>
          </w:tcPr>
          <w:p w14:paraId="02F706F7" w14:textId="77777777" w:rsidR="00E92519" w:rsidRPr="002224F4" w:rsidRDefault="00E92519" w:rsidP="003416AB">
            <w:pPr>
              <w:spacing w:line="276" w:lineRule="auto"/>
              <w:ind w:firstLine="0"/>
              <w:rPr>
                <w:lang w:val="en-GB"/>
              </w:rPr>
            </w:pPr>
            <w:r w:rsidRPr="002224F4">
              <w:rPr>
                <w:lang w:val="en-GB"/>
              </w:rPr>
              <w:t>-1.699***</w:t>
            </w:r>
          </w:p>
        </w:tc>
        <w:tc>
          <w:tcPr>
            <w:tcW w:w="1618" w:type="dxa"/>
            <w:tcBorders>
              <w:top w:val="nil"/>
              <w:left w:val="nil"/>
              <w:bottom w:val="nil"/>
              <w:right w:val="nil"/>
            </w:tcBorders>
            <w:shd w:val="clear" w:color="auto" w:fill="auto"/>
            <w:noWrap/>
            <w:vAlign w:val="bottom"/>
            <w:hideMark/>
          </w:tcPr>
          <w:p w14:paraId="59D2F6D0" w14:textId="77777777" w:rsidR="00E92519" w:rsidRPr="002224F4" w:rsidRDefault="00E92519" w:rsidP="003416AB">
            <w:pPr>
              <w:spacing w:line="276" w:lineRule="auto"/>
              <w:ind w:firstLine="0"/>
              <w:rPr>
                <w:lang w:val="en-GB"/>
              </w:rPr>
            </w:pPr>
            <w:r w:rsidRPr="002224F4">
              <w:rPr>
                <w:lang w:val="en-GB"/>
              </w:rPr>
              <w:t>(0.233)</w:t>
            </w:r>
          </w:p>
        </w:tc>
      </w:tr>
      <w:tr w:rsidR="00E92519" w:rsidRPr="002224F4" w14:paraId="0F56AC56"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55D0EFCC" w14:textId="77777777" w:rsidR="00E92519" w:rsidRPr="002224F4" w:rsidRDefault="00E92519" w:rsidP="003416AB">
            <w:pPr>
              <w:spacing w:line="276" w:lineRule="auto"/>
              <w:ind w:firstLine="0"/>
              <w:rPr>
                <w:lang w:val="en-GB"/>
              </w:rPr>
            </w:pPr>
            <w:r w:rsidRPr="002224F4">
              <w:rPr>
                <w:lang w:val="en-GB"/>
              </w:rPr>
              <w:t>Two changes (ref = direct train)</w:t>
            </w:r>
          </w:p>
        </w:tc>
        <w:tc>
          <w:tcPr>
            <w:tcW w:w="1757" w:type="dxa"/>
            <w:tcBorders>
              <w:top w:val="nil"/>
              <w:left w:val="nil"/>
              <w:bottom w:val="nil"/>
              <w:right w:val="nil"/>
            </w:tcBorders>
            <w:shd w:val="clear" w:color="auto" w:fill="auto"/>
            <w:noWrap/>
            <w:vAlign w:val="bottom"/>
            <w:hideMark/>
          </w:tcPr>
          <w:p w14:paraId="4B8C3595" w14:textId="77777777" w:rsidR="00E92519" w:rsidRPr="002224F4" w:rsidRDefault="00E92519" w:rsidP="003416AB">
            <w:pPr>
              <w:spacing w:line="276" w:lineRule="auto"/>
              <w:ind w:firstLine="0"/>
              <w:rPr>
                <w:lang w:val="en-GB"/>
              </w:rPr>
            </w:pPr>
            <w:r w:rsidRPr="002224F4">
              <w:rPr>
                <w:lang w:val="en-GB"/>
              </w:rPr>
              <w:t>-2.459***</w:t>
            </w:r>
          </w:p>
        </w:tc>
        <w:tc>
          <w:tcPr>
            <w:tcW w:w="1618" w:type="dxa"/>
            <w:tcBorders>
              <w:top w:val="nil"/>
              <w:left w:val="nil"/>
              <w:bottom w:val="nil"/>
              <w:right w:val="nil"/>
            </w:tcBorders>
            <w:shd w:val="clear" w:color="auto" w:fill="auto"/>
            <w:noWrap/>
            <w:vAlign w:val="bottom"/>
            <w:hideMark/>
          </w:tcPr>
          <w:p w14:paraId="5CF0721D" w14:textId="77777777" w:rsidR="00E92519" w:rsidRPr="002224F4" w:rsidRDefault="00E92519" w:rsidP="003416AB">
            <w:pPr>
              <w:spacing w:line="276" w:lineRule="auto"/>
              <w:ind w:firstLine="0"/>
              <w:rPr>
                <w:lang w:val="en-GB"/>
              </w:rPr>
            </w:pPr>
            <w:r w:rsidRPr="002224F4">
              <w:rPr>
                <w:lang w:val="en-GB"/>
              </w:rPr>
              <w:t>(0.281)</w:t>
            </w:r>
          </w:p>
        </w:tc>
      </w:tr>
      <w:tr w:rsidR="00E92519" w:rsidRPr="002224F4" w14:paraId="3EC7CAAB"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0B1E2501" w14:textId="77777777" w:rsidR="00E92519" w:rsidRPr="002224F4" w:rsidRDefault="00E92519" w:rsidP="003416AB">
            <w:pPr>
              <w:spacing w:line="276" w:lineRule="auto"/>
              <w:ind w:firstLine="0"/>
              <w:rPr>
                <w:lang w:val="en-GB"/>
              </w:rPr>
            </w:pPr>
            <w:r w:rsidRPr="002224F4">
              <w:rPr>
                <w:lang w:val="en-GB"/>
              </w:rPr>
              <w:t>Travel time (night train)</w:t>
            </w:r>
          </w:p>
        </w:tc>
        <w:tc>
          <w:tcPr>
            <w:tcW w:w="1757" w:type="dxa"/>
            <w:tcBorders>
              <w:top w:val="nil"/>
              <w:left w:val="nil"/>
              <w:bottom w:val="nil"/>
              <w:right w:val="nil"/>
            </w:tcBorders>
            <w:shd w:val="clear" w:color="auto" w:fill="auto"/>
            <w:noWrap/>
            <w:vAlign w:val="bottom"/>
            <w:hideMark/>
          </w:tcPr>
          <w:p w14:paraId="1E7E4EF6" w14:textId="77777777" w:rsidR="00E92519" w:rsidRPr="002224F4" w:rsidRDefault="00E92519" w:rsidP="003416AB">
            <w:pPr>
              <w:spacing w:line="276" w:lineRule="auto"/>
              <w:ind w:firstLine="0"/>
              <w:rPr>
                <w:lang w:val="en-GB"/>
              </w:rPr>
            </w:pPr>
            <w:r w:rsidRPr="002224F4">
              <w:rPr>
                <w:lang w:val="en-GB"/>
              </w:rPr>
              <w:t>-0.262***</w:t>
            </w:r>
          </w:p>
        </w:tc>
        <w:tc>
          <w:tcPr>
            <w:tcW w:w="1618" w:type="dxa"/>
            <w:tcBorders>
              <w:top w:val="nil"/>
              <w:left w:val="nil"/>
              <w:bottom w:val="nil"/>
              <w:right w:val="nil"/>
            </w:tcBorders>
            <w:shd w:val="clear" w:color="auto" w:fill="auto"/>
            <w:noWrap/>
            <w:vAlign w:val="bottom"/>
            <w:hideMark/>
          </w:tcPr>
          <w:p w14:paraId="6EA804A9" w14:textId="77777777" w:rsidR="00E92519" w:rsidRPr="002224F4" w:rsidRDefault="00E92519" w:rsidP="003416AB">
            <w:pPr>
              <w:spacing w:line="276" w:lineRule="auto"/>
              <w:ind w:firstLine="0"/>
              <w:rPr>
                <w:lang w:val="en-GB"/>
              </w:rPr>
            </w:pPr>
            <w:r w:rsidRPr="002224F4">
              <w:rPr>
                <w:lang w:val="en-GB"/>
              </w:rPr>
              <w:t>(0.037)</w:t>
            </w:r>
          </w:p>
        </w:tc>
      </w:tr>
      <w:tr w:rsidR="00E92519" w:rsidRPr="002224F4" w14:paraId="6A1F4FBC" w14:textId="77777777" w:rsidTr="003416AB">
        <w:trPr>
          <w:trHeight w:val="83"/>
          <w:jc w:val="center"/>
        </w:trPr>
        <w:tc>
          <w:tcPr>
            <w:tcW w:w="5720" w:type="dxa"/>
            <w:tcBorders>
              <w:top w:val="nil"/>
              <w:left w:val="nil"/>
              <w:bottom w:val="nil"/>
              <w:right w:val="nil"/>
            </w:tcBorders>
            <w:shd w:val="clear" w:color="auto" w:fill="auto"/>
            <w:noWrap/>
            <w:vAlign w:val="center"/>
            <w:hideMark/>
          </w:tcPr>
          <w:p w14:paraId="11B6E4F4" w14:textId="77777777" w:rsidR="00E92519" w:rsidRPr="002224F4" w:rsidRDefault="00E92519" w:rsidP="003416AB">
            <w:pPr>
              <w:spacing w:line="276" w:lineRule="auto"/>
              <w:ind w:firstLine="0"/>
              <w:rPr>
                <w:lang w:val="en-GB"/>
              </w:rPr>
            </w:pPr>
            <w:r w:rsidRPr="002224F4">
              <w:rPr>
                <w:lang w:val="en-GB"/>
              </w:rPr>
              <w:t>Travel time (day train)</w:t>
            </w:r>
          </w:p>
        </w:tc>
        <w:tc>
          <w:tcPr>
            <w:tcW w:w="1757" w:type="dxa"/>
            <w:tcBorders>
              <w:top w:val="nil"/>
              <w:left w:val="nil"/>
              <w:bottom w:val="nil"/>
              <w:right w:val="nil"/>
            </w:tcBorders>
            <w:shd w:val="clear" w:color="auto" w:fill="auto"/>
            <w:noWrap/>
            <w:vAlign w:val="bottom"/>
            <w:hideMark/>
          </w:tcPr>
          <w:p w14:paraId="307A2E85" w14:textId="77777777" w:rsidR="00E92519" w:rsidRPr="002224F4" w:rsidRDefault="00E92519" w:rsidP="003416AB">
            <w:pPr>
              <w:spacing w:line="276" w:lineRule="auto"/>
              <w:ind w:firstLine="0"/>
              <w:rPr>
                <w:lang w:val="en-GB"/>
              </w:rPr>
            </w:pPr>
            <w:r w:rsidRPr="002224F4">
              <w:rPr>
                <w:lang w:val="en-GB"/>
              </w:rPr>
              <w:t>-0.229***</w:t>
            </w:r>
          </w:p>
        </w:tc>
        <w:tc>
          <w:tcPr>
            <w:tcW w:w="1618" w:type="dxa"/>
            <w:tcBorders>
              <w:top w:val="nil"/>
              <w:left w:val="nil"/>
              <w:bottom w:val="nil"/>
              <w:right w:val="nil"/>
            </w:tcBorders>
            <w:shd w:val="clear" w:color="auto" w:fill="auto"/>
            <w:noWrap/>
            <w:vAlign w:val="bottom"/>
            <w:hideMark/>
          </w:tcPr>
          <w:p w14:paraId="5A5781E7" w14:textId="77777777" w:rsidR="00E92519" w:rsidRPr="002224F4" w:rsidRDefault="00E92519" w:rsidP="003416AB">
            <w:pPr>
              <w:spacing w:line="276" w:lineRule="auto"/>
              <w:ind w:firstLine="0"/>
              <w:rPr>
                <w:lang w:val="en-GB"/>
              </w:rPr>
            </w:pPr>
            <w:r w:rsidRPr="002224F4">
              <w:rPr>
                <w:lang w:val="en-GB"/>
              </w:rPr>
              <w:t>(0.040)</w:t>
            </w:r>
          </w:p>
        </w:tc>
      </w:tr>
      <w:tr w:rsidR="00E92519" w:rsidRPr="002224F4" w14:paraId="4C2A316F" w14:textId="77777777" w:rsidTr="003416AB">
        <w:trPr>
          <w:trHeight w:val="83"/>
          <w:jc w:val="center"/>
        </w:trPr>
        <w:tc>
          <w:tcPr>
            <w:tcW w:w="5720" w:type="dxa"/>
            <w:tcBorders>
              <w:top w:val="nil"/>
              <w:left w:val="nil"/>
              <w:right w:val="nil"/>
            </w:tcBorders>
            <w:shd w:val="clear" w:color="auto" w:fill="auto"/>
            <w:noWrap/>
            <w:vAlign w:val="center"/>
            <w:hideMark/>
          </w:tcPr>
          <w:p w14:paraId="4E42D0D0" w14:textId="77777777" w:rsidR="00E92519" w:rsidRPr="002224F4" w:rsidRDefault="00E92519" w:rsidP="003416AB">
            <w:pPr>
              <w:spacing w:line="276" w:lineRule="auto"/>
              <w:ind w:firstLine="0"/>
              <w:rPr>
                <w:lang w:val="en-GB"/>
              </w:rPr>
            </w:pPr>
            <w:r w:rsidRPr="002224F4">
              <w:rPr>
                <w:lang w:val="en-GB"/>
              </w:rPr>
              <w:t>Travel time (plane)</w:t>
            </w:r>
          </w:p>
        </w:tc>
        <w:tc>
          <w:tcPr>
            <w:tcW w:w="1757" w:type="dxa"/>
            <w:tcBorders>
              <w:top w:val="nil"/>
              <w:left w:val="nil"/>
              <w:right w:val="nil"/>
            </w:tcBorders>
            <w:shd w:val="clear" w:color="auto" w:fill="auto"/>
            <w:noWrap/>
            <w:vAlign w:val="bottom"/>
            <w:hideMark/>
          </w:tcPr>
          <w:p w14:paraId="74519C84" w14:textId="77777777" w:rsidR="00E92519" w:rsidRPr="002224F4" w:rsidRDefault="00E92519" w:rsidP="003416AB">
            <w:pPr>
              <w:spacing w:line="276" w:lineRule="auto"/>
              <w:ind w:firstLine="0"/>
              <w:rPr>
                <w:lang w:val="en-GB"/>
              </w:rPr>
            </w:pPr>
            <w:r w:rsidRPr="002224F4">
              <w:rPr>
                <w:lang w:val="en-GB"/>
              </w:rPr>
              <w:t>-0.299**</w:t>
            </w:r>
          </w:p>
        </w:tc>
        <w:tc>
          <w:tcPr>
            <w:tcW w:w="1618" w:type="dxa"/>
            <w:tcBorders>
              <w:top w:val="nil"/>
              <w:left w:val="nil"/>
              <w:right w:val="nil"/>
            </w:tcBorders>
            <w:shd w:val="clear" w:color="auto" w:fill="auto"/>
            <w:noWrap/>
            <w:vAlign w:val="bottom"/>
            <w:hideMark/>
          </w:tcPr>
          <w:p w14:paraId="79EE75CD" w14:textId="77777777" w:rsidR="00E92519" w:rsidRPr="002224F4" w:rsidRDefault="00E92519" w:rsidP="003416AB">
            <w:pPr>
              <w:spacing w:line="276" w:lineRule="auto"/>
              <w:ind w:firstLine="0"/>
              <w:rPr>
                <w:lang w:val="en-GB"/>
              </w:rPr>
            </w:pPr>
            <w:r w:rsidRPr="002224F4">
              <w:rPr>
                <w:lang w:val="en-GB"/>
              </w:rPr>
              <w:t>(0.117)</w:t>
            </w:r>
          </w:p>
        </w:tc>
      </w:tr>
      <w:tr w:rsidR="00E92519" w:rsidRPr="002224F4" w14:paraId="3A51C58D" w14:textId="77777777" w:rsidTr="003416AB">
        <w:trPr>
          <w:trHeight w:val="83"/>
          <w:jc w:val="center"/>
        </w:trPr>
        <w:tc>
          <w:tcPr>
            <w:tcW w:w="5720" w:type="dxa"/>
            <w:tcBorders>
              <w:top w:val="nil"/>
              <w:left w:val="nil"/>
              <w:bottom w:val="single" w:sz="4" w:space="0" w:color="auto"/>
              <w:right w:val="nil"/>
            </w:tcBorders>
            <w:shd w:val="clear" w:color="auto" w:fill="auto"/>
            <w:noWrap/>
            <w:vAlign w:val="center"/>
            <w:hideMark/>
          </w:tcPr>
          <w:p w14:paraId="09B741D3" w14:textId="77777777" w:rsidR="00E92519" w:rsidRPr="002224F4" w:rsidRDefault="00E92519" w:rsidP="003416AB">
            <w:pPr>
              <w:spacing w:line="276" w:lineRule="auto"/>
              <w:ind w:firstLine="0"/>
              <w:rPr>
                <w:lang w:val="en-GB"/>
              </w:rPr>
            </w:pPr>
            <w:r w:rsidRPr="002224F4">
              <w:rPr>
                <w:lang w:val="en-GB"/>
              </w:rPr>
              <w:t>Travel cost</w:t>
            </w:r>
          </w:p>
        </w:tc>
        <w:tc>
          <w:tcPr>
            <w:tcW w:w="1757" w:type="dxa"/>
            <w:tcBorders>
              <w:top w:val="nil"/>
              <w:left w:val="nil"/>
              <w:bottom w:val="single" w:sz="4" w:space="0" w:color="auto"/>
              <w:right w:val="nil"/>
            </w:tcBorders>
            <w:shd w:val="clear" w:color="auto" w:fill="auto"/>
            <w:noWrap/>
            <w:vAlign w:val="bottom"/>
            <w:hideMark/>
          </w:tcPr>
          <w:p w14:paraId="5664EE9A" w14:textId="77777777" w:rsidR="00E92519" w:rsidRPr="002224F4" w:rsidRDefault="00E92519" w:rsidP="003416AB">
            <w:pPr>
              <w:spacing w:line="276" w:lineRule="auto"/>
              <w:ind w:firstLine="0"/>
              <w:rPr>
                <w:lang w:val="en-GB"/>
              </w:rPr>
            </w:pPr>
            <w:r w:rsidRPr="002224F4">
              <w:rPr>
                <w:lang w:val="en-GB"/>
              </w:rPr>
              <w:t>-0.002***</w:t>
            </w:r>
          </w:p>
        </w:tc>
        <w:tc>
          <w:tcPr>
            <w:tcW w:w="1618" w:type="dxa"/>
            <w:tcBorders>
              <w:top w:val="nil"/>
              <w:left w:val="nil"/>
              <w:bottom w:val="single" w:sz="4" w:space="0" w:color="auto"/>
              <w:right w:val="nil"/>
            </w:tcBorders>
            <w:shd w:val="clear" w:color="auto" w:fill="auto"/>
            <w:noWrap/>
            <w:vAlign w:val="bottom"/>
            <w:hideMark/>
          </w:tcPr>
          <w:p w14:paraId="79227790" w14:textId="77777777" w:rsidR="00E92519" w:rsidRPr="002224F4" w:rsidRDefault="00E92519" w:rsidP="003416AB">
            <w:pPr>
              <w:spacing w:line="276" w:lineRule="auto"/>
              <w:ind w:firstLine="0"/>
              <w:rPr>
                <w:lang w:val="en-GB"/>
              </w:rPr>
            </w:pPr>
            <w:r w:rsidRPr="002224F4">
              <w:rPr>
                <w:lang w:val="en-GB"/>
              </w:rPr>
              <w:t>(&lt;0.001)</w:t>
            </w:r>
          </w:p>
        </w:tc>
      </w:tr>
      <w:tr w:rsidR="00E92519" w:rsidRPr="002224F4" w14:paraId="4F2B5189" w14:textId="77777777" w:rsidTr="003416AB">
        <w:trPr>
          <w:trHeight w:val="73"/>
          <w:jc w:val="center"/>
        </w:trPr>
        <w:tc>
          <w:tcPr>
            <w:tcW w:w="5720" w:type="dxa"/>
            <w:tcBorders>
              <w:top w:val="single" w:sz="4" w:space="0" w:color="auto"/>
              <w:left w:val="nil"/>
              <w:bottom w:val="nil"/>
              <w:right w:val="nil"/>
            </w:tcBorders>
            <w:shd w:val="clear" w:color="auto" w:fill="auto"/>
            <w:noWrap/>
            <w:vAlign w:val="bottom"/>
            <w:hideMark/>
          </w:tcPr>
          <w:p w14:paraId="6E147DF9" w14:textId="77777777" w:rsidR="00E92519" w:rsidRPr="002224F4" w:rsidRDefault="00E92519" w:rsidP="003416AB">
            <w:pPr>
              <w:spacing w:line="276" w:lineRule="auto"/>
              <w:ind w:firstLine="0"/>
              <w:rPr>
                <w:b/>
                <w:bCs/>
                <w:lang w:val="en-GB"/>
              </w:rPr>
            </w:pPr>
            <w:r w:rsidRPr="002224F4">
              <w:rPr>
                <w:b/>
                <w:bCs/>
                <w:lang w:val="en-GB"/>
              </w:rPr>
              <w:t>Model fit</w:t>
            </w:r>
          </w:p>
        </w:tc>
        <w:tc>
          <w:tcPr>
            <w:tcW w:w="1757" w:type="dxa"/>
            <w:tcBorders>
              <w:top w:val="single" w:sz="4" w:space="0" w:color="auto"/>
              <w:left w:val="nil"/>
              <w:bottom w:val="nil"/>
              <w:right w:val="nil"/>
            </w:tcBorders>
            <w:shd w:val="clear" w:color="auto" w:fill="auto"/>
            <w:noWrap/>
            <w:vAlign w:val="bottom"/>
            <w:hideMark/>
          </w:tcPr>
          <w:p w14:paraId="2331ABCD" w14:textId="77777777" w:rsidR="00E92519" w:rsidRPr="002224F4" w:rsidRDefault="00E92519" w:rsidP="003416AB">
            <w:pPr>
              <w:spacing w:line="276" w:lineRule="auto"/>
              <w:ind w:firstLine="0"/>
              <w:rPr>
                <w:lang w:val="en-GB"/>
              </w:rPr>
            </w:pPr>
          </w:p>
        </w:tc>
        <w:tc>
          <w:tcPr>
            <w:tcW w:w="1618" w:type="dxa"/>
            <w:tcBorders>
              <w:top w:val="single" w:sz="4" w:space="0" w:color="auto"/>
              <w:left w:val="nil"/>
              <w:bottom w:val="nil"/>
              <w:right w:val="nil"/>
            </w:tcBorders>
            <w:shd w:val="clear" w:color="auto" w:fill="auto"/>
            <w:noWrap/>
            <w:vAlign w:val="bottom"/>
            <w:hideMark/>
          </w:tcPr>
          <w:p w14:paraId="43989224" w14:textId="77777777" w:rsidR="00E92519" w:rsidRPr="002224F4" w:rsidRDefault="00E92519" w:rsidP="003416AB">
            <w:pPr>
              <w:spacing w:line="276" w:lineRule="auto"/>
              <w:ind w:firstLine="0"/>
              <w:rPr>
                <w:lang w:val="en-GB"/>
              </w:rPr>
            </w:pPr>
          </w:p>
        </w:tc>
      </w:tr>
      <w:tr w:rsidR="00E92519" w:rsidRPr="002224F4" w14:paraId="42222310" w14:textId="77777777" w:rsidTr="003416AB">
        <w:trPr>
          <w:trHeight w:val="83"/>
          <w:jc w:val="center"/>
        </w:trPr>
        <w:tc>
          <w:tcPr>
            <w:tcW w:w="5720" w:type="dxa"/>
            <w:tcBorders>
              <w:top w:val="nil"/>
              <w:left w:val="nil"/>
              <w:bottom w:val="nil"/>
              <w:right w:val="nil"/>
            </w:tcBorders>
            <w:shd w:val="clear" w:color="auto" w:fill="auto"/>
            <w:noWrap/>
            <w:vAlign w:val="bottom"/>
            <w:hideMark/>
          </w:tcPr>
          <w:p w14:paraId="4BE3C22C" w14:textId="77777777" w:rsidR="00E92519" w:rsidRPr="002224F4" w:rsidRDefault="00E92519" w:rsidP="003416AB">
            <w:pPr>
              <w:spacing w:line="276" w:lineRule="auto"/>
              <w:ind w:firstLine="0"/>
              <w:rPr>
                <w:lang w:val="en-GB"/>
              </w:rPr>
            </w:pPr>
            <w:r w:rsidRPr="002224F4">
              <w:rPr>
                <w:lang w:val="en-GB"/>
              </w:rPr>
              <w:t>Number of individuals</w:t>
            </w:r>
          </w:p>
        </w:tc>
        <w:tc>
          <w:tcPr>
            <w:tcW w:w="1757" w:type="dxa"/>
            <w:tcBorders>
              <w:top w:val="nil"/>
              <w:left w:val="nil"/>
              <w:bottom w:val="nil"/>
              <w:right w:val="nil"/>
            </w:tcBorders>
            <w:shd w:val="clear" w:color="auto" w:fill="auto"/>
            <w:noWrap/>
            <w:vAlign w:val="bottom"/>
            <w:hideMark/>
          </w:tcPr>
          <w:p w14:paraId="7B9CDDCF" w14:textId="77777777" w:rsidR="00E92519" w:rsidRPr="002224F4" w:rsidRDefault="00E92519" w:rsidP="003416AB">
            <w:pPr>
              <w:spacing w:line="276" w:lineRule="auto"/>
              <w:ind w:firstLine="0"/>
              <w:rPr>
                <w:lang w:val="en-GB"/>
              </w:rPr>
            </w:pPr>
            <w:r w:rsidRPr="002224F4">
              <w:rPr>
                <w:lang w:val="en-GB"/>
              </w:rPr>
              <w:t>1,571</w:t>
            </w:r>
          </w:p>
        </w:tc>
        <w:tc>
          <w:tcPr>
            <w:tcW w:w="1618" w:type="dxa"/>
            <w:tcBorders>
              <w:top w:val="nil"/>
              <w:left w:val="nil"/>
              <w:bottom w:val="nil"/>
              <w:right w:val="nil"/>
            </w:tcBorders>
            <w:shd w:val="clear" w:color="auto" w:fill="auto"/>
            <w:noWrap/>
            <w:vAlign w:val="bottom"/>
            <w:hideMark/>
          </w:tcPr>
          <w:p w14:paraId="4BF64782" w14:textId="77777777" w:rsidR="00E92519" w:rsidRPr="002224F4" w:rsidRDefault="00E92519" w:rsidP="003416AB">
            <w:pPr>
              <w:spacing w:line="276" w:lineRule="auto"/>
              <w:ind w:firstLine="0"/>
              <w:rPr>
                <w:lang w:val="en-GB"/>
              </w:rPr>
            </w:pPr>
          </w:p>
        </w:tc>
      </w:tr>
      <w:tr w:rsidR="00E92519" w:rsidRPr="002224F4" w14:paraId="04D8FA57" w14:textId="77777777" w:rsidTr="003416AB">
        <w:trPr>
          <w:trHeight w:val="83"/>
          <w:jc w:val="center"/>
        </w:trPr>
        <w:tc>
          <w:tcPr>
            <w:tcW w:w="5720" w:type="dxa"/>
            <w:tcBorders>
              <w:top w:val="nil"/>
              <w:left w:val="nil"/>
              <w:bottom w:val="nil"/>
              <w:right w:val="nil"/>
            </w:tcBorders>
            <w:shd w:val="clear" w:color="auto" w:fill="auto"/>
            <w:noWrap/>
            <w:vAlign w:val="bottom"/>
            <w:hideMark/>
          </w:tcPr>
          <w:p w14:paraId="32A7F8AD" w14:textId="77777777" w:rsidR="00E92519" w:rsidRPr="002224F4" w:rsidRDefault="00E92519" w:rsidP="003416AB">
            <w:pPr>
              <w:spacing w:line="276" w:lineRule="auto"/>
              <w:ind w:firstLine="0"/>
              <w:rPr>
                <w:lang w:val="en-GB"/>
              </w:rPr>
            </w:pPr>
            <w:r w:rsidRPr="002224F4">
              <w:rPr>
                <w:lang w:val="en-GB"/>
              </w:rPr>
              <w:t>Number of observations</w:t>
            </w:r>
          </w:p>
        </w:tc>
        <w:tc>
          <w:tcPr>
            <w:tcW w:w="1757" w:type="dxa"/>
            <w:tcBorders>
              <w:top w:val="nil"/>
              <w:left w:val="nil"/>
              <w:bottom w:val="nil"/>
              <w:right w:val="nil"/>
            </w:tcBorders>
            <w:shd w:val="clear" w:color="auto" w:fill="auto"/>
            <w:noWrap/>
            <w:vAlign w:val="bottom"/>
            <w:hideMark/>
          </w:tcPr>
          <w:p w14:paraId="70FBD2D8" w14:textId="77777777" w:rsidR="00E92519" w:rsidRPr="002224F4" w:rsidRDefault="00E92519" w:rsidP="003416AB">
            <w:pPr>
              <w:spacing w:line="276" w:lineRule="auto"/>
              <w:ind w:firstLine="0"/>
              <w:rPr>
                <w:lang w:val="en-GB"/>
              </w:rPr>
            </w:pPr>
            <w:r w:rsidRPr="002224F4">
              <w:rPr>
                <w:lang w:val="en-GB"/>
              </w:rPr>
              <w:t>11,440</w:t>
            </w:r>
          </w:p>
        </w:tc>
        <w:tc>
          <w:tcPr>
            <w:tcW w:w="1618" w:type="dxa"/>
            <w:tcBorders>
              <w:top w:val="nil"/>
              <w:left w:val="nil"/>
              <w:bottom w:val="nil"/>
              <w:right w:val="nil"/>
            </w:tcBorders>
            <w:shd w:val="clear" w:color="auto" w:fill="auto"/>
            <w:noWrap/>
            <w:vAlign w:val="bottom"/>
            <w:hideMark/>
          </w:tcPr>
          <w:p w14:paraId="07D4AC0C" w14:textId="77777777" w:rsidR="00E92519" w:rsidRPr="002224F4" w:rsidRDefault="00E92519" w:rsidP="003416AB">
            <w:pPr>
              <w:spacing w:line="276" w:lineRule="auto"/>
              <w:ind w:firstLine="0"/>
              <w:rPr>
                <w:lang w:val="en-GB"/>
              </w:rPr>
            </w:pPr>
          </w:p>
        </w:tc>
      </w:tr>
      <w:tr w:rsidR="00E92519" w:rsidRPr="002224F4" w14:paraId="53FC2F07" w14:textId="77777777" w:rsidTr="003416AB">
        <w:trPr>
          <w:trHeight w:val="83"/>
          <w:jc w:val="center"/>
        </w:trPr>
        <w:tc>
          <w:tcPr>
            <w:tcW w:w="5720" w:type="dxa"/>
            <w:tcBorders>
              <w:top w:val="nil"/>
              <w:left w:val="nil"/>
              <w:bottom w:val="nil"/>
              <w:right w:val="nil"/>
            </w:tcBorders>
            <w:shd w:val="clear" w:color="auto" w:fill="auto"/>
            <w:noWrap/>
            <w:vAlign w:val="bottom"/>
            <w:hideMark/>
          </w:tcPr>
          <w:p w14:paraId="13089501" w14:textId="77777777" w:rsidR="00E92519" w:rsidRPr="002224F4" w:rsidRDefault="00E92519" w:rsidP="003416AB">
            <w:pPr>
              <w:spacing w:line="276" w:lineRule="auto"/>
              <w:ind w:firstLine="0"/>
              <w:rPr>
                <w:lang w:val="en-GB"/>
              </w:rPr>
            </w:pPr>
            <w:r w:rsidRPr="002224F4">
              <w:rPr>
                <w:lang w:val="en-GB"/>
              </w:rPr>
              <w:t>Number of draws</w:t>
            </w:r>
          </w:p>
        </w:tc>
        <w:tc>
          <w:tcPr>
            <w:tcW w:w="1757" w:type="dxa"/>
            <w:tcBorders>
              <w:top w:val="nil"/>
              <w:left w:val="nil"/>
              <w:bottom w:val="nil"/>
              <w:right w:val="nil"/>
            </w:tcBorders>
            <w:shd w:val="clear" w:color="auto" w:fill="auto"/>
            <w:noWrap/>
            <w:vAlign w:val="bottom"/>
            <w:hideMark/>
          </w:tcPr>
          <w:p w14:paraId="4B490015" w14:textId="77777777" w:rsidR="00E92519" w:rsidRPr="002224F4" w:rsidRDefault="00E92519" w:rsidP="003416AB">
            <w:pPr>
              <w:spacing w:line="276" w:lineRule="auto"/>
              <w:ind w:firstLine="0"/>
              <w:rPr>
                <w:lang w:val="en-GB"/>
              </w:rPr>
            </w:pPr>
            <w:r w:rsidRPr="002224F4">
              <w:rPr>
                <w:lang w:val="en-GB"/>
              </w:rPr>
              <w:t>500</w:t>
            </w:r>
          </w:p>
        </w:tc>
        <w:tc>
          <w:tcPr>
            <w:tcW w:w="1618" w:type="dxa"/>
            <w:tcBorders>
              <w:top w:val="nil"/>
              <w:left w:val="nil"/>
              <w:bottom w:val="nil"/>
              <w:right w:val="nil"/>
            </w:tcBorders>
            <w:shd w:val="clear" w:color="auto" w:fill="auto"/>
            <w:noWrap/>
            <w:vAlign w:val="bottom"/>
            <w:hideMark/>
          </w:tcPr>
          <w:p w14:paraId="4A9512B9" w14:textId="77777777" w:rsidR="00E92519" w:rsidRPr="002224F4" w:rsidRDefault="00E92519" w:rsidP="003416AB">
            <w:pPr>
              <w:spacing w:line="276" w:lineRule="auto"/>
              <w:ind w:firstLine="0"/>
              <w:rPr>
                <w:lang w:val="en-GB"/>
              </w:rPr>
            </w:pPr>
          </w:p>
        </w:tc>
      </w:tr>
      <w:tr w:rsidR="00E92519" w:rsidRPr="002224F4" w14:paraId="1F21C20E" w14:textId="77777777" w:rsidTr="003416AB">
        <w:trPr>
          <w:trHeight w:val="83"/>
          <w:jc w:val="center"/>
        </w:trPr>
        <w:tc>
          <w:tcPr>
            <w:tcW w:w="5720" w:type="dxa"/>
            <w:tcBorders>
              <w:top w:val="nil"/>
              <w:left w:val="nil"/>
              <w:bottom w:val="nil"/>
              <w:right w:val="nil"/>
            </w:tcBorders>
            <w:shd w:val="clear" w:color="auto" w:fill="auto"/>
            <w:noWrap/>
            <w:vAlign w:val="bottom"/>
            <w:hideMark/>
          </w:tcPr>
          <w:p w14:paraId="0CA507FF" w14:textId="77777777" w:rsidR="00E92519" w:rsidRPr="002224F4" w:rsidRDefault="00E92519" w:rsidP="003416AB">
            <w:pPr>
              <w:spacing w:line="276" w:lineRule="auto"/>
              <w:ind w:firstLine="0"/>
              <w:rPr>
                <w:lang w:val="en-GB"/>
              </w:rPr>
            </w:pPr>
            <w:r w:rsidRPr="002224F4">
              <w:rPr>
                <w:lang w:val="en-GB"/>
              </w:rPr>
              <w:t>BIC</w:t>
            </w:r>
          </w:p>
        </w:tc>
        <w:tc>
          <w:tcPr>
            <w:tcW w:w="1757" w:type="dxa"/>
            <w:tcBorders>
              <w:top w:val="nil"/>
              <w:left w:val="nil"/>
              <w:bottom w:val="nil"/>
              <w:right w:val="nil"/>
            </w:tcBorders>
            <w:shd w:val="clear" w:color="auto" w:fill="auto"/>
            <w:noWrap/>
            <w:vAlign w:val="bottom"/>
            <w:hideMark/>
          </w:tcPr>
          <w:p w14:paraId="32307D0E" w14:textId="77777777" w:rsidR="00E92519" w:rsidRPr="002224F4" w:rsidRDefault="00E92519" w:rsidP="003416AB">
            <w:pPr>
              <w:spacing w:line="276" w:lineRule="auto"/>
              <w:ind w:firstLine="0"/>
              <w:rPr>
                <w:lang w:val="en-GB"/>
              </w:rPr>
            </w:pPr>
            <w:r w:rsidRPr="002224F4">
              <w:rPr>
                <w:lang w:val="en-GB"/>
              </w:rPr>
              <w:t>6,403.97</w:t>
            </w:r>
          </w:p>
        </w:tc>
        <w:tc>
          <w:tcPr>
            <w:tcW w:w="1618" w:type="dxa"/>
            <w:tcBorders>
              <w:top w:val="nil"/>
              <w:left w:val="nil"/>
              <w:bottom w:val="nil"/>
              <w:right w:val="nil"/>
            </w:tcBorders>
            <w:shd w:val="clear" w:color="auto" w:fill="auto"/>
            <w:noWrap/>
            <w:vAlign w:val="bottom"/>
            <w:hideMark/>
          </w:tcPr>
          <w:p w14:paraId="093A5D81" w14:textId="77777777" w:rsidR="00E92519" w:rsidRPr="002224F4" w:rsidRDefault="00E92519" w:rsidP="003416AB">
            <w:pPr>
              <w:spacing w:line="276" w:lineRule="auto"/>
              <w:ind w:firstLine="0"/>
              <w:rPr>
                <w:lang w:val="en-GB"/>
              </w:rPr>
            </w:pPr>
          </w:p>
        </w:tc>
      </w:tr>
      <w:tr w:rsidR="00E92519" w:rsidRPr="002224F4" w14:paraId="5C617852" w14:textId="77777777" w:rsidTr="003416AB">
        <w:trPr>
          <w:trHeight w:val="83"/>
          <w:jc w:val="center"/>
        </w:trPr>
        <w:tc>
          <w:tcPr>
            <w:tcW w:w="5720" w:type="dxa"/>
            <w:tcBorders>
              <w:top w:val="nil"/>
              <w:left w:val="nil"/>
              <w:bottom w:val="single" w:sz="4" w:space="0" w:color="auto"/>
              <w:right w:val="nil"/>
            </w:tcBorders>
            <w:shd w:val="clear" w:color="auto" w:fill="auto"/>
            <w:noWrap/>
            <w:vAlign w:val="bottom"/>
            <w:hideMark/>
          </w:tcPr>
          <w:p w14:paraId="6D1E62A8" w14:textId="77777777" w:rsidR="00E92519" w:rsidRPr="002224F4" w:rsidRDefault="00E92519" w:rsidP="003416AB">
            <w:pPr>
              <w:spacing w:line="276" w:lineRule="auto"/>
              <w:ind w:firstLine="0"/>
              <w:rPr>
                <w:color w:val="000000"/>
                <w:lang w:val="en-GB"/>
              </w:rPr>
            </w:pPr>
            <m:oMathPara>
              <m:oMathParaPr>
                <m:jc m:val="left"/>
              </m:oMathParaPr>
              <m:oMath>
                <m:sSup>
                  <m:sSupPr>
                    <m:ctrlPr>
                      <w:rPr>
                        <w:rFonts w:ascii="Cambria Math" w:hAnsi="Cambria Math"/>
                        <w:i/>
                        <w:lang w:val="en-GB"/>
                      </w:rPr>
                    </m:ctrlPr>
                  </m:sSupPr>
                  <m:e>
                    <m:r>
                      <w:rPr>
                        <w:rFonts w:ascii="Cambria Math" w:hAnsi="Cambria Math"/>
                        <w:lang w:val="en-GB"/>
                      </w:rPr>
                      <m:t>ρ</m:t>
                    </m:r>
                  </m:e>
                  <m:sup>
                    <m:r>
                      <w:rPr>
                        <w:rFonts w:ascii="Cambria Math" w:hAnsi="Cambria Math"/>
                        <w:lang w:val="en-GB"/>
                      </w:rPr>
                      <m:t>2</m:t>
                    </m:r>
                  </m:sup>
                </m:sSup>
              </m:oMath>
            </m:oMathPara>
          </w:p>
        </w:tc>
        <w:tc>
          <w:tcPr>
            <w:tcW w:w="1757" w:type="dxa"/>
            <w:tcBorders>
              <w:top w:val="nil"/>
              <w:left w:val="nil"/>
              <w:bottom w:val="single" w:sz="4" w:space="0" w:color="auto"/>
              <w:right w:val="nil"/>
            </w:tcBorders>
            <w:shd w:val="clear" w:color="auto" w:fill="auto"/>
            <w:noWrap/>
            <w:vAlign w:val="bottom"/>
            <w:hideMark/>
          </w:tcPr>
          <w:p w14:paraId="41BBC37D" w14:textId="77777777" w:rsidR="00E92519" w:rsidRPr="002224F4" w:rsidRDefault="00E92519" w:rsidP="003416AB">
            <w:pPr>
              <w:spacing w:line="276" w:lineRule="auto"/>
              <w:ind w:firstLine="0"/>
              <w:rPr>
                <w:lang w:val="en-GB"/>
              </w:rPr>
            </w:pPr>
            <w:r w:rsidRPr="002224F4">
              <w:rPr>
                <w:lang w:val="en-GB"/>
              </w:rPr>
              <w:t>0.604</w:t>
            </w:r>
          </w:p>
        </w:tc>
        <w:tc>
          <w:tcPr>
            <w:tcW w:w="1618" w:type="dxa"/>
            <w:tcBorders>
              <w:top w:val="nil"/>
              <w:left w:val="nil"/>
              <w:bottom w:val="single" w:sz="4" w:space="0" w:color="auto"/>
              <w:right w:val="nil"/>
            </w:tcBorders>
            <w:shd w:val="clear" w:color="auto" w:fill="auto"/>
            <w:noWrap/>
            <w:vAlign w:val="bottom"/>
            <w:hideMark/>
          </w:tcPr>
          <w:p w14:paraId="5B476102" w14:textId="77777777" w:rsidR="00E92519" w:rsidRPr="002224F4" w:rsidRDefault="00E92519" w:rsidP="003416AB">
            <w:pPr>
              <w:spacing w:line="276" w:lineRule="auto"/>
              <w:ind w:firstLine="0"/>
              <w:rPr>
                <w:lang w:val="en-GB"/>
              </w:rPr>
            </w:pPr>
            <w:r w:rsidRPr="002224F4">
              <w:rPr>
                <w:lang w:val="en-GB"/>
              </w:rPr>
              <w:t> </w:t>
            </w:r>
          </w:p>
        </w:tc>
      </w:tr>
    </w:tbl>
    <w:p w14:paraId="2251BF87" w14:textId="77777777" w:rsidR="00E92519" w:rsidRPr="002224F4" w:rsidRDefault="00E92519" w:rsidP="00E92519">
      <w:pPr>
        <w:spacing w:line="276" w:lineRule="auto"/>
        <w:ind w:firstLine="0"/>
        <w:rPr>
          <w:lang w:val="en-GB"/>
        </w:rPr>
      </w:pPr>
    </w:p>
    <w:p w14:paraId="352D5A70" w14:textId="77777777" w:rsidR="00E92519" w:rsidRPr="002224F4" w:rsidRDefault="00E92519" w:rsidP="00E92519">
      <w:pPr>
        <w:spacing w:line="276" w:lineRule="auto"/>
        <w:rPr>
          <w:lang w:val="en-GB"/>
        </w:rPr>
      </w:pPr>
    </w:p>
    <w:p w14:paraId="27F33D9A" w14:textId="77777777" w:rsidR="00E92519" w:rsidRPr="002224F4" w:rsidRDefault="00E92519" w:rsidP="00E92519">
      <w:pPr>
        <w:spacing w:line="276" w:lineRule="auto"/>
        <w:rPr>
          <w:b/>
          <w:bCs/>
          <w:lang w:val="en-GB"/>
        </w:rPr>
      </w:pPr>
      <w:r w:rsidRPr="002224F4">
        <w:rPr>
          <w:b/>
          <w:bCs/>
          <w:lang w:val="en-GB"/>
        </w:rPr>
        <w:t>A.1. Travel demand layer – mode characteristics</w:t>
      </w:r>
    </w:p>
    <w:p w14:paraId="398EF84A" w14:textId="77777777" w:rsidR="00E92519" w:rsidRPr="002224F4" w:rsidRDefault="00E92519" w:rsidP="00E92519">
      <w:pPr>
        <w:spacing w:line="276" w:lineRule="auto"/>
        <w:ind w:firstLine="0"/>
        <w:rPr>
          <w:lang w:val="en-GB"/>
        </w:rPr>
      </w:pPr>
      <w:r w:rsidRPr="002224F4">
        <w:rPr>
          <w:lang w:val="en-GB"/>
        </w:rPr>
        <w:t>The travel time values, number of transfers, ticket prices and comfort levels were estimated as follows. The travel time by train was estimated based on travel distances and average travel speed by type of train (night train, day train, and high-speed day train). Travel distances were measured using Google Maps</w:t>
      </w:r>
      <w:r>
        <w:rPr>
          <w:lang w:val="en-GB"/>
        </w:rPr>
        <w:t xml:space="preserve"> (www.google.com/maps)</w:t>
      </w:r>
      <w:r w:rsidRPr="002224F4">
        <w:rPr>
          <w:lang w:val="en-GB"/>
        </w:rPr>
        <w:t xml:space="preserve"> and the information about the reduction in travel distances after 2029 following the construction of the </w:t>
      </w:r>
      <w:r w:rsidRPr="002224F4">
        <w:rPr>
          <w:color w:val="000000" w:themeColor="text1"/>
          <w:lang w:val="en-GB"/>
        </w:rPr>
        <w:t xml:space="preserve">Fehmarn Belt Fixed Link (Fehmarn Belt tunnel) </w:t>
      </w:r>
      <w:r w:rsidRPr="002224F4">
        <w:rPr>
          <w:lang w:val="en-GB"/>
        </w:rPr>
        <w:t xml:space="preserve">was retrieved from the German Government </w:t>
      </w:r>
      <w:r w:rsidRPr="002224F4">
        <w:rPr>
          <w:lang w:val="en-GB"/>
        </w:rPr>
        <w:fldChar w:fldCharType="begin" w:fldLock="1"/>
      </w:r>
      <w:r>
        <w:rPr>
          <w:lang w:val="en-GB"/>
        </w:rPr>
        <w:instrText>ADDIN CSL_CITATION {"citationItems":[{"id":"ITEM-1","itemData":{"URL":"https://www.bmvi.de/EN/Topics/EU-Policy/EU-Transport-Policy/Fehmarnbelt/ fehmarnbelt-fixed-link.html","accessed":{"date-parts":[["2022","2","26"]]},"author":[{"dropping-particle":"","family":"Federal Ministry of Transport and Digital Infrastructure","given":"","non-dropping-particle":"","parse-names":false,"suffix":""}],"id":"ITEM-1","issued":{"date-parts":[["2021"]]},"title":"Fehmarnbelt Fixed Link","type":"webpage"},"uris":["http://www.mendeley.com/documents/?uuid=f3d4ea94-9094-4132-9982-ebd7262be888","http://www.mendeley.com/documents/?uuid=68818778-604d-4aaa-a77f-55ef73b8cb00"]}],"mendeley":{"formattedCitation":"(Federal Ministry of Transport and Digital Infrastructure, 2021)","plainTextFormattedCitation":"(Federal Ministry of Transport and Digital Infrastructure, 2021)","previouslyFormattedCitation":"(Federal Ministry of Transport and Digital Infrastructure, 2021)"},"properties":{"noteIndex":0},"schema":"https://github.com/citation-style-language/schema/raw/master/csl-citation.json"}</w:instrText>
      </w:r>
      <w:r w:rsidRPr="002224F4">
        <w:rPr>
          <w:lang w:val="en-GB"/>
        </w:rPr>
        <w:fldChar w:fldCharType="separate"/>
      </w:r>
      <w:r w:rsidRPr="002224F4">
        <w:rPr>
          <w:noProof/>
          <w:lang w:val="en-GB"/>
        </w:rPr>
        <w:t>(Federal Ministry of Transport and Digital Infrastructure, 2021)</w:t>
      </w:r>
      <w:r w:rsidRPr="002224F4">
        <w:rPr>
          <w:lang w:val="en-GB"/>
        </w:rPr>
        <w:fldChar w:fldCharType="end"/>
      </w:r>
      <w:r w:rsidRPr="002224F4">
        <w:rPr>
          <w:lang w:val="en-GB"/>
        </w:rPr>
        <w:t xml:space="preserve">. The average speed was calculated based on 16 current railway connections (Table A.2), resulting in an average speed of 75 km/h for night trains during the night and of 121 km/h during the day. The slower average speed during the night is due to night maintenance of railways and priority for freight transport </w:t>
      </w:r>
      <w:r w:rsidRPr="002224F4">
        <w:rPr>
          <w:lang w:val="en-GB"/>
        </w:rPr>
        <w:fldChar w:fldCharType="begin" w:fldLock="1"/>
      </w:r>
      <w:r>
        <w:rPr>
          <w:lang w:val="en-GB"/>
        </w:rPr>
        <w:instrText>ADDIN CSL_CITATION {"citationItems":[{"id":"ITEM-1","itemData":{"author":[{"dropping-particle":"","family":"Lena Donat","given":"Manfred Treber","non-dropping-particle":"","parse-names":false,"suffix":""},{"dropping-particle":"","family":"Janeczko","given":"Lukasz","non-dropping-particle":"","parse-names":false,"suffix":""},{"dropping-particle":"","family":"Majewski","given":"Akub","non-dropping-particle":"","parse-names":false,"suffix":""},{"dropping-particle":"","family":"Lespierre","given":"Thomas","non-dropping-particle":"","parse-names":false,"suffix":""},{"dropping-particle":"","family":"Fosse","given":"Jeremie","non-dropping-particle":"","parse-names":false,"suffix":""},{"dropping-particle":"","family":"Vidal","given":"Monica","non-dropping-particle":"","parse-names":false,"suffix":""},{"dropping-particle":"","family":"Gilliam","given":"Lucy","non-dropping-particle":"","parse-names":false,"suffix":""}],"id":"ITEM-1","issued":{"date-parts":[["2021"]]},"number-of-pages":"28","title":"Hop on the train: A Rail Renaissance for Europe How the 2021 European Year of Rail can support the European Green Deal and a sustainable recovery","type":"report"},"uris":["http://www.mendeley.com/documents/?uuid=37b3b587-a136-48cb-859c-9b90e194c445"]}],"mendeley":{"formattedCitation":"(Lena Donat et al., 2021)","plainTextFormattedCitation":"(Lena Donat et al., 2021)","previouslyFormattedCitation":"(Lena Donat et al., 2021)"},"properties":{"noteIndex":0},"schema":"https://github.com/citation-style-language/schema/raw/master/csl-citation.json"}</w:instrText>
      </w:r>
      <w:r w:rsidRPr="002224F4">
        <w:rPr>
          <w:lang w:val="en-GB"/>
        </w:rPr>
        <w:fldChar w:fldCharType="separate"/>
      </w:r>
      <w:r w:rsidRPr="002224F4">
        <w:rPr>
          <w:noProof/>
          <w:lang w:val="en-GB"/>
        </w:rPr>
        <w:t>(Lena Donat et al., 2021)</w:t>
      </w:r>
      <w:r w:rsidRPr="002224F4">
        <w:rPr>
          <w:lang w:val="en-GB"/>
        </w:rPr>
        <w:fldChar w:fldCharType="end"/>
      </w:r>
      <w:r w:rsidRPr="002224F4">
        <w:rPr>
          <w:lang w:val="en-GB"/>
        </w:rPr>
        <w:t>. Where available, high-speed trains with an empirical average speed of 178 km/h</w:t>
      </w:r>
      <w:r w:rsidRPr="002224F4" w:rsidDel="002200CD">
        <w:rPr>
          <w:lang w:val="en-GB"/>
        </w:rPr>
        <w:t xml:space="preserve"> </w:t>
      </w:r>
      <w:r w:rsidRPr="002224F4">
        <w:rPr>
          <w:lang w:val="en-GB"/>
        </w:rPr>
        <w:t xml:space="preserve">were considered. When transfers are involved, an average transfer time of 45 minutes was assumed. For the number of transfers, we considered direct connections, one, two or more transfers depending on origin-destination pairs. For prices, we considered a reference price level depending on distance ranges, and a relative change in the flight ticket price compared to night train journeys, depending on the scenarios. Origin-destination specific prices were based on prices of around 21,000 flights and 400 land connections </w:t>
      </w:r>
      <w:r w:rsidRPr="002224F4">
        <w:rPr>
          <w:lang w:val="en-GB"/>
        </w:rPr>
        <w:fldChar w:fldCharType="begin" w:fldLock="1"/>
      </w:r>
      <w:r>
        <w:rPr>
          <w:lang w:val="en-GB"/>
        </w:rPr>
        <w:instrText>ADDIN CSL_CITATION {"citationItems":[{"id":"ITEM-1","itemData":{"URL":"https://ec.europa.eu/info/funding-tenders/opportunities/docs/2021-2027/common/guidance/unit-cost-decision-travel_en.pdf","accessed":{"date-parts":[["2022","9","17"]]},"author":[{"dropping-particle":"","family":"European Commission","given":"","non-dropping-particle":"","parse-names":false,"suffix":""}],"id":"ITEM-1","issued":{"date-parts":[["2021"]]},"title":"Commission Decision of 12.1.2021 authorising the use of unit costs for travel, accommodation and subsistence costs under an action or work programme under the 2021-2027 multi-annual financial framework - C(2021)35","type":"webpage"},"uris":["http://www.mendeley.com/documents/?uuid=b2e89a57-5fc1-4b82-a1f6-1b203f446622","http://www.mendeley.com/documents/?uuid=c123b054-f0b9-4be3-a48a-a6f330bcc43b"]}],"mendeley":{"formattedCitation":"(European Commission, 2021d)","plainTextFormattedCitation":"(European Commission, 2021d)","previouslyFormattedCitation":"(European Commission, 2021d)"},"properties":{"noteIndex":0},"schema":"https://github.com/citation-style-language/schema/raw/master/csl-citation.json"}</w:instrText>
      </w:r>
      <w:r w:rsidRPr="002224F4">
        <w:rPr>
          <w:lang w:val="en-GB"/>
        </w:rPr>
        <w:fldChar w:fldCharType="separate"/>
      </w:r>
      <w:r w:rsidRPr="00467078">
        <w:rPr>
          <w:noProof/>
          <w:lang w:val="en-GB"/>
        </w:rPr>
        <w:t>(European Commission, 2021d)</w:t>
      </w:r>
      <w:r w:rsidRPr="002224F4">
        <w:rPr>
          <w:lang w:val="en-GB"/>
        </w:rPr>
        <w:fldChar w:fldCharType="end"/>
      </w:r>
      <w:r w:rsidRPr="002224F4">
        <w:rPr>
          <w:lang w:val="en-GB"/>
        </w:rPr>
        <w:t>.</w:t>
      </w:r>
    </w:p>
    <w:p w14:paraId="3CD80354" w14:textId="77777777" w:rsidR="00E92519" w:rsidRPr="002224F4" w:rsidRDefault="00E92519" w:rsidP="00E92519">
      <w:pPr>
        <w:spacing w:line="276" w:lineRule="auto"/>
        <w:rPr>
          <w:lang w:val="en-GB"/>
        </w:rPr>
      </w:pPr>
      <w:r w:rsidRPr="002224F4">
        <w:rPr>
          <w:lang w:val="en-GB"/>
        </w:rPr>
        <w:t xml:space="preserve">Relative changes in flight ticket prices were estimated through </w:t>
      </w:r>
      <w:proofErr w:type="spellStart"/>
      <w:r w:rsidRPr="002224F4">
        <w:rPr>
          <w:lang w:val="en-GB"/>
        </w:rPr>
        <w:t>Flygresor</w:t>
      </w:r>
      <w:proofErr w:type="spellEnd"/>
      <w:r>
        <w:rPr>
          <w:lang w:val="en-GB"/>
        </w:rPr>
        <w:t xml:space="preserve"> (www.flygresor.se)</w:t>
      </w:r>
      <w:r w:rsidRPr="002224F4">
        <w:rPr>
          <w:lang w:val="en-GB"/>
        </w:rPr>
        <w:t xml:space="preserve">. </w:t>
      </w:r>
      <w:r w:rsidRPr="002224F4">
        <w:rPr>
          <w:color w:val="000000" w:themeColor="text1"/>
          <w:lang w:val="en-GB"/>
        </w:rPr>
        <w:t xml:space="preserve">Flight prices were collected for direct flights including luggage and possibilities to reschedule. We identified connections where there is a relatively high number of Swedish air travel passengers, and where there are relatively good train options which include a night train (from Stockholm, Gothenburg or Malmö </w:t>
      </w:r>
      <w:r w:rsidRPr="002224F4">
        <w:rPr>
          <w:color w:val="000000" w:themeColor="text1"/>
          <w:lang w:val="en-GB"/>
        </w:rPr>
        <w:lastRenderedPageBreak/>
        <w:t xml:space="preserve">to Paris, London, Amsterdam, Vienna, and St. Anton – a popular Austrian ski resort). Prices were collected for trips 5 months in the future and for the month of July, which is the most common annual holidays month in Sweden. Both low-cost and standard airlines were included. Train prices were supplied by the booking agency, </w:t>
      </w:r>
      <w:proofErr w:type="spellStart"/>
      <w:r w:rsidRPr="002224F4">
        <w:rPr>
          <w:color w:val="000000" w:themeColor="text1"/>
          <w:lang w:val="en-GB"/>
        </w:rPr>
        <w:t>Resebutik</w:t>
      </w:r>
      <w:proofErr w:type="spellEnd"/>
      <w:r>
        <w:rPr>
          <w:color w:val="000000" w:themeColor="text1"/>
          <w:lang w:val="en-GB"/>
        </w:rPr>
        <w:t xml:space="preserve"> (www.resebutik.se)</w:t>
      </w:r>
      <w:r w:rsidRPr="002224F4">
        <w:rPr>
          <w:lang w:val="en-GB"/>
        </w:rPr>
        <w:t xml:space="preserve"> </w:t>
      </w:r>
      <w:r w:rsidRPr="002224F4">
        <w:rPr>
          <w:color w:val="000000" w:themeColor="text1"/>
          <w:lang w:val="en-GB"/>
        </w:rPr>
        <w:t>and include interrail pass (4 days of travel) and the cost for a bed in a 3- or 4-person compartment (i.e., mid-range option). The average costs for travel to/from airports and train stations were also included. An</w:t>
      </w:r>
      <w:r w:rsidRPr="002224F4" w:rsidDel="007C3BC5">
        <w:rPr>
          <w:color w:val="000000" w:themeColor="text1"/>
          <w:lang w:val="en-GB"/>
        </w:rPr>
        <w:t xml:space="preserve"> a</w:t>
      </w:r>
      <w:r w:rsidRPr="002224F4">
        <w:rPr>
          <w:color w:val="000000" w:themeColor="text1"/>
          <w:lang w:val="en-GB"/>
        </w:rPr>
        <w:t xml:space="preserve">nalysis of the collected data showed a 30% higher price for night trains compared to flights, which has been used in the baseline travel demand scenario. In the altered scenario, equal price levels for night trains and flights tickets were considered. As for comfort level, </w:t>
      </w:r>
      <w:r w:rsidRPr="002224F4">
        <w:rPr>
          <w:lang w:val="en-GB"/>
        </w:rPr>
        <w:t xml:space="preserve">we assumed that new, comfortable night trains will be available on the market by 2025. </w:t>
      </w:r>
    </w:p>
    <w:p w14:paraId="46047C31" w14:textId="77777777" w:rsidR="00E92519" w:rsidRPr="002224F4" w:rsidRDefault="00E92519" w:rsidP="00E92519">
      <w:pPr>
        <w:spacing w:line="276" w:lineRule="auto"/>
        <w:ind w:firstLine="0"/>
        <w:rPr>
          <w:lang w:val="en-GB"/>
        </w:rPr>
      </w:pPr>
    </w:p>
    <w:p w14:paraId="351D3300" w14:textId="77777777" w:rsidR="00E92519" w:rsidRPr="002224F4" w:rsidRDefault="00E92519" w:rsidP="00E92519">
      <w:pPr>
        <w:pStyle w:val="Caption"/>
        <w:spacing w:line="276" w:lineRule="auto"/>
        <w:ind w:firstLine="0"/>
        <w:rPr>
          <w:lang w:val="en-GB"/>
        </w:rPr>
      </w:pPr>
      <w:r w:rsidRPr="002224F4">
        <w:rPr>
          <w:b/>
          <w:lang w:val="en-GB"/>
        </w:rPr>
        <w:t>Table A.2.</w:t>
      </w:r>
      <w:r w:rsidRPr="002224F4">
        <w:rPr>
          <w:lang w:val="en-GB"/>
        </w:rPr>
        <w:t xml:space="preserve"> Train corridors</w:t>
      </w:r>
    </w:p>
    <w:tbl>
      <w:tblPr>
        <w:tblW w:w="9065" w:type="dxa"/>
        <w:tblCellMar>
          <w:left w:w="70" w:type="dxa"/>
          <w:right w:w="70" w:type="dxa"/>
        </w:tblCellMar>
        <w:tblLook w:val="04A0" w:firstRow="1" w:lastRow="0" w:firstColumn="1" w:lastColumn="0" w:noHBand="0" w:noVBand="1"/>
      </w:tblPr>
      <w:tblGrid>
        <w:gridCol w:w="709"/>
        <w:gridCol w:w="1985"/>
        <w:gridCol w:w="1236"/>
        <w:gridCol w:w="1174"/>
        <w:gridCol w:w="2553"/>
        <w:gridCol w:w="1408"/>
      </w:tblGrid>
      <w:tr w:rsidR="00E92519" w:rsidRPr="002224F4" w14:paraId="2EA9ECC8" w14:textId="77777777" w:rsidTr="003416AB">
        <w:trPr>
          <w:trHeight w:val="323"/>
        </w:trPr>
        <w:tc>
          <w:tcPr>
            <w:tcW w:w="709" w:type="dxa"/>
            <w:tcBorders>
              <w:top w:val="nil"/>
              <w:left w:val="nil"/>
              <w:bottom w:val="single" w:sz="4" w:space="0" w:color="auto"/>
              <w:right w:val="nil"/>
            </w:tcBorders>
            <w:shd w:val="clear" w:color="auto" w:fill="auto"/>
            <w:noWrap/>
            <w:vAlign w:val="bottom"/>
            <w:hideMark/>
          </w:tcPr>
          <w:p w14:paraId="3C3A609D" w14:textId="77777777" w:rsidR="00E92519" w:rsidRPr="002224F4" w:rsidRDefault="00E92519" w:rsidP="003416AB">
            <w:pPr>
              <w:spacing w:line="276" w:lineRule="auto"/>
              <w:ind w:right="-327" w:firstLine="0"/>
              <w:rPr>
                <w:b/>
                <w:color w:val="000000"/>
                <w:sz w:val="18"/>
                <w:szCs w:val="18"/>
                <w:lang w:val="en-GB" w:eastAsia="sv-SE"/>
              </w:rPr>
            </w:pPr>
            <w:r w:rsidRPr="002224F4">
              <w:rPr>
                <w:b/>
                <w:color w:val="000000"/>
                <w:sz w:val="18"/>
                <w:szCs w:val="18"/>
                <w:lang w:val="en-GB" w:eastAsia="sv-SE"/>
              </w:rPr>
              <w:t>Train</w:t>
            </w:r>
          </w:p>
        </w:tc>
        <w:tc>
          <w:tcPr>
            <w:tcW w:w="1985" w:type="dxa"/>
            <w:tcBorders>
              <w:top w:val="nil"/>
              <w:left w:val="nil"/>
              <w:bottom w:val="single" w:sz="4" w:space="0" w:color="auto"/>
              <w:right w:val="nil"/>
            </w:tcBorders>
            <w:shd w:val="clear" w:color="auto" w:fill="auto"/>
            <w:noWrap/>
            <w:vAlign w:val="bottom"/>
            <w:hideMark/>
          </w:tcPr>
          <w:p w14:paraId="26994A2B" w14:textId="77777777" w:rsidR="00E92519" w:rsidRPr="002224F4" w:rsidRDefault="00E92519" w:rsidP="003416AB">
            <w:pPr>
              <w:spacing w:line="276" w:lineRule="auto"/>
              <w:ind w:firstLine="0"/>
              <w:rPr>
                <w:b/>
                <w:color w:val="000000"/>
                <w:sz w:val="18"/>
                <w:szCs w:val="18"/>
                <w:lang w:val="en-GB" w:eastAsia="sv-SE"/>
              </w:rPr>
            </w:pPr>
            <w:r w:rsidRPr="002224F4">
              <w:rPr>
                <w:b/>
                <w:color w:val="000000"/>
                <w:sz w:val="18"/>
                <w:szCs w:val="18"/>
                <w:lang w:val="en-GB" w:eastAsia="sv-SE"/>
              </w:rPr>
              <w:t>Corridor</w:t>
            </w:r>
          </w:p>
        </w:tc>
        <w:tc>
          <w:tcPr>
            <w:tcW w:w="1236" w:type="dxa"/>
            <w:tcBorders>
              <w:top w:val="nil"/>
              <w:left w:val="nil"/>
              <w:bottom w:val="single" w:sz="4" w:space="0" w:color="auto"/>
              <w:right w:val="nil"/>
            </w:tcBorders>
            <w:shd w:val="clear" w:color="auto" w:fill="auto"/>
            <w:noWrap/>
            <w:vAlign w:val="bottom"/>
            <w:hideMark/>
          </w:tcPr>
          <w:p w14:paraId="61BF1302" w14:textId="77777777" w:rsidR="00E92519" w:rsidRPr="002224F4" w:rsidRDefault="00E92519" w:rsidP="003416AB">
            <w:pPr>
              <w:spacing w:line="276" w:lineRule="auto"/>
              <w:ind w:firstLine="0"/>
              <w:rPr>
                <w:b/>
                <w:color w:val="000000"/>
                <w:sz w:val="18"/>
                <w:szCs w:val="18"/>
                <w:lang w:val="en-GB" w:eastAsia="sv-SE"/>
              </w:rPr>
            </w:pPr>
            <w:r w:rsidRPr="002224F4">
              <w:rPr>
                <w:b/>
                <w:color w:val="000000"/>
                <w:sz w:val="18"/>
                <w:szCs w:val="18"/>
                <w:lang w:val="en-GB" w:eastAsia="sv-SE"/>
              </w:rPr>
              <w:t>Distance</w:t>
            </w:r>
          </w:p>
        </w:tc>
        <w:tc>
          <w:tcPr>
            <w:tcW w:w="1174" w:type="dxa"/>
            <w:tcBorders>
              <w:top w:val="nil"/>
              <w:left w:val="nil"/>
              <w:bottom w:val="single" w:sz="4" w:space="0" w:color="auto"/>
              <w:right w:val="nil"/>
            </w:tcBorders>
            <w:shd w:val="clear" w:color="auto" w:fill="auto"/>
            <w:noWrap/>
            <w:vAlign w:val="bottom"/>
            <w:hideMark/>
          </w:tcPr>
          <w:p w14:paraId="7A492730" w14:textId="77777777" w:rsidR="00E92519" w:rsidRPr="002224F4" w:rsidRDefault="00E92519" w:rsidP="003416AB">
            <w:pPr>
              <w:spacing w:line="276" w:lineRule="auto"/>
              <w:ind w:firstLine="0"/>
              <w:rPr>
                <w:b/>
                <w:color w:val="000000"/>
                <w:sz w:val="18"/>
                <w:szCs w:val="18"/>
                <w:lang w:val="en-GB" w:eastAsia="sv-SE"/>
              </w:rPr>
            </w:pPr>
            <w:r w:rsidRPr="002224F4">
              <w:rPr>
                <w:b/>
                <w:color w:val="000000"/>
                <w:sz w:val="18"/>
                <w:szCs w:val="18"/>
                <w:lang w:val="en-GB" w:eastAsia="sv-SE"/>
              </w:rPr>
              <w:t>Travel time</w:t>
            </w:r>
          </w:p>
        </w:tc>
        <w:tc>
          <w:tcPr>
            <w:tcW w:w="2553" w:type="dxa"/>
            <w:tcBorders>
              <w:top w:val="nil"/>
              <w:left w:val="nil"/>
              <w:bottom w:val="single" w:sz="4" w:space="0" w:color="auto"/>
              <w:right w:val="nil"/>
            </w:tcBorders>
            <w:shd w:val="clear" w:color="auto" w:fill="auto"/>
            <w:noWrap/>
            <w:vAlign w:val="bottom"/>
            <w:hideMark/>
          </w:tcPr>
          <w:p w14:paraId="6371591E" w14:textId="77777777" w:rsidR="00E92519" w:rsidRPr="002224F4" w:rsidRDefault="00E92519" w:rsidP="003416AB">
            <w:pPr>
              <w:spacing w:line="276" w:lineRule="auto"/>
              <w:ind w:firstLine="0"/>
              <w:rPr>
                <w:b/>
                <w:color w:val="000000"/>
                <w:sz w:val="18"/>
                <w:szCs w:val="18"/>
                <w:lang w:val="en-GB" w:eastAsia="sv-SE"/>
              </w:rPr>
            </w:pPr>
            <w:r w:rsidRPr="002224F4">
              <w:rPr>
                <w:b/>
                <w:color w:val="000000"/>
                <w:sz w:val="18"/>
                <w:szCs w:val="18"/>
                <w:lang w:val="en-GB" w:eastAsia="sv-SE"/>
              </w:rPr>
              <w:t>Average speed</w:t>
            </w:r>
          </w:p>
        </w:tc>
        <w:tc>
          <w:tcPr>
            <w:tcW w:w="1408" w:type="dxa"/>
            <w:tcBorders>
              <w:top w:val="nil"/>
              <w:left w:val="nil"/>
              <w:bottom w:val="single" w:sz="4" w:space="0" w:color="auto"/>
              <w:right w:val="nil"/>
            </w:tcBorders>
            <w:shd w:val="clear" w:color="auto" w:fill="auto"/>
            <w:noWrap/>
            <w:vAlign w:val="bottom"/>
            <w:hideMark/>
          </w:tcPr>
          <w:p w14:paraId="0E74B755" w14:textId="77777777" w:rsidR="00E92519" w:rsidRPr="002224F4" w:rsidRDefault="00E92519" w:rsidP="003416AB">
            <w:pPr>
              <w:spacing w:line="276" w:lineRule="auto"/>
              <w:ind w:firstLine="0"/>
              <w:rPr>
                <w:b/>
                <w:color w:val="000000"/>
                <w:sz w:val="18"/>
                <w:szCs w:val="18"/>
                <w:lang w:val="en-GB" w:eastAsia="sv-SE"/>
              </w:rPr>
            </w:pPr>
            <w:r w:rsidRPr="002224F4">
              <w:rPr>
                <w:b/>
                <w:color w:val="000000"/>
                <w:sz w:val="18"/>
                <w:szCs w:val="18"/>
                <w:lang w:val="en-GB" w:eastAsia="sv-SE"/>
              </w:rPr>
              <w:t>Company</w:t>
            </w:r>
          </w:p>
        </w:tc>
      </w:tr>
      <w:tr w:rsidR="00E92519" w:rsidRPr="002224F4" w14:paraId="61BE2080" w14:textId="77777777" w:rsidTr="003416AB">
        <w:trPr>
          <w:trHeight w:val="323"/>
        </w:trPr>
        <w:tc>
          <w:tcPr>
            <w:tcW w:w="709" w:type="dxa"/>
            <w:tcBorders>
              <w:top w:val="nil"/>
              <w:left w:val="nil"/>
              <w:bottom w:val="nil"/>
              <w:right w:val="nil"/>
            </w:tcBorders>
            <w:shd w:val="clear" w:color="auto" w:fill="auto"/>
            <w:noWrap/>
            <w:hideMark/>
          </w:tcPr>
          <w:p w14:paraId="47ED7146"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DT</w:t>
            </w:r>
          </w:p>
        </w:tc>
        <w:tc>
          <w:tcPr>
            <w:tcW w:w="1985" w:type="dxa"/>
            <w:tcBorders>
              <w:top w:val="nil"/>
              <w:left w:val="nil"/>
              <w:bottom w:val="nil"/>
              <w:right w:val="nil"/>
            </w:tcBorders>
            <w:shd w:val="clear" w:color="auto" w:fill="auto"/>
            <w:noWrap/>
            <w:hideMark/>
          </w:tcPr>
          <w:p w14:paraId="7B1F623E"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Paris-Munich</w:t>
            </w:r>
          </w:p>
        </w:tc>
        <w:tc>
          <w:tcPr>
            <w:tcW w:w="1236" w:type="dxa"/>
            <w:tcBorders>
              <w:top w:val="nil"/>
              <w:left w:val="nil"/>
              <w:bottom w:val="nil"/>
              <w:right w:val="nil"/>
            </w:tcBorders>
            <w:shd w:val="clear" w:color="auto" w:fill="auto"/>
            <w:noWrap/>
            <w:vAlign w:val="center"/>
            <w:hideMark/>
          </w:tcPr>
          <w:p w14:paraId="7E08E03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850 km</w:t>
            </w:r>
          </w:p>
        </w:tc>
        <w:tc>
          <w:tcPr>
            <w:tcW w:w="1174" w:type="dxa"/>
            <w:tcBorders>
              <w:top w:val="nil"/>
              <w:left w:val="nil"/>
              <w:bottom w:val="nil"/>
              <w:right w:val="nil"/>
            </w:tcBorders>
            <w:shd w:val="clear" w:color="auto" w:fill="auto"/>
            <w:noWrap/>
            <w:vAlign w:val="center"/>
            <w:hideMark/>
          </w:tcPr>
          <w:p w14:paraId="358F0D14"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5:50 h</w:t>
            </w:r>
          </w:p>
        </w:tc>
        <w:tc>
          <w:tcPr>
            <w:tcW w:w="2553" w:type="dxa"/>
            <w:tcBorders>
              <w:top w:val="nil"/>
              <w:left w:val="nil"/>
              <w:bottom w:val="nil"/>
              <w:right w:val="nil"/>
            </w:tcBorders>
            <w:shd w:val="clear" w:color="auto" w:fill="auto"/>
            <w:noWrap/>
            <w:vAlign w:val="center"/>
            <w:hideMark/>
          </w:tcPr>
          <w:p w14:paraId="4BF5836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146 km/h</w:t>
            </w:r>
          </w:p>
        </w:tc>
        <w:tc>
          <w:tcPr>
            <w:tcW w:w="1408" w:type="dxa"/>
            <w:tcBorders>
              <w:top w:val="nil"/>
              <w:left w:val="nil"/>
              <w:bottom w:val="nil"/>
              <w:right w:val="nil"/>
            </w:tcBorders>
            <w:shd w:val="clear" w:color="auto" w:fill="auto"/>
            <w:noWrap/>
            <w:hideMark/>
          </w:tcPr>
          <w:p w14:paraId="24BF80D5"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SNCF</w:t>
            </w:r>
          </w:p>
        </w:tc>
      </w:tr>
      <w:tr w:rsidR="00E92519" w:rsidRPr="002224F4" w14:paraId="7DE726AD" w14:textId="77777777" w:rsidTr="003416AB">
        <w:trPr>
          <w:trHeight w:val="323"/>
        </w:trPr>
        <w:tc>
          <w:tcPr>
            <w:tcW w:w="709" w:type="dxa"/>
            <w:tcBorders>
              <w:top w:val="nil"/>
              <w:left w:val="nil"/>
              <w:bottom w:val="nil"/>
              <w:right w:val="nil"/>
            </w:tcBorders>
            <w:shd w:val="clear" w:color="auto" w:fill="auto"/>
            <w:noWrap/>
            <w:hideMark/>
          </w:tcPr>
          <w:p w14:paraId="55F1C662"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DT</w:t>
            </w:r>
          </w:p>
        </w:tc>
        <w:tc>
          <w:tcPr>
            <w:tcW w:w="1985" w:type="dxa"/>
            <w:tcBorders>
              <w:top w:val="nil"/>
              <w:left w:val="nil"/>
              <w:bottom w:val="nil"/>
              <w:right w:val="nil"/>
            </w:tcBorders>
            <w:shd w:val="clear" w:color="auto" w:fill="auto"/>
            <w:noWrap/>
            <w:hideMark/>
          </w:tcPr>
          <w:p w14:paraId="37548F6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Amsterdam-Zurich</w:t>
            </w:r>
          </w:p>
        </w:tc>
        <w:tc>
          <w:tcPr>
            <w:tcW w:w="1236" w:type="dxa"/>
            <w:tcBorders>
              <w:top w:val="nil"/>
              <w:left w:val="nil"/>
              <w:bottom w:val="nil"/>
              <w:right w:val="nil"/>
            </w:tcBorders>
            <w:shd w:val="clear" w:color="auto" w:fill="auto"/>
            <w:noWrap/>
            <w:vAlign w:val="center"/>
            <w:hideMark/>
          </w:tcPr>
          <w:p w14:paraId="420ED257"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816 km </w:t>
            </w:r>
          </w:p>
        </w:tc>
        <w:tc>
          <w:tcPr>
            <w:tcW w:w="1174" w:type="dxa"/>
            <w:tcBorders>
              <w:top w:val="nil"/>
              <w:left w:val="nil"/>
              <w:bottom w:val="nil"/>
              <w:right w:val="nil"/>
            </w:tcBorders>
            <w:shd w:val="clear" w:color="auto" w:fill="auto"/>
            <w:noWrap/>
            <w:vAlign w:val="center"/>
            <w:hideMark/>
          </w:tcPr>
          <w:p w14:paraId="4DA81E9C"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7:46 h</w:t>
            </w:r>
          </w:p>
        </w:tc>
        <w:tc>
          <w:tcPr>
            <w:tcW w:w="2553" w:type="dxa"/>
            <w:tcBorders>
              <w:top w:val="nil"/>
              <w:left w:val="nil"/>
              <w:bottom w:val="nil"/>
              <w:right w:val="nil"/>
            </w:tcBorders>
            <w:shd w:val="clear" w:color="auto" w:fill="auto"/>
            <w:noWrap/>
            <w:vAlign w:val="center"/>
            <w:hideMark/>
          </w:tcPr>
          <w:p w14:paraId="45AB19B1"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105 km/h</w:t>
            </w:r>
          </w:p>
        </w:tc>
        <w:tc>
          <w:tcPr>
            <w:tcW w:w="1408" w:type="dxa"/>
            <w:tcBorders>
              <w:top w:val="nil"/>
              <w:left w:val="nil"/>
              <w:bottom w:val="nil"/>
              <w:right w:val="nil"/>
            </w:tcBorders>
            <w:shd w:val="clear" w:color="auto" w:fill="auto"/>
            <w:noWrap/>
            <w:hideMark/>
          </w:tcPr>
          <w:p w14:paraId="50057F08"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OBB </w:t>
            </w:r>
            <w:proofErr w:type="spellStart"/>
            <w:r w:rsidRPr="002224F4">
              <w:rPr>
                <w:color w:val="000000"/>
                <w:sz w:val="18"/>
                <w:szCs w:val="18"/>
                <w:lang w:val="en-GB" w:eastAsia="sv-SE"/>
              </w:rPr>
              <w:t>nightjet</w:t>
            </w:r>
            <w:proofErr w:type="spellEnd"/>
          </w:p>
        </w:tc>
      </w:tr>
      <w:tr w:rsidR="00E92519" w:rsidRPr="002224F4" w14:paraId="4A26501A" w14:textId="77777777" w:rsidTr="003416AB">
        <w:trPr>
          <w:trHeight w:val="323"/>
        </w:trPr>
        <w:tc>
          <w:tcPr>
            <w:tcW w:w="709" w:type="dxa"/>
            <w:tcBorders>
              <w:top w:val="nil"/>
              <w:left w:val="nil"/>
              <w:bottom w:val="nil"/>
              <w:right w:val="nil"/>
            </w:tcBorders>
            <w:shd w:val="clear" w:color="auto" w:fill="auto"/>
            <w:noWrap/>
            <w:hideMark/>
          </w:tcPr>
          <w:p w14:paraId="27C3B3B5"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DT</w:t>
            </w:r>
          </w:p>
        </w:tc>
        <w:tc>
          <w:tcPr>
            <w:tcW w:w="1985" w:type="dxa"/>
            <w:tcBorders>
              <w:top w:val="nil"/>
              <w:left w:val="nil"/>
              <w:bottom w:val="nil"/>
              <w:right w:val="nil"/>
            </w:tcBorders>
            <w:shd w:val="clear" w:color="auto" w:fill="auto"/>
            <w:noWrap/>
            <w:hideMark/>
          </w:tcPr>
          <w:p w14:paraId="19D20025"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Zurich-Hamburg</w:t>
            </w:r>
          </w:p>
        </w:tc>
        <w:tc>
          <w:tcPr>
            <w:tcW w:w="1236" w:type="dxa"/>
            <w:tcBorders>
              <w:top w:val="nil"/>
              <w:left w:val="nil"/>
              <w:bottom w:val="nil"/>
              <w:right w:val="nil"/>
            </w:tcBorders>
            <w:shd w:val="clear" w:color="auto" w:fill="auto"/>
            <w:noWrap/>
            <w:vAlign w:val="center"/>
            <w:hideMark/>
          </w:tcPr>
          <w:p w14:paraId="285C59A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845 km</w:t>
            </w:r>
          </w:p>
        </w:tc>
        <w:tc>
          <w:tcPr>
            <w:tcW w:w="1174" w:type="dxa"/>
            <w:tcBorders>
              <w:top w:val="nil"/>
              <w:left w:val="nil"/>
              <w:bottom w:val="nil"/>
              <w:right w:val="nil"/>
            </w:tcBorders>
            <w:shd w:val="clear" w:color="auto" w:fill="auto"/>
            <w:noWrap/>
            <w:vAlign w:val="center"/>
            <w:hideMark/>
          </w:tcPr>
          <w:p w14:paraId="79E8C0D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7:37 h</w:t>
            </w:r>
          </w:p>
        </w:tc>
        <w:tc>
          <w:tcPr>
            <w:tcW w:w="2553" w:type="dxa"/>
            <w:tcBorders>
              <w:top w:val="nil"/>
              <w:left w:val="nil"/>
              <w:bottom w:val="nil"/>
              <w:right w:val="nil"/>
            </w:tcBorders>
            <w:shd w:val="clear" w:color="auto" w:fill="auto"/>
            <w:noWrap/>
            <w:vAlign w:val="center"/>
            <w:hideMark/>
          </w:tcPr>
          <w:p w14:paraId="713C1D5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111 km/h</w:t>
            </w:r>
          </w:p>
        </w:tc>
        <w:tc>
          <w:tcPr>
            <w:tcW w:w="1408" w:type="dxa"/>
            <w:tcBorders>
              <w:top w:val="nil"/>
              <w:left w:val="nil"/>
              <w:bottom w:val="nil"/>
              <w:right w:val="nil"/>
            </w:tcBorders>
            <w:shd w:val="clear" w:color="auto" w:fill="auto"/>
            <w:noWrap/>
            <w:hideMark/>
          </w:tcPr>
          <w:p w14:paraId="2A3EE6B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SBB</w:t>
            </w:r>
          </w:p>
        </w:tc>
      </w:tr>
      <w:tr w:rsidR="00E92519" w:rsidRPr="002224F4" w14:paraId="35FE34FE" w14:textId="77777777" w:rsidTr="003416AB">
        <w:trPr>
          <w:trHeight w:val="323"/>
        </w:trPr>
        <w:tc>
          <w:tcPr>
            <w:tcW w:w="709" w:type="dxa"/>
            <w:tcBorders>
              <w:top w:val="nil"/>
              <w:left w:val="nil"/>
              <w:bottom w:val="nil"/>
              <w:right w:val="nil"/>
            </w:tcBorders>
            <w:shd w:val="clear" w:color="auto" w:fill="auto"/>
            <w:noWrap/>
          </w:tcPr>
          <w:p w14:paraId="3ADBC9D1"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DT</w:t>
            </w:r>
          </w:p>
        </w:tc>
        <w:tc>
          <w:tcPr>
            <w:tcW w:w="1985" w:type="dxa"/>
            <w:tcBorders>
              <w:top w:val="nil"/>
              <w:left w:val="nil"/>
              <w:bottom w:val="nil"/>
              <w:right w:val="nil"/>
            </w:tcBorders>
            <w:shd w:val="clear" w:color="auto" w:fill="auto"/>
            <w:noWrap/>
          </w:tcPr>
          <w:p w14:paraId="1CDA1EA2"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Zurich-Milan</w:t>
            </w:r>
          </w:p>
        </w:tc>
        <w:tc>
          <w:tcPr>
            <w:tcW w:w="1236" w:type="dxa"/>
            <w:tcBorders>
              <w:top w:val="nil"/>
              <w:left w:val="nil"/>
              <w:bottom w:val="nil"/>
              <w:right w:val="nil"/>
            </w:tcBorders>
            <w:shd w:val="clear" w:color="auto" w:fill="auto"/>
            <w:noWrap/>
            <w:vAlign w:val="center"/>
          </w:tcPr>
          <w:p w14:paraId="76D6002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280 km</w:t>
            </w:r>
          </w:p>
        </w:tc>
        <w:tc>
          <w:tcPr>
            <w:tcW w:w="1174" w:type="dxa"/>
            <w:tcBorders>
              <w:top w:val="nil"/>
              <w:left w:val="nil"/>
              <w:bottom w:val="nil"/>
              <w:right w:val="nil"/>
            </w:tcBorders>
            <w:shd w:val="clear" w:color="auto" w:fill="auto"/>
            <w:noWrap/>
            <w:vAlign w:val="center"/>
          </w:tcPr>
          <w:p w14:paraId="0AD1713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3:17 h</w:t>
            </w:r>
          </w:p>
        </w:tc>
        <w:tc>
          <w:tcPr>
            <w:tcW w:w="2553" w:type="dxa"/>
            <w:tcBorders>
              <w:top w:val="nil"/>
              <w:left w:val="nil"/>
              <w:bottom w:val="nil"/>
              <w:right w:val="nil"/>
            </w:tcBorders>
            <w:shd w:val="clear" w:color="auto" w:fill="auto"/>
            <w:noWrap/>
            <w:vAlign w:val="center"/>
          </w:tcPr>
          <w:p w14:paraId="1FF17E70"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85 km/h</w:t>
            </w:r>
          </w:p>
        </w:tc>
        <w:tc>
          <w:tcPr>
            <w:tcW w:w="1408" w:type="dxa"/>
            <w:tcBorders>
              <w:top w:val="nil"/>
              <w:left w:val="nil"/>
              <w:bottom w:val="nil"/>
              <w:right w:val="nil"/>
            </w:tcBorders>
            <w:shd w:val="clear" w:color="auto" w:fill="auto"/>
            <w:noWrap/>
          </w:tcPr>
          <w:p w14:paraId="0E8C434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SBB</w:t>
            </w:r>
          </w:p>
        </w:tc>
      </w:tr>
      <w:tr w:rsidR="00E92519" w:rsidRPr="002224F4" w14:paraId="76C01F2C" w14:textId="77777777" w:rsidTr="003416AB">
        <w:trPr>
          <w:trHeight w:val="323"/>
        </w:trPr>
        <w:tc>
          <w:tcPr>
            <w:tcW w:w="709" w:type="dxa"/>
            <w:tcBorders>
              <w:top w:val="nil"/>
              <w:left w:val="nil"/>
              <w:bottom w:val="nil"/>
              <w:right w:val="nil"/>
            </w:tcBorders>
            <w:shd w:val="clear" w:color="auto" w:fill="auto"/>
            <w:noWrap/>
            <w:hideMark/>
          </w:tcPr>
          <w:p w14:paraId="7443B635"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HS</w:t>
            </w:r>
          </w:p>
        </w:tc>
        <w:tc>
          <w:tcPr>
            <w:tcW w:w="1985" w:type="dxa"/>
            <w:tcBorders>
              <w:top w:val="nil"/>
              <w:left w:val="nil"/>
              <w:bottom w:val="nil"/>
              <w:right w:val="nil"/>
            </w:tcBorders>
            <w:shd w:val="clear" w:color="auto" w:fill="auto"/>
            <w:noWrap/>
            <w:hideMark/>
          </w:tcPr>
          <w:p w14:paraId="64B20976"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Paris-Lyon</w:t>
            </w:r>
          </w:p>
        </w:tc>
        <w:tc>
          <w:tcPr>
            <w:tcW w:w="1236" w:type="dxa"/>
            <w:tcBorders>
              <w:top w:val="nil"/>
              <w:left w:val="nil"/>
              <w:bottom w:val="nil"/>
              <w:right w:val="nil"/>
            </w:tcBorders>
            <w:shd w:val="clear" w:color="auto" w:fill="auto"/>
            <w:noWrap/>
            <w:vAlign w:val="center"/>
            <w:hideMark/>
          </w:tcPr>
          <w:p w14:paraId="1D21D79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466 km</w:t>
            </w:r>
          </w:p>
        </w:tc>
        <w:tc>
          <w:tcPr>
            <w:tcW w:w="1174" w:type="dxa"/>
            <w:tcBorders>
              <w:top w:val="nil"/>
              <w:left w:val="nil"/>
              <w:bottom w:val="nil"/>
              <w:right w:val="nil"/>
            </w:tcBorders>
            <w:shd w:val="clear" w:color="auto" w:fill="auto"/>
            <w:noWrap/>
            <w:vAlign w:val="center"/>
            <w:hideMark/>
          </w:tcPr>
          <w:p w14:paraId="3658D95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1:58 h</w:t>
            </w:r>
          </w:p>
        </w:tc>
        <w:tc>
          <w:tcPr>
            <w:tcW w:w="2553" w:type="dxa"/>
            <w:tcBorders>
              <w:top w:val="nil"/>
              <w:left w:val="nil"/>
              <w:bottom w:val="nil"/>
              <w:right w:val="nil"/>
            </w:tcBorders>
            <w:shd w:val="clear" w:color="auto" w:fill="auto"/>
            <w:noWrap/>
            <w:vAlign w:val="center"/>
            <w:hideMark/>
          </w:tcPr>
          <w:p w14:paraId="09974A8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237 km/h</w:t>
            </w:r>
          </w:p>
        </w:tc>
        <w:tc>
          <w:tcPr>
            <w:tcW w:w="1408" w:type="dxa"/>
            <w:tcBorders>
              <w:top w:val="nil"/>
              <w:left w:val="nil"/>
              <w:bottom w:val="nil"/>
              <w:right w:val="nil"/>
            </w:tcBorders>
            <w:shd w:val="clear" w:color="auto" w:fill="auto"/>
            <w:noWrap/>
            <w:hideMark/>
          </w:tcPr>
          <w:p w14:paraId="0C1402E7" w14:textId="77777777" w:rsidR="00E92519" w:rsidRPr="002224F4" w:rsidRDefault="00E92519" w:rsidP="003416AB">
            <w:pPr>
              <w:spacing w:line="276" w:lineRule="auto"/>
              <w:ind w:firstLine="0"/>
              <w:rPr>
                <w:color w:val="000000"/>
                <w:sz w:val="18"/>
                <w:szCs w:val="18"/>
                <w:lang w:val="en-GB" w:eastAsia="sv-SE"/>
              </w:rPr>
            </w:pPr>
            <w:proofErr w:type="spellStart"/>
            <w:r w:rsidRPr="002224F4">
              <w:rPr>
                <w:color w:val="000000"/>
                <w:sz w:val="18"/>
                <w:szCs w:val="18"/>
                <w:lang w:val="en-GB" w:eastAsia="sv-SE"/>
              </w:rPr>
              <w:t>Oui</w:t>
            </w:r>
            <w:proofErr w:type="spellEnd"/>
          </w:p>
        </w:tc>
      </w:tr>
      <w:tr w:rsidR="00E92519" w:rsidRPr="002224F4" w14:paraId="33AC2134" w14:textId="77777777" w:rsidTr="003416AB">
        <w:trPr>
          <w:trHeight w:val="323"/>
        </w:trPr>
        <w:tc>
          <w:tcPr>
            <w:tcW w:w="709" w:type="dxa"/>
            <w:tcBorders>
              <w:top w:val="nil"/>
              <w:left w:val="nil"/>
              <w:bottom w:val="nil"/>
              <w:right w:val="nil"/>
            </w:tcBorders>
            <w:shd w:val="clear" w:color="auto" w:fill="auto"/>
            <w:noWrap/>
            <w:hideMark/>
          </w:tcPr>
          <w:p w14:paraId="4378D13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HS</w:t>
            </w:r>
          </w:p>
        </w:tc>
        <w:tc>
          <w:tcPr>
            <w:tcW w:w="1985" w:type="dxa"/>
            <w:tcBorders>
              <w:top w:val="nil"/>
              <w:left w:val="nil"/>
              <w:bottom w:val="nil"/>
              <w:right w:val="nil"/>
            </w:tcBorders>
            <w:shd w:val="clear" w:color="auto" w:fill="auto"/>
            <w:noWrap/>
            <w:hideMark/>
          </w:tcPr>
          <w:p w14:paraId="0CFF4377"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Paris-Marseille</w:t>
            </w:r>
          </w:p>
        </w:tc>
        <w:tc>
          <w:tcPr>
            <w:tcW w:w="1236" w:type="dxa"/>
            <w:tcBorders>
              <w:top w:val="nil"/>
              <w:left w:val="nil"/>
              <w:bottom w:val="nil"/>
              <w:right w:val="nil"/>
            </w:tcBorders>
            <w:shd w:val="clear" w:color="auto" w:fill="auto"/>
            <w:noWrap/>
            <w:vAlign w:val="center"/>
            <w:hideMark/>
          </w:tcPr>
          <w:p w14:paraId="37CBD1D8"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775 km</w:t>
            </w:r>
          </w:p>
        </w:tc>
        <w:tc>
          <w:tcPr>
            <w:tcW w:w="1174" w:type="dxa"/>
            <w:tcBorders>
              <w:top w:val="nil"/>
              <w:left w:val="nil"/>
              <w:bottom w:val="nil"/>
              <w:right w:val="nil"/>
            </w:tcBorders>
            <w:shd w:val="clear" w:color="auto" w:fill="auto"/>
            <w:noWrap/>
            <w:vAlign w:val="center"/>
            <w:hideMark/>
          </w:tcPr>
          <w:p w14:paraId="213E2C5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3:21 h</w:t>
            </w:r>
          </w:p>
        </w:tc>
        <w:tc>
          <w:tcPr>
            <w:tcW w:w="2553" w:type="dxa"/>
            <w:tcBorders>
              <w:top w:val="nil"/>
              <w:left w:val="nil"/>
              <w:bottom w:val="nil"/>
              <w:right w:val="nil"/>
            </w:tcBorders>
            <w:shd w:val="clear" w:color="auto" w:fill="auto"/>
            <w:noWrap/>
            <w:vAlign w:val="center"/>
            <w:hideMark/>
          </w:tcPr>
          <w:p w14:paraId="69384D36"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231 km/h</w:t>
            </w:r>
          </w:p>
        </w:tc>
        <w:tc>
          <w:tcPr>
            <w:tcW w:w="1408" w:type="dxa"/>
            <w:tcBorders>
              <w:top w:val="nil"/>
              <w:left w:val="nil"/>
              <w:bottom w:val="nil"/>
              <w:right w:val="nil"/>
            </w:tcBorders>
            <w:shd w:val="clear" w:color="auto" w:fill="auto"/>
            <w:noWrap/>
            <w:hideMark/>
          </w:tcPr>
          <w:p w14:paraId="2FF70CA0" w14:textId="77777777" w:rsidR="00E92519" w:rsidRPr="002224F4" w:rsidRDefault="00E92519" w:rsidP="003416AB">
            <w:pPr>
              <w:spacing w:line="276" w:lineRule="auto"/>
              <w:ind w:firstLine="0"/>
              <w:rPr>
                <w:color w:val="000000"/>
                <w:sz w:val="18"/>
                <w:szCs w:val="18"/>
                <w:lang w:val="en-GB" w:eastAsia="sv-SE"/>
              </w:rPr>
            </w:pPr>
            <w:proofErr w:type="spellStart"/>
            <w:r w:rsidRPr="002224F4">
              <w:rPr>
                <w:color w:val="000000"/>
                <w:sz w:val="18"/>
                <w:szCs w:val="18"/>
                <w:lang w:val="en-GB" w:eastAsia="sv-SE"/>
              </w:rPr>
              <w:t>Oui</w:t>
            </w:r>
            <w:proofErr w:type="spellEnd"/>
          </w:p>
        </w:tc>
      </w:tr>
      <w:tr w:rsidR="00E92519" w:rsidRPr="002224F4" w14:paraId="5DDA1799" w14:textId="77777777" w:rsidTr="003416AB">
        <w:trPr>
          <w:trHeight w:val="323"/>
        </w:trPr>
        <w:tc>
          <w:tcPr>
            <w:tcW w:w="709" w:type="dxa"/>
            <w:tcBorders>
              <w:top w:val="nil"/>
              <w:left w:val="nil"/>
              <w:bottom w:val="nil"/>
              <w:right w:val="nil"/>
            </w:tcBorders>
            <w:shd w:val="clear" w:color="auto" w:fill="auto"/>
            <w:noWrap/>
            <w:hideMark/>
          </w:tcPr>
          <w:p w14:paraId="6D82A1E1"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HS</w:t>
            </w:r>
          </w:p>
        </w:tc>
        <w:tc>
          <w:tcPr>
            <w:tcW w:w="1985" w:type="dxa"/>
            <w:tcBorders>
              <w:top w:val="nil"/>
              <w:left w:val="nil"/>
              <w:bottom w:val="nil"/>
              <w:right w:val="nil"/>
            </w:tcBorders>
            <w:shd w:val="clear" w:color="auto" w:fill="auto"/>
            <w:noWrap/>
            <w:hideMark/>
          </w:tcPr>
          <w:p w14:paraId="4789145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Berlin-Munich</w:t>
            </w:r>
          </w:p>
        </w:tc>
        <w:tc>
          <w:tcPr>
            <w:tcW w:w="1236" w:type="dxa"/>
            <w:tcBorders>
              <w:top w:val="nil"/>
              <w:left w:val="nil"/>
              <w:bottom w:val="nil"/>
              <w:right w:val="nil"/>
            </w:tcBorders>
            <w:shd w:val="clear" w:color="auto" w:fill="auto"/>
            <w:noWrap/>
            <w:vAlign w:val="center"/>
            <w:hideMark/>
          </w:tcPr>
          <w:p w14:paraId="70DE6B7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620 km</w:t>
            </w:r>
          </w:p>
        </w:tc>
        <w:tc>
          <w:tcPr>
            <w:tcW w:w="1174" w:type="dxa"/>
            <w:tcBorders>
              <w:top w:val="nil"/>
              <w:left w:val="nil"/>
              <w:bottom w:val="nil"/>
              <w:right w:val="nil"/>
            </w:tcBorders>
            <w:shd w:val="clear" w:color="auto" w:fill="auto"/>
            <w:noWrap/>
            <w:vAlign w:val="center"/>
            <w:hideMark/>
          </w:tcPr>
          <w:p w14:paraId="1FCE1CA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4:26 h</w:t>
            </w:r>
          </w:p>
        </w:tc>
        <w:tc>
          <w:tcPr>
            <w:tcW w:w="2553" w:type="dxa"/>
            <w:tcBorders>
              <w:top w:val="nil"/>
              <w:left w:val="nil"/>
              <w:bottom w:val="nil"/>
              <w:right w:val="nil"/>
            </w:tcBorders>
            <w:shd w:val="clear" w:color="auto" w:fill="auto"/>
            <w:noWrap/>
            <w:vAlign w:val="center"/>
            <w:hideMark/>
          </w:tcPr>
          <w:p w14:paraId="412E4441"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140 km/h</w:t>
            </w:r>
          </w:p>
        </w:tc>
        <w:tc>
          <w:tcPr>
            <w:tcW w:w="1408" w:type="dxa"/>
            <w:tcBorders>
              <w:top w:val="nil"/>
              <w:left w:val="nil"/>
              <w:bottom w:val="nil"/>
              <w:right w:val="nil"/>
            </w:tcBorders>
            <w:shd w:val="clear" w:color="auto" w:fill="auto"/>
            <w:noWrap/>
            <w:hideMark/>
          </w:tcPr>
          <w:p w14:paraId="26FD48A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DB</w:t>
            </w:r>
          </w:p>
        </w:tc>
      </w:tr>
      <w:tr w:rsidR="00E92519" w:rsidRPr="002224F4" w14:paraId="5B2E4BBF" w14:textId="77777777" w:rsidTr="003416AB">
        <w:trPr>
          <w:trHeight w:val="323"/>
        </w:trPr>
        <w:tc>
          <w:tcPr>
            <w:tcW w:w="709" w:type="dxa"/>
            <w:tcBorders>
              <w:top w:val="nil"/>
              <w:left w:val="nil"/>
              <w:bottom w:val="nil"/>
              <w:right w:val="nil"/>
            </w:tcBorders>
            <w:shd w:val="clear" w:color="auto" w:fill="auto"/>
            <w:noWrap/>
            <w:hideMark/>
          </w:tcPr>
          <w:p w14:paraId="12C82100"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HS</w:t>
            </w:r>
          </w:p>
        </w:tc>
        <w:tc>
          <w:tcPr>
            <w:tcW w:w="1985" w:type="dxa"/>
            <w:tcBorders>
              <w:top w:val="nil"/>
              <w:left w:val="nil"/>
              <w:bottom w:val="nil"/>
              <w:right w:val="nil"/>
            </w:tcBorders>
            <w:shd w:val="clear" w:color="auto" w:fill="auto"/>
            <w:noWrap/>
            <w:hideMark/>
          </w:tcPr>
          <w:p w14:paraId="22A6BD5E"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Milan-Rome</w:t>
            </w:r>
          </w:p>
        </w:tc>
        <w:tc>
          <w:tcPr>
            <w:tcW w:w="1236" w:type="dxa"/>
            <w:tcBorders>
              <w:top w:val="nil"/>
              <w:left w:val="nil"/>
              <w:bottom w:val="nil"/>
              <w:right w:val="nil"/>
            </w:tcBorders>
            <w:shd w:val="clear" w:color="auto" w:fill="auto"/>
            <w:noWrap/>
            <w:vAlign w:val="center"/>
            <w:hideMark/>
          </w:tcPr>
          <w:p w14:paraId="71BB73B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580 km</w:t>
            </w:r>
          </w:p>
        </w:tc>
        <w:tc>
          <w:tcPr>
            <w:tcW w:w="1174" w:type="dxa"/>
            <w:tcBorders>
              <w:top w:val="nil"/>
              <w:left w:val="nil"/>
              <w:bottom w:val="nil"/>
              <w:right w:val="nil"/>
            </w:tcBorders>
            <w:shd w:val="clear" w:color="auto" w:fill="auto"/>
            <w:noWrap/>
            <w:vAlign w:val="center"/>
            <w:hideMark/>
          </w:tcPr>
          <w:p w14:paraId="3F5453D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3:00 h</w:t>
            </w:r>
          </w:p>
        </w:tc>
        <w:tc>
          <w:tcPr>
            <w:tcW w:w="2553" w:type="dxa"/>
            <w:tcBorders>
              <w:top w:val="nil"/>
              <w:left w:val="nil"/>
              <w:bottom w:val="nil"/>
              <w:right w:val="nil"/>
            </w:tcBorders>
            <w:shd w:val="clear" w:color="auto" w:fill="auto"/>
            <w:noWrap/>
            <w:vAlign w:val="center"/>
            <w:hideMark/>
          </w:tcPr>
          <w:p w14:paraId="2121E0F0"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193 km/h</w:t>
            </w:r>
          </w:p>
        </w:tc>
        <w:tc>
          <w:tcPr>
            <w:tcW w:w="1408" w:type="dxa"/>
            <w:tcBorders>
              <w:top w:val="nil"/>
              <w:left w:val="nil"/>
              <w:bottom w:val="nil"/>
              <w:right w:val="nil"/>
            </w:tcBorders>
            <w:shd w:val="clear" w:color="auto" w:fill="auto"/>
            <w:noWrap/>
            <w:hideMark/>
          </w:tcPr>
          <w:p w14:paraId="2BBF0BA4"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Trenitalia, Italo</w:t>
            </w:r>
          </w:p>
        </w:tc>
      </w:tr>
      <w:tr w:rsidR="00E92519" w:rsidRPr="002224F4" w14:paraId="2A0194C9" w14:textId="77777777" w:rsidTr="003416AB">
        <w:trPr>
          <w:trHeight w:val="323"/>
        </w:trPr>
        <w:tc>
          <w:tcPr>
            <w:tcW w:w="709" w:type="dxa"/>
            <w:tcBorders>
              <w:top w:val="nil"/>
              <w:left w:val="nil"/>
              <w:bottom w:val="nil"/>
              <w:right w:val="nil"/>
            </w:tcBorders>
            <w:shd w:val="clear" w:color="auto" w:fill="auto"/>
            <w:noWrap/>
            <w:hideMark/>
          </w:tcPr>
          <w:p w14:paraId="1A1CCEE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HS</w:t>
            </w:r>
          </w:p>
        </w:tc>
        <w:tc>
          <w:tcPr>
            <w:tcW w:w="1985" w:type="dxa"/>
            <w:tcBorders>
              <w:top w:val="nil"/>
              <w:left w:val="nil"/>
              <w:bottom w:val="nil"/>
              <w:right w:val="nil"/>
            </w:tcBorders>
            <w:shd w:val="clear" w:color="auto" w:fill="auto"/>
            <w:noWrap/>
            <w:hideMark/>
          </w:tcPr>
          <w:p w14:paraId="5E3B538E"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Amsterdam-Paris</w:t>
            </w:r>
          </w:p>
        </w:tc>
        <w:tc>
          <w:tcPr>
            <w:tcW w:w="1236" w:type="dxa"/>
            <w:tcBorders>
              <w:top w:val="nil"/>
              <w:left w:val="nil"/>
              <w:bottom w:val="nil"/>
              <w:right w:val="nil"/>
            </w:tcBorders>
            <w:shd w:val="clear" w:color="auto" w:fill="auto"/>
            <w:noWrap/>
            <w:vAlign w:val="center"/>
            <w:hideMark/>
          </w:tcPr>
          <w:p w14:paraId="2501594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520 km</w:t>
            </w:r>
          </w:p>
        </w:tc>
        <w:tc>
          <w:tcPr>
            <w:tcW w:w="1174" w:type="dxa"/>
            <w:tcBorders>
              <w:top w:val="nil"/>
              <w:left w:val="nil"/>
              <w:bottom w:val="nil"/>
              <w:right w:val="nil"/>
            </w:tcBorders>
            <w:shd w:val="clear" w:color="auto" w:fill="auto"/>
            <w:noWrap/>
            <w:vAlign w:val="center"/>
            <w:hideMark/>
          </w:tcPr>
          <w:p w14:paraId="3FCB122C"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3:20 h</w:t>
            </w:r>
          </w:p>
        </w:tc>
        <w:tc>
          <w:tcPr>
            <w:tcW w:w="2553" w:type="dxa"/>
            <w:tcBorders>
              <w:top w:val="nil"/>
              <w:left w:val="nil"/>
              <w:bottom w:val="nil"/>
              <w:right w:val="nil"/>
            </w:tcBorders>
            <w:shd w:val="clear" w:color="auto" w:fill="auto"/>
            <w:noWrap/>
            <w:vAlign w:val="center"/>
            <w:hideMark/>
          </w:tcPr>
          <w:p w14:paraId="6C84F4D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156 km/h</w:t>
            </w:r>
          </w:p>
        </w:tc>
        <w:tc>
          <w:tcPr>
            <w:tcW w:w="1408" w:type="dxa"/>
            <w:tcBorders>
              <w:top w:val="nil"/>
              <w:left w:val="nil"/>
              <w:bottom w:val="nil"/>
              <w:right w:val="nil"/>
            </w:tcBorders>
            <w:shd w:val="clear" w:color="auto" w:fill="auto"/>
            <w:noWrap/>
            <w:hideMark/>
          </w:tcPr>
          <w:p w14:paraId="43B24B5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Thalys</w:t>
            </w:r>
          </w:p>
        </w:tc>
      </w:tr>
      <w:tr w:rsidR="00E92519" w:rsidRPr="002224F4" w14:paraId="04F901B7" w14:textId="77777777" w:rsidTr="003416AB">
        <w:trPr>
          <w:trHeight w:val="323"/>
        </w:trPr>
        <w:tc>
          <w:tcPr>
            <w:tcW w:w="709" w:type="dxa"/>
            <w:tcBorders>
              <w:top w:val="nil"/>
              <w:left w:val="nil"/>
              <w:bottom w:val="nil"/>
              <w:right w:val="nil"/>
            </w:tcBorders>
            <w:shd w:val="clear" w:color="auto" w:fill="auto"/>
            <w:noWrap/>
            <w:hideMark/>
          </w:tcPr>
          <w:p w14:paraId="19B5BBBD"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HS</w:t>
            </w:r>
          </w:p>
        </w:tc>
        <w:tc>
          <w:tcPr>
            <w:tcW w:w="1985" w:type="dxa"/>
            <w:tcBorders>
              <w:top w:val="nil"/>
              <w:left w:val="nil"/>
              <w:bottom w:val="nil"/>
              <w:right w:val="nil"/>
            </w:tcBorders>
            <w:shd w:val="clear" w:color="auto" w:fill="auto"/>
            <w:noWrap/>
            <w:hideMark/>
          </w:tcPr>
          <w:p w14:paraId="6BEFF788"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Madrid-Barcelona</w:t>
            </w:r>
          </w:p>
        </w:tc>
        <w:tc>
          <w:tcPr>
            <w:tcW w:w="1236" w:type="dxa"/>
            <w:tcBorders>
              <w:top w:val="nil"/>
              <w:left w:val="nil"/>
              <w:bottom w:val="nil"/>
              <w:right w:val="nil"/>
            </w:tcBorders>
            <w:shd w:val="clear" w:color="auto" w:fill="auto"/>
            <w:noWrap/>
            <w:vAlign w:val="center"/>
            <w:hideMark/>
          </w:tcPr>
          <w:p w14:paraId="6FF80D3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630 km</w:t>
            </w:r>
          </w:p>
        </w:tc>
        <w:tc>
          <w:tcPr>
            <w:tcW w:w="1174" w:type="dxa"/>
            <w:tcBorders>
              <w:top w:val="nil"/>
              <w:left w:val="nil"/>
              <w:bottom w:val="nil"/>
              <w:right w:val="nil"/>
            </w:tcBorders>
            <w:shd w:val="clear" w:color="auto" w:fill="auto"/>
            <w:noWrap/>
            <w:vAlign w:val="center"/>
            <w:hideMark/>
          </w:tcPr>
          <w:p w14:paraId="1A211902"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3:20 h</w:t>
            </w:r>
          </w:p>
        </w:tc>
        <w:tc>
          <w:tcPr>
            <w:tcW w:w="2553" w:type="dxa"/>
            <w:tcBorders>
              <w:top w:val="nil"/>
              <w:left w:val="nil"/>
              <w:bottom w:val="nil"/>
              <w:right w:val="nil"/>
            </w:tcBorders>
            <w:shd w:val="clear" w:color="auto" w:fill="auto"/>
            <w:noWrap/>
            <w:vAlign w:val="center"/>
            <w:hideMark/>
          </w:tcPr>
          <w:p w14:paraId="02C92398"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202 km/h</w:t>
            </w:r>
          </w:p>
        </w:tc>
        <w:tc>
          <w:tcPr>
            <w:tcW w:w="1408" w:type="dxa"/>
            <w:tcBorders>
              <w:top w:val="nil"/>
              <w:left w:val="nil"/>
              <w:bottom w:val="nil"/>
              <w:right w:val="nil"/>
            </w:tcBorders>
            <w:shd w:val="clear" w:color="auto" w:fill="auto"/>
            <w:noWrap/>
            <w:hideMark/>
          </w:tcPr>
          <w:p w14:paraId="796724BB" w14:textId="77777777" w:rsidR="00E92519" w:rsidRPr="002224F4" w:rsidRDefault="00E92519" w:rsidP="003416AB">
            <w:pPr>
              <w:spacing w:line="276" w:lineRule="auto"/>
              <w:ind w:firstLine="0"/>
              <w:rPr>
                <w:color w:val="000000"/>
                <w:sz w:val="18"/>
                <w:szCs w:val="18"/>
                <w:lang w:val="en-GB" w:eastAsia="sv-SE"/>
              </w:rPr>
            </w:pPr>
            <w:proofErr w:type="spellStart"/>
            <w:r w:rsidRPr="002224F4">
              <w:rPr>
                <w:color w:val="000000"/>
                <w:sz w:val="18"/>
                <w:szCs w:val="18"/>
                <w:lang w:val="en-GB" w:eastAsia="sv-SE"/>
              </w:rPr>
              <w:t>Renfe</w:t>
            </w:r>
            <w:proofErr w:type="spellEnd"/>
          </w:p>
        </w:tc>
      </w:tr>
      <w:tr w:rsidR="00E92519" w:rsidRPr="002224F4" w14:paraId="51DC59C3" w14:textId="77777777" w:rsidTr="003416AB">
        <w:trPr>
          <w:trHeight w:val="323"/>
        </w:trPr>
        <w:tc>
          <w:tcPr>
            <w:tcW w:w="709" w:type="dxa"/>
            <w:tcBorders>
              <w:top w:val="nil"/>
              <w:left w:val="nil"/>
              <w:bottom w:val="nil"/>
              <w:right w:val="nil"/>
            </w:tcBorders>
            <w:shd w:val="clear" w:color="auto" w:fill="auto"/>
            <w:noWrap/>
            <w:hideMark/>
          </w:tcPr>
          <w:p w14:paraId="5FC3838C"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NT</w:t>
            </w:r>
          </w:p>
        </w:tc>
        <w:tc>
          <w:tcPr>
            <w:tcW w:w="1985" w:type="dxa"/>
            <w:tcBorders>
              <w:top w:val="nil"/>
              <w:left w:val="nil"/>
              <w:bottom w:val="nil"/>
              <w:right w:val="nil"/>
            </w:tcBorders>
            <w:shd w:val="clear" w:color="auto" w:fill="auto"/>
            <w:noWrap/>
            <w:hideMark/>
          </w:tcPr>
          <w:p w14:paraId="6A9A894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Wien-Rome</w:t>
            </w:r>
          </w:p>
        </w:tc>
        <w:tc>
          <w:tcPr>
            <w:tcW w:w="1236" w:type="dxa"/>
            <w:tcBorders>
              <w:top w:val="nil"/>
              <w:left w:val="nil"/>
              <w:bottom w:val="nil"/>
              <w:right w:val="nil"/>
            </w:tcBorders>
            <w:shd w:val="clear" w:color="auto" w:fill="auto"/>
            <w:noWrap/>
            <w:vAlign w:val="center"/>
            <w:hideMark/>
          </w:tcPr>
          <w:p w14:paraId="4591F09E"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990 km</w:t>
            </w:r>
          </w:p>
        </w:tc>
        <w:tc>
          <w:tcPr>
            <w:tcW w:w="1174" w:type="dxa"/>
            <w:tcBorders>
              <w:top w:val="nil"/>
              <w:left w:val="nil"/>
              <w:bottom w:val="nil"/>
              <w:right w:val="nil"/>
            </w:tcBorders>
            <w:shd w:val="clear" w:color="auto" w:fill="auto"/>
            <w:noWrap/>
            <w:vAlign w:val="center"/>
            <w:hideMark/>
          </w:tcPr>
          <w:p w14:paraId="0AC8A63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13:37 h</w:t>
            </w:r>
          </w:p>
        </w:tc>
        <w:tc>
          <w:tcPr>
            <w:tcW w:w="2553" w:type="dxa"/>
            <w:tcBorders>
              <w:top w:val="nil"/>
              <w:left w:val="nil"/>
              <w:bottom w:val="nil"/>
              <w:right w:val="nil"/>
            </w:tcBorders>
            <w:shd w:val="clear" w:color="auto" w:fill="auto"/>
            <w:noWrap/>
            <w:vAlign w:val="center"/>
            <w:hideMark/>
          </w:tcPr>
          <w:p w14:paraId="4E9DEE30"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73 km/h</w:t>
            </w:r>
          </w:p>
        </w:tc>
        <w:tc>
          <w:tcPr>
            <w:tcW w:w="1408" w:type="dxa"/>
            <w:tcBorders>
              <w:top w:val="nil"/>
              <w:left w:val="nil"/>
              <w:bottom w:val="nil"/>
              <w:right w:val="nil"/>
            </w:tcBorders>
            <w:shd w:val="clear" w:color="auto" w:fill="auto"/>
            <w:noWrap/>
            <w:hideMark/>
          </w:tcPr>
          <w:p w14:paraId="1BC78F97"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OBB </w:t>
            </w:r>
            <w:proofErr w:type="spellStart"/>
            <w:r w:rsidRPr="002224F4">
              <w:rPr>
                <w:color w:val="000000"/>
                <w:sz w:val="18"/>
                <w:szCs w:val="18"/>
                <w:lang w:val="en-GB" w:eastAsia="sv-SE"/>
              </w:rPr>
              <w:t>nightjet</w:t>
            </w:r>
            <w:proofErr w:type="spellEnd"/>
          </w:p>
        </w:tc>
      </w:tr>
      <w:tr w:rsidR="00E92519" w:rsidRPr="002224F4" w14:paraId="61DBE2DA" w14:textId="77777777" w:rsidTr="003416AB">
        <w:trPr>
          <w:trHeight w:val="323"/>
        </w:trPr>
        <w:tc>
          <w:tcPr>
            <w:tcW w:w="709" w:type="dxa"/>
            <w:tcBorders>
              <w:top w:val="nil"/>
              <w:left w:val="nil"/>
              <w:bottom w:val="nil"/>
              <w:right w:val="nil"/>
            </w:tcBorders>
            <w:shd w:val="clear" w:color="auto" w:fill="auto"/>
            <w:noWrap/>
            <w:hideMark/>
          </w:tcPr>
          <w:p w14:paraId="0D6C79BD"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NT</w:t>
            </w:r>
          </w:p>
        </w:tc>
        <w:tc>
          <w:tcPr>
            <w:tcW w:w="1985" w:type="dxa"/>
            <w:tcBorders>
              <w:top w:val="nil"/>
              <w:left w:val="nil"/>
              <w:bottom w:val="nil"/>
              <w:right w:val="nil"/>
            </w:tcBorders>
            <w:shd w:val="clear" w:color="auto" w:fill="auto"/>
            <w:noWrap/>
            <w:hideMark/>
          </w:tcPr>
          <w:p w14:paraId="158710B8"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Paris-Munich</w:t>
            </w:r>
          </w:p>
        </w:tc>
        <w:tc>
          <w:tcPr>
            <w:tcW w:w="1236" w:type="dxa"/>
            <w:tcBorders>
              <w:top w:val="nil"/>
              <w:left w:val="nil"/>
              <w:bottom w:val="nil"/>
              <w:right w:val="nil"/>
            </w:tcBorders>
            <w:shd w:val="clear" w:color="auto" w:fill="auto"/>
            <w:noWrap/>
            <w:vAlign w:val="center"/>
            <w:hideMark/>
          </w:tcPr>
          <w:p w14:paraId="79991A23"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850 km</w:t>
            </w:r>
          </w:p>
        </w:tc>
        <w:tc>
          <w:tcPr>
            <w:tcW w:w="1174" w:type="dxa"/>
            <w:tcBorders>
              <w:top w:val="nil"/>
              <w:left w:val="nil"/>
              <w:bottom w:val="nil"/>
              <w:right w:val="nil"/>
            </w:tcBorders>
            <w:shd w:val="clear" w:color="auto" w:fill="auto"/>
            <w:noWrap/>
            <w:vAlign w:val="center"/>
            <w:hideMark/>
          </w:tcPr>
          <w:p w14:paraId="018CB2DF"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9:49 h</w:t>
            </w:r>
          </w:p>
        </w:tc>
        <w:tc>
          <w:tcPr>
            <w:tcW w:w="2553" w:type="dxa"/>
            <w:tcBorders>
              <w:top w:val="nil"/>
              <w:left w:val="nil"/>
              <w:bottom w:val="nil"/>
              <w:right w:val="nil"/>
            </w:tcBorders>
            <w:shd w:val="clear" w:color="auto" w:fill="auto"/>
            <w:noWrap/>
            <w:vAlign w:val="center"/>
            <w:hideMark/>
          </w:tcPr>
          <w:p w14:paraId="0DB6B5C2"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87 km/h</w:t>
            </w:r>
          </w:p>
        </w:tc>
        <w:tc>
          <w:tcPr>
            <w:tcW w:w="1408" w:type="dxa"/>
            <w:tcBorders>
              <w:top w:val="nil"/>
              <w:left w:val="nil"/>
              <w:bottom w:val="nil"/>
              <w:right w:val="nil"/>
            </w:tcBorders>
            <w:shd w:val="clear" w:color="auto" w:fill="auto"/>
            <w:noWrap/>
            <w:hideMark/>
          </w:tcPr>
          <w:p w14:paraId="3567956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OBB </w:t>
            </w:r>
            <w:proofErr w:type="spellStart"/>
            <w:r w:rsidRPr="002224F4">
              <w:rPr>
                <w:color w:val="000000"/>
                <w:sz w:val="18"/>
                <w:szCs w:val="18"/>
                <w:lang w:val="en-GB" w:eastAsia="sv-SE"/>
              </w:rPr>
              <w:t>nightjet</w:t>
            </w:r>
            <w:proofErr w:type="spellEnd"/>
          </w:p>
        </w:tc>
      </w:tr>
      <w:tr w:rsidR="00E92519" w:rsidRPr="002224F4" w14:paraId="325252A2" w14:textId="77777777" w:rsidTr="003416AB">
        <w:trPr>
          <w:trHeight w:val="323"/>
        </w:trPr>
        <w:tc>
          <w:tcPr>
            <w:tcW w:w="709" w:type="dxa"/>
            <w:tcBorders>
              <w:top w:val="nil"/>
              <w:left w:val="nil"/>
              <w:bottom w:val="nil"/>
              <w:right w:val="nil"/>
            </w:tcBorders>
            <w:shd w:val="clear" w:color="auto" w:fill="auto"/>
            <w:noWrap/>
            <w:hideMark/>
          </w:tcPr>
          <w:p w14:paraId="4B9AB78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NT</w:t>
            </w:r>
          </w:p>
        </w:tc>
        <w:tc>
          <w:tcPr>
            <w:tcW w:w="1985" w:type="dxa"/>
            <w:tcBorders>
              <w:top w:val="nil"/>
              <w:left w:val="nil"/>
              <w:bottom w:val="nil"/>
              <w:right w:val="nil"/>
            </w:tcBorders>
            <w:shd w:val="clear" w:color="auto" w:fill="auto"/>
            <w:noWrap/>
            <w:hideMark/>
          </w:tcPr>
          <w:p w14:paraId="097FE3A8"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Paris-Milan</w:t>
            </w:r>
          </w:p>
        </w:tc>
        <w:tc>
          <w:tcPr>
            <w:tcW w:w="1236" w:type="dxa"/>
            <w:tcBorders>
              <w:top w:val="nil"/>
              <w:left w:val="nil"/>
              <w:bottom w:val="nil"/>
              <w:right w:val="nil"/>
            </w:tcBorders>
            <w:shd w:val="clear" w:color="auto" w:fill="auto"/>
            <w:noWrap/>
            <w:vAlign w:val="center"/>
            <w:hideMark/>
          </w:tcPr>
          <w:p w14:paraId="0A4D5231"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850 km</w:t>
            </w:r>
          </w:p>
        </w:tc>
        <w:tc>
          <w:tcPr>
            <w:tcW w:w="1174" w:type="dxa"/>
            <w:tcBorders>
              <w:top w:val="nil"/>
              <w:left w:val="nil"/>
              <w:bottom w:val="nil"/>
              <w:right w:val="nil"/>
            </w:tcBorders>
            <w:shd w:val="clear" w:color="auto" w:fill="auto"/>
            <w:noWrap/>
            <w:vAlign w:val="center"/>
            <w:hideMark/>
          </w:tcPr>
          <w:p w14:paraId="5356D114"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10:45 h</w:t>
            </w:r>
          </w:p>
        </w:tc>
        <w:tc>
          <w:tcPr>
            <w:tcW w:w="2553" w:type="dxa"/>
            <w:tcBorders>
              <w:top w:val="nil"/>
              <w:left w:val="nil"/>
              <w:bottom w:val="nil"/>
              <w:right w:val="nil"/>
            </w:tcBorders>
            <w:shd w:val="clear" w:color="auto" w:fill="auto"/>
            <w:noWrap/>
            <w:vAlign w:val="center"/>
            <w:hideMark/>
          </w:tcPr>
          <w:p w14:paraId="449FDDB5"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79 km/h</w:t>
            </w:r>
          </w:p>
        </w:tc>
        <w:tc>
          <w:tcPr>
            <w:tcW w:w="1408" w:type="dxa"/>
            <w:tcBorders>
              <w:top w:val="nil"/>
              <w:left w:val="nil"/>
              <w:bottom w:val="nil"/>
              <w:right w:val="nil"/>
            </w:tcBorders>
            <w:shd w:val="clear" w:color="auto" w:fill="auto"/>
            <w:noWrap/>
            <w:hideMark/>
          </w:tcPr>
          <w:p w14:paraId="440942BE" w14:textId="77777777" w:rsidR="00E92519" w:rsidRPr="002224F4" w:rsidRDefault="00E92519" w:rsidP="003416AB">
            <w:pPr>
              <w:spacing w:line="276" w:lineRule="auto"/>
              <w:ind w:firstLine="0"/>
              <w:rPr>
                <w:color w:val="000000"/>
                <w:sz w:val="18"/>
                <w:szCs w:val="18"/>
                <w:lang w:val="en-GB" w:eastAsia="sv-SE"/>
              </w:rPr>
            </w:pPr>
            <w:proofErr w:type="spellStart"/>
            <w:r w:rsidRPr="002224F4">
              <w:rPr>
                <w:color w:val="000000"/>
                <w:sz w:val="18"/>
                <w:szCs w:val="18"/>
                <w:lang w:val="en-GB" w:eastAsia="sv-SE"/>
              </w:rPr>
              <w:t>Thello</w:t>
            </w:r>
            <w:proofErr w:type="spellEnd"/>
          </w:p>
        </w:tc>
      </w:tr>
      <w:tr w:rsidR="00E92519" w:rsidRPr="002224F4" w14:paraId="4AEC01D1" w14:textId="77777777" w:rsidTr="003416AB">
        <w:trPr>
          <w:trHeight w:val="323"/>
        </w:trPr>
        <w:tc>
          <w:tcPr>
            <w:tcW w:w="709" w:type="dxa"/>
            <w:tcBorders>
              <w:top w:val="nil"/>
              <w:left w:val="nil"/>
              <w:bottom w:val="nil"/>
              <w:right w:val="nil"/>
            </w:tcBorders>
            <w:shd w:val="clear" w:color="auto" w:fill="auto"/>
            <w:noWrap/>
            <w:hideMark/>
          </w:tcPr>
          <w:p w14:paraId="1B38E200"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NT</w:t>
            </w:r>
          </w:p>
        </w:tc>
        <w:tc>
          <w:tcPr>
            <w:tcW w:w="1985" w:type="dxa"/>
            <w:tcBorders>
              <w:top w:val="nil"/>
              <w:left w:val="nil"/>
              <w:bottom w:val="nil"/>
              <w:right w:val="nil"/>
            </w:tcBorders>
            <w:shd w:val="clear" w:color="auto" w:fill="auto"/>
            <w:noWrap/>
            <w:hideMark/>
          </w:tcPr>
          <w:p w14:paraId="7042E8F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Milan-Rome</w:t>
            </w:r>
          </w:p>
        </w:tc>
        <w:tc>
          <w:tcPr>
            <w:tcW w:w="1236" w:type="dxa"/>
            <w:tcBorders>
              <w:top w:val="nil"/>
              <w:left w:val="nil"/>
              <w:bottom w:val="nil"/>
              <w:right w:val="nil"/>
            </w:tcBorders>
            <w:shd w:val="clear" w:color="auto" w:fill="auto"/>
            <w:noWrap/>
            <w:vAlign w:val="center"/>
            <w:hideMark/>
          </w:tcPr>
          <w:p w14:paraId="51F08387"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580 km</w:t>
            </w:r>
          </w:p>
        </w:tc>
        <w:tc>
          <w:tcPr>
            <w:tcW w:w="1174" w:type="dxa"/>
            <w:tcBorders>
              <w:top w:val="nil"/>
              <w:left w:val="nil"/>
              <w:bottom w:val="nil"/>
              <w:right w:val="nil"/>
            </w:tcBorders>
            <w:shd w:val="clear" w:color="auto" w:fill="auto"/>
            <w:noWrap/>
            <w:vAlign w:val="center"/>
            <w:hideMark/>
          </w:tcPr>
          <w:p w14:paraId="12F2C19D"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7:57 h</w:t>
            </w:r>
          </w:p>
        </w:tc>
        <w:tc>
          <w:tcPr>
            <w:tcW w:w="2553" w:type="dxa"/>
            <w:tcBorders>
              <w:top w:val="nil"/>
              <w:left w:val="nil"/>
              <w:bottom w:val="nil"/>
              <w:right w:val="nil"/>
            </w:tcBorders>
            <w:shd w:val="clear" w:color="auto" w:fill="auto"/>
            <w:noWrap/>
            <w:vAlign w:val="center"/>
            <w:hideMark/>
          </w:tcPr>
          <w:p w14:paraId="05FA6946"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73 km/h</w:t>
            </w:r>
          </w:p>
        </w:tc>
        <w:tc>
          <w:tcPr>
            <w:tcW w:w="1408" w:type="dxa"/>
            <w:tcBorders>
              <w:top w:val="nil"/>
              <w:left w:val="nil"/>
              <w:bottom w:val="nil"/>
              <w:right w:val="nil"/>
            </w:tcBorders>
            <w:shd w:val="clear" w:color="auto" w:fill="auto"/>
            <w:noWrap/>
            <w:hideMark/>
          </w:tcPr>
          <w:p w14:paraId="72A54F9C"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Trenitalia </w:t>
            </w:r>
          </w:p>
        </w:tc>
      </w:tr>
      <w:tr w:rsidR="00E92519" w:rsidRPr="002224F4" w14:paraId="75DA847D" w14:textId="77777777" w:rsidTr="003416AB">
        <w:trPr>
          <w:trHeight w:val="323"/>
        </w:trPr>
        <w:tc>
          <w:tcPr>
            <w:tcW w:w="709" w:type="dxa"/>
            <w:tcBorders>
              <w:top w:val="nil"/>
              <w:left w:val="nil"/>
              <w:bottom w:val="nil"/>
              <w:right w:val="nil"/>
            </w:tcBorders>
            <w:shd w:val="clear" w:color="auto" w:fill="auto"/>
            <w:noWrap/>
            <w:hideMark/>
          </w:tcPr>
          <w:p w14:paraId="5B0E895D"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NT</w:t>
            </w:r>
          </w:p>
        </w:tc>
        <w:tc>
          <w:tcPr>
            <w:tcW w:w="1985" w:type="dxa"/>
            <w:tcBorders>
              <w:top w:val="nil"/>
              <w:left w:val="nil"/>
              <w:bottom w:val="nil"/>
              <w:right w:val="nil"/>
            </w:tcBorders>
            <w:shd w:val="clear" w:color="auto" w:fill="auto"/>
            <w:noWrap/>
            <w:hideMark/>
          </w:tcPr>
          <w:p w14:paraId="57B897D7"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Amsterdam-Zurich</w:t>
            </w:r>
          </w:p>
        </w:tc>
        <w:tc>
          <w:tcPr>
            <w:tcW w:w="1236" w:type="dxa"/>
            <w:tcBorders>
              <w:top w:val="nil"/>
              <w:left w:val="nil"/>
              <w:bottom w:val="nil"/>
              <w:right w:val="nil"/>
            </w:tcBorders>
            <w:shd w:val="clear" w:color="auto" w:fill="auto"/>
            <w:noWrap/>
            <w:vAlign w:val="center"/>
            <w:hideMark/>
          </w:tcPr>
          <w:p w14:paraId="5FA5F1E3"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816 km</w:t>
            </w:r>
          </w:p>
        </w:tc>
        <w:tc>
          <w:tcPr>
            <w:tcW w:w="1174" w:type="dxa"/>
            <w:tcBorders>
              <w:top w:val="nil"/>
              <w:left w:val="nil"/>
              <w:bottom w:val="nil"/>
              <w:right w:val="nil"/>
            </w:tcBorders>
            <w:shd w:val="clear" w:color="auto" w:fill="auto"/>
            <w:noWrap/>
            <w:vAlign w:val="center"/>
            <w:hideMark/>
          </w:tcPr>
          <w:p w14:paraId="7C3D890C"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11:37 h</w:t>
            </w:r>
          </w:p>
        </w:tc>
        <w:tc>
          <w:tcPr>
            <w:tcW w:w="2553" w:type="dxa"/>
            <w:tcBorders>
              <w:top w:val="nil"/>
              <w:left w:val="nil"/>
              <w:bottom w:val="nil"/>
              <w:right w:val="nil"/>
            </w:tcBorders>
            <w:shd w:val="clear" w:color="auto" w:fill="auto"/>
            <w:noWrap/>
            <w:vAlign w:val="center"/>
            <w:hideMark/>
          </w:tcPr>
          <w:p w14:paraId="5FBF8DAA"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70 km/h</w:t>
            </w:r>
          </w:p>
        </w:tc>
        <w:tc>
          <w:tcPr>
            <w:tcW w:w="1408" w:type="dxa"/>
            <w:tcBorders>
              <w:top w:val="nil"/>
              <w:left w:val="nil"/>
              <w:bottom w:val="nil"/>
              <w:right w:val="nil"/>
            </w:tcBorders>
            <w:shd w:val="clear" w:color="auto" w:fill="auto"/>
            <w:noWrap/>
            <w:hideMark/>
          </w:tcPr>
          <w:p w14:paraId="52AA99C9"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OBB </w:t>
            </w:r>
            <w:proofErr w:type="spellStart"/>
            <w:r w:rsidRPr="002224F4">
              <w:rPr>
                <w:color w:val="000000"/>
                <w:sz w:val="18"/>
                <w:szCs w:val="18"/>
                <w:lang w:val="en-GB" w:eastAsia="sv-SE"/>
              </w:rPr>
              <w:t>nightjet</w:t>
            </w:r>
            <w:proofErr w:type="spellEnd"/>
          </w:p>
        </w:tc>
      </w:tr>
      <w:tr w:rsidR="00E92519" w:rsidRPr="002224F4" w14:paraId="45D60045" w14:textId="77777777" w:rsidTr="003416AB">
        <w:trPr>
          <w:trHeight w:val="323"/>
        </w:trPr>
        <w:tc>
          <w:tcPr>
            <w:tcW w:w="709" w:type="dxa"/>
            <w:tcBorders>
              <w:top w:val="nil"/>
              <w:left w:val="nil"/>
              <w:bottom w:val="single" w:sz="4" w:space="0" w:color="auto"/>
              <w:right w:val="nil"/>
            </w:tcBorders>
            <w:shd w:val="clear" w:color="auto" w:fill="auto"/>
            <w:noWrap/>
            <w:hideMark/>
          </w:tcPr>
          <w:p w14:paraId="5B19B2C2"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NT</w:t>
            </w:r>
          </w:p>
        </w:tc>
        <w:tc>
          <w:tcPr>
            <w:tcW w:w="1985" w:type="dxa"/>
            <w:tcBorders>
              <w:top w:val="nil"/>
              <w:left w:val="nil"/>
              <w:bottom w:val="single" w:sz="4" w:space="0" w:color="auto"/>
              <w:right w:val="nil"/>
            </w:tcBorders>
            <w:shd w:val="clear" w:color="auto" w:fill="auto"/>
            <w:noWrap/>
            <w:hideMark/>
          </w:tcPr>
          <w:p w14:paraId="03EBA65B"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Zurich-Hamburg</w:t>
            </w:r>
          </w:p>
        </w:tc>
        <w:tc>
          <w:tcPr>
            <w:tcW w:w="1236" w:type="dxa"/>
            <w:tcBorders>
              <w:top w:val="nil"/>
              <w:left w:val="nil"/>
              <w:bottom w:val="single" w:sz="4" w:space="0" w:color="auto"/>
              <w:right w:val="nil"/>
            </w:tcBorders>
            <w:shd w:val="clear" w:color="auto" w:fill="auto"/>
            <w:noWrap/>
            <w:vAlign w:val="center"/>
            <w:hideMark/>
          </w:tcPr>
          <w:p w14:paraId="0259976D"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845 km</w:t>
            </w:r>
          </w:p>
        </w:tc>
        <w:tc>
          <w:tcPr>
            <w:tcW w:w="1174" w:type="dxa"/>
            <w:tcBorders>
              <w:top w:val="nil"/>
              <w:left w:val="nil"/>
              <w:bottom w:val="single" w:sz="4" w:space="0" w:color="auto"/>
              <w:right w:val="nil"/>
            </w:tcBorders>
            <w:shd w:val="clear" w:color="auto" w:fill="auto"/>
            <w:noWrap/>
            <w:vAlign w:val="center"/>
            <w:hideMark/>
          </w:tcPr>
          <w:p w14:paraId="4212E413"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12:15 h</w:t>
            </w:r>
          </w:p>
        </w:tc>
        <w:tc>
          <w:tcPr>
            <w:tcW w:w="2553" w:type="dxa"/>
            <w:tcBorders>
              <w:top w:val="nil"/>
              <w:left w:val="nil"/>
              <w:bottom w:val="single" w:sz="4" w:space="0" w:color="auto"/>
              <w:right w:val="nil"/>
            </w:tcBorders>
            <w:shd w:val="clear" w:color="auto" w:fill="auto"/>
            <w:noWrap/>
            <w:vAlign w:val="center"/>
            <w:hideMark/>
          </w:tcPr>
          <w:p w14:paraId="69C47E93"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69 km/h</w:t>
            </w:r>
          </w:p>
        </w:tc>
        <w:tc>
          <w:tcPr>
            <w:tcW w:w="1408" w:type="dxa"/>
            <w:tcBorders>
              <w:top w:val="nil"/>
              <w:left w:val="nil"/>
              <w:bottom w:val="single" w:sz="4" w:space="0" w:color="auto"/>
              <w:right w:val="nil"/>
            </w:tcBorders>
            <w:shd w:val="clear" w:color="auto" w:fill="auto"/>
            <w:noWrap/>
            <w:hideMark/>
          </w:tcPr>
          <w:p w14:paraId="3238BDCC" w14:textId="77777777" w:rsidR="00E92519" w:rsidRPr="002224F4" w:rsidRDefault="00E92519" w:rsidP="003416AB">
            <w:pPr>
              <w:spacing w:line="276" w:lineRule="auto"/>
              <w:ind w:firstLine="0"/>
              <w:rPr>
                <w:color w:val="000000"/>
                <w:sz w:val="18"/>
                <w:szCs w:val="18"/>
                <w:lang w:val="en-GB" w:eastAsia="sv-SE"/>
              </w:rPr>
            </w:pPr>
            <w:r w:rsidRPr="002224F4">
              <w:rPr>
                <w:color w:val="000000"/>
                <w:sz w:val="18"/>
                <w:szCs w:val="18"/>
                <w:lang w:val="en-GB" w:eastAsia="sv-SE"/>
              </w:rPr>
              <w:t xml:space="preserve">OBB </w:t>
            </w:r>
            <w:proofErr w:type="spellStart"/>
            <w:r w:rsidRPr="002224F4">
              <w:rPr>
                <w:color w:val="000000"/>
                <w:sz w:val="18"/>
                <w:szCs w:val="18"/>
                <w:lang w:val="en-GB" w:eastAsia="sv-SE"/>
              </w:rPr>
              <w:t>nightjet</w:t>
            </w:r>
            <w:proofErr w:type="spellEnd"/>
          </w:p>
        </w:tc>
      </w:tr>
    </w:tbl>
    <w:p w14:paraId="3DD523A5" w14:textId="77777777" w:rsidR="00E92519" w:rsidRPr="002224F4" w:rsidRDefault="00E92519" w:rsidP="00E92519">
      <w:pPr>
        <w:spacing w:line="276" w:lineRule="auto"/>
        <w:ind w:firstLine="0"/>
        <w:rPr>
          <w:sz w:val="18"/>
          <w:szCs w:val="18"/>
          <w:lang w:val="en-GB"/>
        </w:rPr>
      </w:pPr>
    </w:p>
    <w:p w14:paraId="34C53CD8" w14:textId="77777777" w:rsidR="00E92519" w:rsidRPr="002224F4" w:rsidRDefault="00E92519" w:rsidP="00E92519">
      <w:pPr>
        <w:spacing w:line="276" w:lineRule="auto"/>
        <w:rPr>
          <w:b/>
          <w:bCs/>
          <w:lang w:val="en-GB"/>
        </w:rPr>
      </w:pPr>
      <w:r w:rsidRPr="002224F4">
        <w:rPr>
          <w:b/>
          <w:bCs/>
          <w:lang w:val="en-GB"/>
        </w:rPr>
        <w:t>A.2. Carbon footprint layer – Energy use: technology shift in aviation and railway</w:t>
      </w:r>
    </w:p>
    <w:p w14:paraId="0DBC0463" w14:textId="77777777" w:rsidR="00E92519" w:rsidRPr="002224F4" w:rsidRDefault="00E92519" w:rsidP="00E92519">
      <w:pPr>
        <w:spacing w:line="276" w:lineRule="auto"/>
        <w:ind w:firstLine="284"/>
        <w:rPr>
          <w:lang w:val="en-GB"/>
        </w:rPr>
      </w:pPr>
      <w:r w:rsidRPr="002224F4">
        <w:rPr>
          <w:i/>
          <w:lang w:val="en-GB"/>
        </w:rPr>
        <w:t>Technology shifts in aviation.</w:t>
      </w:r>
      <w:r w:rsidRPr="002224F4">
        <w:rPr>
          <w:lang w:val="en-GB"/>
        </w:rPr>
        <w:t xml:space="preserve"> Electric planes were assumed to start taking market share from 2035 and onwards, increasing linearly until reaching 30% of travelled </w:t>
      </w:r>
      <w:proofErr w:type="spellStart"/>
      <w:r w:rsidRPr="002224F4">
        <w:rPr>
          <w:lang w:val="en-GB"/>
        </w:rPr>
        <w:t>pkm</w:t>
      </w:r>
      <w:proofErr w:type="spellEnd"/>
      <w:r w:rsidRPr="002224F4">
        <w:rPr>
          <w:lang w:val="en-GB"/>
        </w:rPr>
        <w:t xml:space="preserve"> in 2050. </w:t>
      </w:r>
      <w:r w:rsidRPr="002224F4">
        <w:rPr>
          <w:lang w:val="en-GB"/>
        </w:rPr>
        <w:fldChar w:fldCharType="begin" w:fldLock="1"/>
      </w:r>
      <w:r>
        <w:rPr>
          <w:lang w:val="en-GB"/>
        </w:rPr>
        <w:instrText>ADDIN CSL_CITATION {"citationItems":[{"id":"ITEM-1","itemData":{"DOI":"10.1038/s41560-018-0294-x","ISSN":"2058-7546","abstract":"Ever since the Wright brothers’ first powered flight in 1903, commercial aircraft have relied on liquid hydrocarbon fuels. However, the need for greenhouse gas emission reductions along with recent progress in battery technology for automobiles has generated strong interest in electric propulsion in aviation. This Analysis provides a first-order assessment of the energy, economic and environmental implications of all-electric aircraft. We show that batteries with significantly higher specific energy and lower cost, coupled with further reductions of costs and CO 2 intensity of electricity, are necessary for exploiting the full range of economic and environmental benefits provided by all-electric aircraft. A global fleet of all-electric aircraft serving all flights up to a distance of 400–600 nautical miles (741–1,111 km) would demand an equivalent of 0.6–1.7% of worldwide electricity consumption in 2015. Although lifecycle CO 2 emissions of all-electric aircraft depend on the power generation mix, all direct combustion emissions and thus direct air pollutants and direct non-CO 2 warming impacts would be eliminated.","author":[{"dropping-particle":"","family":"Schäfer","given":"Andreas W.","non-dropping-particle":"","parse-names":false,"suffix":""},{"dropping-particle":"","family":"Barrett","given":"Steven R. H.","non-dropping-particle":"","parse-names":false,"suffix":""},{"dropping-particle":"","family":"Doyme","given":"Khan","non-dropping-particle":"","parse-names":false,"suffix":""},{"dropping-particle":"","family":"Dray","given":"Lynnette M.","non-dropping-particle":"","parse-names":false,"suffix":""},{"dropping-particle":"","family":"Gnadt","given":"Albert R.","non-dropping-particle":"","parse-names":false,"suffix":""},{"dropping-particle":"","family":"Self","given":"Rod","non-dropping-particle":"","parse-names":false,"suffix":""},{"dropping-particle":"","family":"O’Sullivan","given":"Aidan","non-dropping-particle":"","parse-names":false,"suffix":""},{"dropping-particle":"","family":"Synodinos","given":"Athanasios P.","non-dropping-particle":"","parse-names":false,"suffix":""},{"dropping-particle":"","family":"Torija","given":"Antonio J.","non-dropping-particle":"","parse-names":false,"suffix":""}],"container-title":"Nature Energy","id":"ITEM-1","issue":"2","issued":{"date-parts":[["2019","2","10"]]},"page":"160-166","publisher":"Springer US","title":"Technological, economic and environmental prospects of all-electric aircraft","type":"article-journal","volume":"4"},"uris":["http://www.mendeley.com/documents/?uuid=e277e87c-5d02-4f6c-bf61-ba71fa6e739c","http://www.mendeley.com/documents/?uuid=d08ff44a-69ed-4237-943c-1c1fa4f0021b"]}],"mendeley":{"formattedCitation":"(Schäfer et al., 2019)","manualFormatting":"Schäfer et al. (2019)","plainTextFormattedCitation":"(Schäfer et al., 2019)","previouslyFormattedCitation":"(Schäfer et al., 2019)"},"properties":{"noteIndex":0},"schema":"https://github.com/citation-style-language/schema/raw/master/csl-citation.json"}</w:instrText>
      </w:r>
      <w:r w:rsidRPr="002224F4">
        <w:rPr>
          <w:lang w:val="en-GB"/>
        </w:rPr>
        <w:fldChar w:fldCharType="separate"/>
      </w:r>
      <w:r w:rsidRPr="002224F4">
        <w:rPr>
          <w:noProof/>
          <w:lang w:val="en-GB"/>
        </w:rPr>
        <w:t>Schäfer et al. (2019)</w:t>
      </w:r>
      <w:r w:rsidRPr="002224F4">
        <w:rPr>
          <w:lang w:val="en-GB"/>
        </w:rPr>
        <w:fldChar w:fldCharType="end"/>
      </w:r>
      <w:r w:rsidRPr="002224F4">
        <w:rPr>
          <w:lang w:val="en-GB"/>
        </w:rPr>
        <w:t xml:space="preserve"> estimated that electric planes could service 15% of travelled </w:t>
      </w:r>
      <w:proofErr w:type="spellStart"/>
      <w:r w:rsidRPr="002224F4">
        <w:rPr>
          <w:lang w:val="en-GB"/>
        </w:rPr>
        <w:t>pkm</w:t>
      </w:r>
      <w:proofErr w:type="spellEnd"/>
      <w:r w:rsidRPr="002224F4">
        <w:rPr>
          <w:lang w:val="en-GB"/>
        </w:rPr>
        <w:t xml:space="preserve"> globally by 2060, </w:t>
      </w:r>
      <w:proofErr w:type="gramStart"/>
      <w:r w:rsidRPr="002224F4">
        <w:rPr>
          <w:lang w:val="en-GB"/>
        </w:rPr>
        <w:t>assuming that</w:t>
      </w:r>
      <w:proofErr w:type="gramEnd"/>
      <w:r w:rsidRPr="002224F4">
        <w:rPr>
          <w:lang w:val="en-GB"/>
        </w:rPr>
        <w:t xml:space="preserve"> electric planes can service distances up to slightly over 1,000 km. Since 30% of the trips analysed in this study fall within this range, a higher share of electric plane service was assumed. Planes using liquid fuels were assumed to gradually shift to biofuels/electro-fuels in line with the Swedish emissions reduction obligation quota policy </w:t>
      </w:r>
      <w:r w:rsidRPr="002224F4">
        <w:rPr>
          <w:lang w:val="en-GB"/>
        </w:rPr>
        <w:fldChar w:fldCharType="begin" w:fldLock="1"/>
      </w:r>
      <w:r w:rsidRPr="002224F4">
        <w:rPr>
          <w:lang w:val="en-GB"/>
        </w:rPr>
        <w:instrText>ADDIN CSL_CITATION {"citationItems":[{"id":"ITEM-1","itemData":{"author":[{"dropping-particle":"","family":"Swedish Government","given":"","non-dropping-particle":"","parse-names":false,"suffix":""}],"id":"ITEM-1","issued":{"date-parts":[["2021"]]},"page":"1-59","title":"Regeringens proposition 2020/21:135 Reduktionsplikt för flygfotogen (Governmental bill 2020/21:135 Emission reduction obligation quota policy for aviation kerosene)","type":"speech"},"uris":["http://www.mendeley.com/documents/?uuid=f4ff32ef-e55d-4f79-bc0b-d1b521740187","http://www.mendeley.com/documents/?uuid=9545a76d-a2a2-4f4e-ab40-faf89f17e3f0"]}],"mendeley":{"formattedCitation":"(Swedish Government, 2021b)","plainTextFormattedCitation":"(Swedish Government, 2021b)","previouslyFormattedCitation":"(Swedish Government, 2021b)"},"properties":{"noteIndex":0},"schema":"https://github.com/citation-style-language/schema/raw/master/csl-citation.json"}</w:instrText>
      </w:r>
      <w:r w:rsidRPr="002224F4">
        <w:rPr>
          <w:lang w:val="en-GB"/>
        </w:rPr>
        <w:fldChar w:fldCharType="separate"/>
      </w:r>
      <w:r w:rsidRPr="002224F4">
        <w:rPr>
          <w:noProof/>
          <w:lang w:val="en-GB"/>
        </w:rPr>
        <w:t>(Swedish Government, 2021b)</w:t>
      </w:r>
      <w:r w:rsidRPr="002224F4">
        <w:rPr>
          <w:lang w:val="en-GB"/>
        </w:rPr>
        <w:fldChar w:fldCharType="end"/>
      </w:r>
      <w:r w:rsidRPr="002224F4">
        <w:rPr>
          <w:lang w:val="en-GB"/>
        </w:rPr>
        <w:t xml:space="preserve"> for flights </w:t>
      </w:r>
      <w:r>
        <w:rPr>
          <w:lang w:val="en-GB"/>
        </w:rPr>
        <w:t xml:space="preserve">departing from </w:t>
      </w:r>
      <w:r w:rsidRPr="002224F4">
        <w:rPr>
          <w:lang w:val="en-GB"/>
        </w:rPr>
        <w:t xml:space="preserve">Sweden (i.e., the carbon intensity of the fuel used should be reduced by 27% in 2030, equivalent to a 34% share of alternative fuels). For the </w:t>
      </w:r>
      <w:r w:rsidRPr="002224F4">
        <w:rPr>
          <w:i/>
          <w:iCs/>
          <w:lang w:val="en-GB"/>
        </w:rPr>
        <w:t>low-carbon technologies</w:t>
      </w:r>
      <w:r w:rsidRPr="002224F4">
        <w:rPr>
          <w:lang w:val="en-GB"/>
        </w:rPr>
        <w:t xml:space="preserve"> pathway, it was assumed that the proposed regulation for sustainable aviation fuel </w:t>
      </w:r>
      <w:r w:rsidRPr="002224F4">
        <w:rPr>
          <w:lang w:val="en-GB"/>
        </w:rPr>
        <w:fldChar w:fldCharType="begin" w:fldLock="1"/>
      </w:r>
      <w:r>
        <w:rPr>
          <w:lang w:val="en-GB"/>
        </w:rPr>
        <w:instrText>ADDIN CSL_CITATION {"citationItems":[{"id":"ITEM-1","itemData":{"URL":"https://eur-lex.europa.eu/legal-content/EN/ALL/?uri=CELEX:52021PC0561","accessed":{"date-parts":[["2022","9","17"]]},"author":[{"dropping-particle":"","family":"European Commission","given":"","non-dropping-particle":"","parse-names":false,"suffix":""}],"id":"ITEM-1","issued":{"date-parts":[["2021"]]},"title":"Proposal for a regulation of the European Parliament and of the Council on ensuring a level playing field for sustainable air transport - COM(2021) 561","type":"webpage"},"uris":["http://www.mendeley.com/documents/?uuid=799060db-a734-4be4-a507-3e6510470e55","http://www.mendeley.com/documents/?uuid=c1891a87-6875-419b-b063-4891c93583d0"]}],"mendeley":{"formattedCitation":"(European Commission, 2021c)","plainTextFormattedCitation":"(European Commission, 2021c)","previouslyFormattedCitation":"(European Commission, 2021c)"},"properties":{"noteIndex":0},"schema":"https://github.com/citation-style-language/schema/raw/master/csl-citation.json"}</w:instrText>
      </w:r>
      <w:r w:rsidRPr="002224F4">
        <w:rPr>
          <w:lang w:val="en-GB"/>
        </w:rPr>
        <w:fldChar w:fldCharType="separate"/>
      </w:r>
      <w:r w:rsidRPr="00467078">
        <w:rPr>
          <w:noProof/>
          <w:lang w:val="en-GB"/>
        </w:rPr>
        <w:t>(European Commission, 2021c)</w:t>
      </w:r>
      <w:r w:rsidRPr="002224F4">
        <w:rPr>
          <w:lang w:val="en-GB"/>
        </w:rPr>
        <w:fldChar w:fldCharType="end"/>
      </w:r>
      <w:r w:rsidRPr="002224F4">
        <w:rPr>
          <w:lang w:val="en-GB"/>
        </w:rPr>
        <w:t xml:space="preserve"> would be adopted, resulting in an emissions reduction obligation quota policy</w:t>
      </w:r>
      <w:r w:rsidRPr="002224F4" w:rsidDel="5ECAFC47">
        <w:rPr>
          <w:lang w:val="en-GB"/>
        </w:rPr>
        <w:t xml:space="preserve"> </w:t>
      </w:r>
      <w:r w:rsidRPr="002224F4">
        <w:rPr>
          <w:lang w:val="en-GB"/>
        </w:rPr>
        <w:t xml:space="preserve">(i.e., the share of alternative fuels would be 5% in 2030 and 63% in 2050) for all flights departing within the EU. For domestic flights in Sweden, the reduction obligation quota was assumed to increase in the decarbonization scenario, reaching 100% in 2045 in line with the adopted net-zero target </w:t>
      </w:r>
      <w:r w:rsidRPr="002224F4">
        <w:rPr>
          <w:lang w:val="en-GB"/>
        </w:rPr>
        <w:fldChar w:fldCharType="begin" w:fldLock="1"/>
      </w:r>
      <w:r>
        <w:rPr>
          <w:lang w:val="en-GB"/>
        </w:rPr>
        <w:instrText>ADDIN CSL_CITATION {"citationItems":[{"id":"ITEM-1","itemData":{"author":[{"dropping-particle":"","family":"Swedish Government","given":"","non-dropping-particle":"","parse-names":false,"suffix":""}],"id":"ITEM-1","issue":"december","issued":{"date-parts":[["2020"]]},"title":"Regeringens proposition 2019/20:65 En samlad politik för klimatet – klimatpolitisk handlingsplan (Governmental bill 2019/20:65 Joint policy for climate change - climate policy action plan)","type":"report"},"uris":["http://www.mendeley.com/documents/?uuid=c39b0f64-f807-422c-a11c-11e138ce2e91","http://www.mendeley.com/documents/?uuid=3b030af2-ec67-4241-b9aa-2c14aa2a9eee"]}],"mendeley":{"formattedCitation":"(Swedish Government, 2020a)","plainTextFormattedCitation":"(Swedish Government, 2020a)","previouslyFormattedCitation":"(Swedish Government, 2020a)"},"properties":{"noteIndex":0},"schema":"https://github.com/citation-style-language/schema/raw/master/csl-citation.json"}</w:instrText>
      </w:r>
      <w:r w:rsidRPr="002224F4">
        <w:rPr>
          <w:lang w:val="en-GB"/>
        </w:rPr>
        <w:fldChar w:fldCharType="separate"/>
      </w:r>
      <w:r w:rsidRPr="00A8555C">
        <w:rPr>
          <w:noProof/>
          <w:lang w:val="en-GB"/>
        </w:rPr>
        <w:t>(Swedish Government, 2020a)</w:t>
      </w:r>
      <w:r w:rsidRPr="002224F4">
        <w:rPr>
          <w:lang w:val="en-GB"/>
        </w:rPr>
        <w:fldChar w:fldCharType="end"/>
      </w:r>
      <w:r w:rsidRPr="002224F4">
        <w:rPr>
          <w:lang w:val="en-GB"/>
        </w:rPr>
        <w:t xml:space="preserve">. The </w:t>
      </w:r>
      <w:r w:rsidRPr="002224F4">
        <w:rPr>
          <w:lang w:val="en-GB"/>
        </w:rPr>
        <w:lastRenderedPageBreak/>
        <w:t>non-CO</w:t>
      </w:r>
      <w:r w:rsidRPr="002224F4">
        <w:rPr>
          <w:vertAlign w:val="subscript"/>
          <w:lang w:val="en-GB"/>
        </w:rPr>
        <w:t>2</w:t>
      </w:r>
      <w:r w:rsidRPr="002224F4">
        <w:rPr>
          <w:lang w:val="en-GB"/>
        </w:rPr>
        <w:t xml:space="preserve"> radiative forcing due to combustion at high altitudes of aviation fuel is still uncertain. This study assumes that the global warming potential over a 100-year time horizon is 70% higher than for the emissions of CO</w:t>
      </w:r>
      <w:r w:rsidRPr="002224F4">
        <w:rPr>
          <w:vertAlign w:val="subscript"/>
          <w:lang w:val="en-GB"/>
        </w:rPr>
        <w:t>2</w:t>
      </w:r>
      <w:r w:rsidRPr="002224F4">
        <w:rPr>
          <w:lang w:val="en-GB"/>
        </w:rPr>
        <w:t xml:space="preserve"> from fuel combustion alone </w:t>
      </w:r>
      <w:r w:rsidRPr="002224F4">
        <w:rPr>
          <w:lang w:val="en-GB"/>
        </w:rPr>
        <w:fldChar w:fldCharType="begin" w:fldLock="1"/>
      </w:r>
      <w:r>
        <w:rPr>
          <w:lang w:val="en-GB"/>
        </w:rPr>
        <w:instrText>ADDIN CSL_CITATION {"citationItems":[{"id":"ITEM-1","itemData":{"DOI":"10.1016/j.atmosenv.2020.117834","ISSN":"18732844","abstract":"Global aviation operations contribute to anthropogenic climate change via a complex set of processes that lead to a net surface warming. Of importance are aviation emissions of carbon dioxide (CO2), nitrogen oxides (NOx), water vapor, soot and sulfate aerosols, and increased cloudiness due to contrail formation. Aviation grew strongly over the past decades (1960–2018) in terms of activity, with revenue passenger kilometers increasing from 109 to 8269 billion km yr−1, and in terms of climate change impacts, with CO2 emissions increasing by a factor of 6.8 to 1034 Tg CO2 yr−1. Over the period 2013–2018, the growth rates in both terms show a marked increase. Here, we present a new comprehensive and quantitative approach for evaluating aviation climate forcing terms. Both radiative forcing (RF) and effective radiative forcing (ERF) terms and their sums are calculated for the years 2000–2018. Contrail cirrus, consisting of linear contrails and the cirrus cloudiness arising from them, yields the largest positive net (warming) ERF term followed by CO2 and NOx emissions. The formation and emission of sulfate aerosol yields a negative (cooling) term. The mean contrail cirrus ERF/RF ratio of 0.42 indicates that contrail cirrus is less effective in surface warming than other terms. For 2018 the net aviation ERF is +100.9 milliwatts (mW) m−2 (5–95% likelihood range of (55, 145)) with major contributions from contrail cirrus (57.4 mW m−2), CO2 (34.3 mW m−2), and NOx (17.5 mW m−2). Non-CO2 terms sum to yield a net positive (warming) ERF that accounts for more than half (66%) of the aviation net ERF in 2018. Using normalization to aviation fuel use, the contribution of global aviation in 2011 was calculated to be 3.5 (4.0, 3.4) % of the net anthropogenic ERF of 2290 (1130, 3330) mW m−2. Uncertainty distributions (5%, 95%) show that non-CO2 forcing terms contribute about 8 times more than CO2 to the uncertainty in the aviation net ERF in 2018. The best estimates of the ERFs from aviation aerosol-cloud interactions for soot and sulfate remain undetermined. CO2-warming-equivalent emissions based on global warming potentials (GWP* method) indicate that aviation emissions are currently warming the climate at approximately three times the rate of that associated with aviation CO2 emissions alone. CO2 and NOx aviation emissions and cloud effects remain a continued focus of anthropogenic climate change research and policy discussions.","author":[{"dropping-particle":"","family":"Lee","given":"D. S.","non-dropping-particle":"","parse-names":false,"suffix":""},{"dropping-particle":"","family":"Fahey","given":"D. W.","non-dropping-particle":"","parse-names":false,"suffix":""},{"dropping-particle":"","family":"Skowron","given":"A.","non-dropping-particle":"","parse-names":false,"suffix":""},{"dropping-particle":"","family":"Allen","given":"M. R.","non-dropping-particle":"","parse-names":false,"suffix":""},{"dropping-particle":"","family":"Burkhardt","given":"U.","non-dropping-particle":"","parse-names":false,"suffix":""},{"dropping-particle":"","family":"Chen","given":"Q.","non-dropping-particle":"","parse-names":false,"suffix":""},{"dropping-particle":"","family":"Doherty","given":"S. J.","non-dropping-particle":"","parse-names":false,"suffix":""},{"dropping-particle":"","family":"Freeman","given":"S.","non-dropping-particle":"","parse-names":false,"suffix":""},{"dropping-particle":"","family":"Forster","given":"P. M.","non-dropping-particle":"","parse-names":false,"suffix":""},{"dropping-particle":"","family":"Fuglestvedt","given":"J.","non-dropping-particle":"","parse-names":false,"suffix":""},{"dropping-particle":"","family":"Gettelman","given":"A.","non-dropping-particle":"","parse-names":false,"suffix":""},{"dropping-particle":"","family":"León","given":"R. R.","non-dropping-particle":"De","parse-names":false,"suffix":""},{"dropping-particle":"","family":"Lim","given":"L. L.","non-dropping-particle":"","parse-names":false,"suffix":""},{"dropping-particle":"","family":"Lund","given":"M. T.","non-dropping-particle":"","parse-names":false,"suffix":""},{"dropping-particle":"","family":"Millar","given":"R. J.","non-dropping-particle":"","parse-names":false,"suffix":""},{"dropping-particle":"","family":"Owen","given":"B.","non-dropping-particle":"","parse-names":false,"suffix":""},{"dropping-particle":"","family":"Penner","given":"J. E.","non-dropping-particle":"","parse-names":false,"suffix":""},{"dropping-particle":"","family":"Pitari","given":"G.","non-dropping-particle":"","parse-names":false,"suffix":""},{"dropping-particle":"","family":"Prather","given":"M. J.","non-dropping-particle":"","parse-names":false,"suffix":""},{"dropping-particle":"","family":"Sausen","given":"R.","non-dropping-particle":"","parse-names":false,"suffix":""},{"dropping-particle":"","family":"Wilcox","given":"L. J.","non-dropping-particle":"","parse-names":false,"suffix":""}],"container-title":"Atmospheric Environment","id":"ITEM-1","issue":"September 2020","issued":{"date-parts":[["2021"]]},"title":"The contribution of global aviation to anthropogenic climate forcing for 2000 to 2018","type":"article-journal","volume":"244"},"uris":["http://www.mendeley.com/documents/?uuid=8289fb6a-3f82-4210-871e-748bd044b88b"]}],"mendeley":{"formattedCitation":"(Lee et al., 2021)","plainTextFormattedCitation":"(Lee et al., 2021)","previouslyFormattedCitation":"(Lee et al., 2021)"},"properties":{"noteIndex":0},"schema":"https://github.com/citation-style-language/schema/raw/master/csl-citation.json"}</w:instrText>
      </w:r>
      <w:r w:rsidRPr="002224F4">
        <w:rPr>
          <w:lang w:val="en-GB"/>
        </w:rPr>
        <w:fldChar w:fldCharType="separate"/>
      </w:r>
      <w:r w:rsidRPr="002224F4">
        <w:rPr>
          <w:noProof/>
          <w:lang w:val="en-GB"/>
        </w:rPr>
        <w:t>(Lee et al., 2021)</w:t>
      </w:r>
      <w:r w:rsidRPr="002224F4">
        <w:rPr>
          <w:lang w:val="en-GB"/>
        </w:rPr>
        <w:fldChar w:fldCharType="end"/>
      </w:r>
      <w:r w:rsidRPr="002224F4">
        <w:rPr>
          <w:lang w:val="en-GB"/>
        </w:rPr>
        <w:t xml:space="preserve">. In the </w:t>
      </w:r>
      <w:r w:rsidRPr="002224F4">
        <w:rPr>
          <w:i/>
          <w:iCs/>
          <w:lang w:val="en-GB"/>
        </w:rPr>
        <w:t>low-carbon technologies</w:t>
      </w:r>
      <w:r w:rsidRPr="002224F4">
        <w:rPr>
          <w:lang w:val="en-GB"/>
        </w:rPr>
        <w:t xml:space="preserve"> pathway, it was assumed that measures would be put in place to reduce the non-CO</w:t>
      </w:r>
      <w:r w:rsidRPr="002224F4">
        <w:rPr>
          <w:vertAlign w:val="subscript"/>
          <w:lang w:val="en-GB"/>
        </w:rPr>
        <w:t>2</w:t>
      </w:r>
      <w:r w:rsidRPr="002224F4">
        <w:rPr>
          <w:lang w:val="en-GB"/>
        </w:rPr>
        <w:t xml:space="preserve"> radiative forcing to 28% of the CO</w:t>
      </w:r>
      <w:r w:rsidRPr="002224F4">
        <w:rPr>
          <w:vertAlign w:val="subscript"/>
          <w:lang w:val="en-GB"/>
        </w:rPr>
        <w:t>2</w:t>
      </w:r>
      <w:r w:rsidRPr="002224F4">
        <w:rPr>
          <w:lang w:val="en-GB"/>
        </w:rPr>
        <w:t xml:space="preserve"> emissions from fuel combustion alone up to 2050 (increasing linearly from 2019). Such measures include changing flight routes, which has been shown to potentially reduce the effect by half </w:t>
      </w:r>
      <w:r w:rsidRPr="002224F4">
        <w:rPr>
          <w:lang w:val="en-GB"/>
        </w:rPr>
        <w:fldChar w:fldCharType="begin" w:fldLock="1"/>
      </w:r>
      <w:r w:rsidRPr="002224F4">
        <w:rPr>
          <w:lang w:val="en-GB"/>
        </w:rPr>
        <w:instrText>ADDIN CSL_CITATION {"citationItems":[{"id":"ITEM-1","itemData":{"DOI":"10.25560/82293","author":[{"dropping-particle":"","family":"Teoh","given":"Roger","non-dropping-particle":"","parse-names":false,"suffix":""}],"id":"ITEM-1","issued":{"date-parts":[["2020"]]},"publisher":"Imperial College London","title":"Climate forcing of aircraft contrails: uncertainty quantification and mitigation potential","type":"thesis"},"uris":["http://www.mendeley.com/documents/?uuid=eb7f01b8-cb29-4bf4-be3c-9c297531c0cd","http://www.mendeley.com/documents/?uuid=fc4e41a0-92d5-40c6-9efb-01af1d525880"]}],"mendeley":{"formattedCitation":"(Teoh, 2020)","plainTextFormattedCitation":"(Teoh, 2020)","previouslyFormattedCitation":"(Teoh, 2020)"},"properties":{"noteIndex":0},"schema":"https://github.com/citation-style-language/schema/raw/master/csl-citation.json"}</w:instrText>
      </w:r>
      <w:r w:rsidRPr="002224F4">
        <w:rPr>
          <w:lang w:val="en-GB"/>
        </w:rPr>
        <w:fldChar w:fldCharType="separate"/>
      </w:r>
      <w:r w:rsidRPr="002224F4">
        <w:rPr>
          <w:noProof/>
          <w:lang w:val="en-GB"/>
        </w:rPr>
        <w:t>(Teoh, 2020)</w:t>
      </w:r>
      <w:r w:rsidRPr="002224F4">
        <w:rPr>
          <w:lang w:val="en-GB"/>
        </w:rPr>
        <w:fldChar w:fldCharType="end"/>
      </w:r>
      <w:r w:rsidRPr="002224F4">
        <w:rPr>
          <w:lang w:val="en-GB"/>
        </w:rPr>
        <w:t xml:space="preserve">, and reducing the aromatics in aviation fuel </w:t>
      </w:r>
      <w:r w:rsidRPr="002224F4">
        <w:rPr>
          <w:lang w:val="en-GB"/>
        </w:rPr>
        <w:fldChar w:fldCharType="begin" w:fldLock="1"/>
      </w:r>
      <w:r>
        <w:rPr>
          <w:lang w:val="en-GB"/>
        </w:rPr>
        <w:instrText>ADDIN CSL_CITATION {"citationItems":[{"id":"ITEM-1","itemData":{"URL":"https://eur-lex.europa.eu/legal-content/EN/TXT/?uri=SWD:2020:277:FIN","accessed":{"date-parts":[["2022","9","17"]]},"author":[{"dropping-particle":"","family":"European Commission","given":"","non-dropping-particle":"","parse-names":false,"suffix":""}],"id":"ITEM-1","issued":{"date-parts":[["2020"]]},"title":"Updated analysis of the non-CO2 climate impacts of aviation and potential policy measures pursuant to EU Emissions Trading System Directive Article 30(4)","type":"webpage"},"uris":["http://www.mendeley.com/documents/?uuid=ab39556a-2f18-4a42-a311-30b354844997","http://www.mendeley.com/documents/?uuid=0e2df226-52b9-435f-b575-502ec6d50c78"]}],"mendeley":{"formattedCitation":"(European Commission, 2020)","plainTextFormattedCitation":"(European Commission, 2020)","previouslyFormattedCitation":"(European Commission, 2020)"},"properties":{"noteIndex":0},"schema":"https://github.com/citation-style-language/schema/raw/master/csl-citation.json"}</w:instrText>
      </w:r>
      <w:r w:rsidRPr="002224F4">
        <w:rPr>
          <w:lang w:val="en-GB"/>
        </w:rPr>
        <w:fldChar w:fldCharType="separate"/>
      </w:r>
      <w:r w:rsidRPr="002224F4">
        <w:rPr>
          <w:noProof/>
          <w:lang w:val="en-GB"/>
        </w:rPr>
        <w:t>(European Commission, 2020)</w:t>
      </w:r>
      <w:r w:rsidRPr="002224F4">
        <w:rPr>
          <w:lang w:val="en-GB"/>
        </w:rPr>
        <w:fldChar w:fldCharType="end"/>
      </w:r>
      <w:r w:rsidRPr="002224F4">
        <w:rPr>
          <w:lang w:val="en-GB"/>
        </w:rPr>
        <w:t>.</w:t>
      </w:r>
    </w:p>
    <w:p w14:paraId="0100FC3F" w14:textId="77777777" w:rsidR="00E92519" w:rsidRPr="002224F4" w:rsidRDefault="00E92519" w:rsidP="00E92519">
      <w:pPr>
        <w:spacing w:line="276" w:lineRule="auto"/>
        <w:rPr>
          <w:lang w:val="en-GB"/>
        </w:rPr>
      </w:pPr>
      <w:r w:rsidRPr="002224F4">
        <w:rPr>
          <w:i/>
          <w:lang w:val="en-GB"/>
        </w:rPr>
        <w:t>Technology shifts in railways.</w:t>
      </w:r>
      <w:r w:rsidRPr="002224F4">
        <w:rPr>
          <w:lang w:val="en-GB"/>
        </w:rPr>
        <w:t xml:space="preserve"> Swedish passenger train operation is assumed to be 100% electric. For trains operated in other European countries, 80% of the passenger travel is assumed to be electric and 20% diesel-powered based on the European average for 2019 </w:t>
      </w:r>
      <w:r w:rsidRPr="002224F4">
        <w:rPr>
          <w:lang w:val="en-GB"/>
        </w:rPr>
        <w:fldChar w:fldCharType="begin" w:fldLock="1"/>
      </w:r>
      <w:r>
        <w:rPr>
          <w:lang w:val="en-GB"/>
        </w:rPr>
        <w:instrText>ADDIN CSL_CITATION {"citationItems":[{"id":"ITEM-1","itemData":{"author":[{"dropping-particle":"","family":"European Commission","given":"","non-dropping-particle":"","parse-names":false,"suffix":""}],"id":"ITEM-1","issued":{"date-parts":[["2017"]]},"publisher":"European Commission","publisher-place":"Brussels, Belgium","title":"Electrification of the Transport System: Studies and Reports","type":"report"},"uris":["http://www.mendeley.com/documents/?uuid=746bca43-65a3-4d7c-82a6-e9a9640d5701","http://www.mendeley.com/documents/?uuid=c149337e-ae4d-40b4-8e48-40be2402492c"]}],"mendeley":{"formattedCitation":"(European Commission, 2017)","plainTextFormattedCitation":"(European Commission, 2017)","previouslyFormattedCitation":"(European Commission, 2017)"},"properties":{"noteIndex":0},"schema":"https://github.com/citation-style-language/schema/raw/master/csl-citation.json"}</w:instrText>
      </w:r>
      <w:r w:rsidRPr="002224F4">
        <w:rPr>
          <w:lang w:val="en-GB"/>
        </w:rPr>
        <w:fldChar w:fldCharType="separate"/>
      </w:r>
      <w:r w:rsidRPr="002224F4">
        <w:rPr>
          <w:noProof/>
          <w:lang w:val="en-GB"/>
        </w:rPr>
        <w:t>(European Commission, 2017)</w:t>
      </w:r>
      <w:r w:rsidRPr="002224F4">
        <w:rPr>
          <w:lang w:val="en-GB"/>
        </w:rPr>
        <w:fldChar w:fldCharType="end"/>
      </w:r>
      <w:r w:rsidRPr="002224F4">
        <w:rPr>
          <w:lang w:val="en-GB"/>
        </w:rPr>
        <w:t xml:space="preserve">, which shifts to 90% electric and 10% bio/electro-fuel-powered by 2050 in the </w:t>
      </w:r>
      <w:r w:rsidRPr="002224F4">
        <w:rPr>
          <w:i/>
          <w:iCs/>
          <w:lang w:val="en-GB"/>
        </w:rPr>
        <w:t>low-carbon technologies</w:t>
      </w:r>
      <w:r w:rsidRPr="002224F4">
        <w:rPr>
          <w:lang w:val="en-GB"/>
        </w:rPr>
        <w:t xml:space="preserve"> pathway. </w:t>
      </w:r>
    </w:p>
    <w:p w14:paraId="1DD9ABCB" w14:textId="77777777" w:rsidR="00E92519" w:rsidRPr="002224F4" w:rsidRDefault="00E92519" w:rsidP="00E92519">
      <w:pPr>
        <w:spacing w:line="276" w:lineRule="auto"/>
        <w:ind w:firstLine="0"/>
        <w:rPr>
          <w:lang w:val="en-GB"/>
        </w:rPr>
      </w:pPr>
    </w:p>
    <w:p w14:paraId="42A05959" w14:textId="77777777" w:rsidR="00E92519" w:rsidRPr="002224F4" w:rsidRDefault="00E92519" w:rsidP="00E92519">
      <w:pPr>
        <w:spacing w:line="276" w:lineRule="auto"/>
        <w:rPr>
          <w:b/>
          <w:bCs/>
          <w:lang w:val="en-GB"/>
        </w:rPr>
      </w:pPr>
      <w:r w:rsidRPr="002224F4">
        <w:rPr>
          <w:b/>
          <w:bCs/>
          <w:lang w:val="en-GB"/>
        </w:rPr>
        <w:t>A.3. Carbon footprint layer – Carbon intensity: Electricity generation, fossil fuel production and use, production of alternative renewable fuels and use and battery manufacturing</w:t>
      </w:r>
    </w:p>
    <w:p w14:paraId="1C907F11" w14:textId="77777777" w:rsidR="00E92519" w:rsidRPr="002224F4" w:rsidRDefault="00E92519" w:rsidP="00E92519">
      <w:pPr>
        <w:spacing w:line="276" w:lineRule="auto"/>
        <w:rPr>
          <w:lang w:val="en-GB"/>
        </w:rPr>
      </w:pPr>
      <w:r w:rsidRPr="002224F4">
        <w:rPr>
          <w:i/>
          <w:lang w:val="en-GB"/>
        </w:rPr>
        <w:t>Electricity generation.</w:t>
      </w:r>
      <w:r w:rsidRPr="002224F4">
        <w:rPr>
          <w:lang w:val="en-GB"/>
        </w:rPr>
        <w:t xml:space="preserve"> Direct emissions in 2019 for Sweden were based on the total emissions from electricity generation divided by the total end-use of electricity </w:t>
      </w:r>
      <w:r w:rsidRPr="002224F4">
        <w:rPr>
          <w:lang w:val="en-GB"/>
        </w:rPr>
        <w:fldChar w:fldCharType="begin" w:fldLock="1"/>
      </w:r>
      <w:r w:rsidRPr="002224F4">
        <w:rPr>
          <w:lang w:val="en-GB"/>
        </w:rPr>
        <w:instrText>ADDIN CSL_CITATION {"citationItems":[{"id":"ITEM-1","itemData":{"author":[{"dropping-particle":"","family":"Swedish Energy Agency","given":"","non-dropping-particle":"","parse-names":false,"suffix":""}],"id":"ITEM-1","issued":{"date-parts":[["2021"]]},"publisher-place":"Eskilstuna, Sweden","title":"Energiläget i siffror 2021 (Energy in Sweden in numbers 2021)","type":"report"},"uris":["http://www.mendeley.com/documents/?uuid=f879c63b-4fab-4b7b-96ad-e26cb1d04f41","http://www.mendeley.com/documents/?uuid=0ecd9fb2-db79-450b-b459-c2e43ee09875"]},{"id":"ITEM-2","itemData":{"ISBN":"978-91-620-6945-2","author":[{"dropping-particle":"","family":"Swedish Environmental Protection Agency","given":"","non-dropping-particle":"","parse-names":false,"suffix":""}],"container-title":"Rapport","id":"ITEM-2","issue":"December","issued":{"date-parts":[["2020"]]},"publisher":"Swedish Environmental Protection Agency","publisher-place":"Stockholm, Sweden","title":"Fördjupad analys av den svenska klimatomställningen 2020 - Klimat och luft i fokus (In-depth analysis of the Swedish climate transition 2019 - Climate and air pollution in focus)","type":"report","volume":"6945"},"uris":["http://www.mendeley.com/documents/?uuid=dfafb301-9af4-4a52-b2e6-a9f39612755d","http://www.mendeley.com/documents/?uuid=4b8bbc2f-9856-4a52-a523-d9897ad9972c"]}],"mendeley":{"formattedCitation":"(Swedish Energy Agency, 2021; Swedish Environmental Protection Agency, 2020)","plainTextFormattedCitation":"(Swedish Energy Agency, 2021; Swedish Environmental Protection Agency, 2020)","previouslyFormattedCitation":"(Swedish Energy Agency, 2021; Swedish Environmental Protection Agency, 2020)"},"properties":{"noteIndex":0},"schema":"https://github.com/citation-style-language/schema/raw/master/csl-citation.json"}</w:instrText>
      </w:r>
      <w:r w:rsidRPr="002224F4">
        <w:rPr>
          <w:lang w:val="en-GB"/>
        </w:rPr>
        <w:fldChar w:fldCharType="separate"/>
      </w:r>
      <w:r w:rsidRPr="002224F4">
        <w:rPr>
          <w:noProof/>
          <w:lang w:val="en-GB"/>
        </w:rPr>
        <w:t>(Swedish Energy Agency, 2021; Swedish Environmental Protection Agency, 2020)</w:t>
      </w:r>
      <w:r w:rsidRPr="002224F4">
        <w:rPr>
          <w:lang w:val="en-GB"/>
        </w:rPr>
        <w:fldChar w:fldCharType="end"/>
      </w:r>
      <w:r w:rsidRPr="002224F4">
        <w:rPr>
          <w:lang w:val="en-GB"/>
        </w:rPr>
        <w:t xml:space="preserve"> and were assumed to decrease to zero by 2045 in both climate policy pathways given the adopted climate targets and intentions stated by the Swedish Government </w:t>
      </w:r>
      <w:r w:rsidRPr="002224F4">
        <w:rPr>
          <w:lang w:val="en-GB"/>
        </w:rPr>
        <w:fldChar w:fldCharType="begin" w:fldLock="1"/>
      </w:r>
      <w:r>
        <w:rPr>
          <w:lang w:val="en-GB"/>
        </w:rPr>
        <w:instrText>ADDIN CSL_CITATION {"citationItems":[{"id":"ITEM-1","itemData":{"author":[{"dropping-particle":"","family":"Swedish Government","given":"","non-dropping-particle":"","parse-names":false,"suffix":""}],"id":"ITEM-1","issue":"december","issued":{"date-parts":[["2020"]]},"title":"Regeringens proposition 2019/20:65 En samlad politik för klimatet – klimatpolitisk handlingsplan (Governmental bill 2019/20:65 Joint policy for climate change - climate policy action plan)","type":"report"},"uris":["http://www.mendeley.com/documents/?uuid=3b030af2-ec67-4241-b9aa-2c14aa2a9eee","http://www.mendeley.com/documents/?uuid=c39b0f64-f807-422c-a11c-11e138ce2e91"]}],"mendeley":{"formattedCitation":"(Swedish Government, 2020a)","plainTextFormattedCitation":"(Swedish Government, 2020a)","previouslyFormattedCitation":"(Swedish Government, 2020a)"},"properties":{"noteIndex":0},"schema":"https://github.com/citation-style-language/schema/raw/master/csl-citation.json"}</w:instrText>
      </w:r>
      <w:r w:rsidRPr="002224F4">
        <w:rPr>
          <w:lang w:val="en-GB"/>
        </w:rPr>
        <w:fldChar w:fldCharType="separate"/>
      </w:r>
      <w:r w:rsidRPr="00A8555C">
        <w:rPr>
          <w:noProof/>
          <w:lang w:val="en-GB"/>
        </w:rPr>
        <w:t>(Swedish Government, 2020a)</w:t>
      </w:r>
      <w:r w:rsidRPr="002224F4">
        <w:rPr>
          <w:lang w:val="en-GB"/>
        </w:rPr>
        <w:fldChar w:fldCharType="end"/>
      </w:r>
      <w:r w:rsidRPr="002224F4">
        <w:rPr>
          <w:lang w:val="en-GB"/>
        </w:rPr>
        <w:t>. Direct emissions in 2019 for the EU were based on the average greenhouse gas intensity for 2017</w:t>
      </w:r>
      <w:r w:rsidRPr="002224F4">
        <w:rPr>
          <w:rFonts w:ascii="Symbol" w:eastAsia="Symbol" w:hAnsi="Symbol" w:cs="Symbol"/>
          <w:lang w:val="en-GB"/>
        </w:rPr>
        <w:t>-</w:t>
      </w:r>
      <w:r w:rsidRPr="002224F4">
        <w:rPr>
          <w:lang w:val="en-GB"/>
        </w:rPr>
        <w:t xml:space="preserve">2019 </w:t>
      </w:r>
      <w:r w:rsidRPr="002224F4">
        <w:rPr>
          <w:lang w:val="en-GB"/>
        </w:rPr>
        <w:fldChar w:fldCharType="begin" w:fldLock="1"/>
      </w:r>
      <w:r>
        <w:rPr>
          <w:lang w:val="en-GB"/>
        </w:rPr>
        <w:instrText>ADDIN CSL_CITATION {"citationItems":[{"id":"ITEM-1","itemData":{"URL":"https://www.eea.europa.eu/ims/greenhouse-gas-emission-intensity-of-1","accessed":{"date-parts":[["2021","10","1"]]},"author":[{"dropping-particle":"","family":"European Environment Agency","given":"","non-dropping-particle":"","parse-names":false,"suffix":""}],"id":"ITEM-1","issued":{"date-parts":[["2021"]]},"title":"Greenhouse gas emission intensity of electricity generation in Europe","type":"webpage"},"uris":["http://www.mendeley.com/documents/?uuid=55036962-8159-4fa0-a59d-d7241cccc0ac","http://www.mendeley.com/documents/?uuid=b68fa219-860f-4b42-ba51-939e783ba2f9"]}],"mendeley":{"formattedCitation":"(European Environment Agency, 2021)","plainTextFormattedCitation":"(European Environment Agency, 2021)","previouslyFormattedCitation":"(European Environment Agency, 2021)"},"properties":{"noteIndex":0},"schema":"https://github.com/citation-style-language/schema/raw/master/csl-citation.json"}</w:instrText>
      </w:r>
      <w:r w:rsidRPr="002224F4">
        <w:rPr>
          <w:lang w:val="en-GB"/>
        </w:rPr>
        <w:fldChar w:fldCharType="separate"/>
      </w:r>
      <w:r w:rsidRPr="002224F4">
        <w:rPr>
          <w:noProof/>
          <w:lang w:val="en-GB"/>
        </w:rPr>
        <w:t>(European Environment Agency, 2021)</w:t>
      </w:r>
      <w:r w:rsidRPr="002224F4">
        <w:rPr>
          <w:lang w:val="en-GB"/>
        </w:rPr>
        <w:fldChar w:fldCharType="end"/>
      </w:r>
      <w:r w:rsidRPr="002224F4">
        <w:rPr>
          <w:lang w:val="en-GB"/>
        </w:rPr>
        <w:t xml:space="preserve"> and were assumed to decrease in line with scenarios provided by the </w:t>
      </w:r>
      <w:r w:rsidRPr="002224F4">
        <w:rPr>
          <w:lang w:val="en-GB"/>
        </w:rPr>
        <w:fldChar w:fldCharType="begin" w:fldLock="1"/>
      </w:r>
      <w:r w:rsidRPr="002224F4">
        <w:rPr>
          <w:lang w:val="en-GB"/>
        </w:rPr>
        <w:instrText>ADDIN CSL_CITATION {"citationItems":[{"id":"ITEM-1","itemData":{"author":[{"dropping-particle":"","family":"European Commission","given":"","non-dropping-particle":"","parse-names":false,"suffix":""}],"id":"ITEM-1","issue":"November","issued":{"date-parts":[["2018"]]},"publisher-place":"Brussels, Belgium","title":"In-depth analysis in support of the Commission communication COM(2018) 773 - A Clean Planet for all - A European long-term strategic vision for a prosperous, modern, competitive and climate neutral economy","type":"report"},"uris":["http://www.mendeley.com/documents/?uuid=f142b787-98d7-4996-b227-18b9877501f1","http://www.mendeley.com/documents/?uuid=20ac9cfe-f1a5-410c-a391-a4016b6ec7d8"]}],"mendeley":{"formattedCitation":"(European Commission, 2018)","manualFormatting":"European Commission (2018)","plainTextFormattedCitation":"(European Commission, 2018)","previouslyFormattedCitation":"(European Commission, 2018)"},"properties":{"noteIndex":0},"schema":"https://github.com/citation-style-language/schema/raw/master/csl-citation.json"}</w:instrText>
      </w:r>
      <w:r w:rsidRPr="002224F4">
        <w:rPr>
          <w:lang w:val="en-GB"/>
        </w:rPr>
        <w:fldChar w:fldCharType="separate"/>
      </w:r>
      <w:r w:rsidRPr="002224F4">
        <w:rPr>
          <w:noProof/>
          <w:lang w:val="en-GB"/>
        </w:rPr>
        <w:t>European Commission (2018)</w:t>
      </w:r>
      <w:r w:rsidRPr="002224F4">
        <w:rPr>
          <w:lang w:val="en-GB"/>
        </w:rPr>
        <w:fldChar w:fldCharType="end"/>
      </w:r>
      <w:r w:rsidRPr="002224F4">
        <w:rPr>
          <w:lang w:val="en-GB"/>
        </w:rPr>
        <w:t xml:space="preserve">, reaching zero by 2058 when the cap on the EU’s emissions trading scheme reaches zero. Note that distribution and transmission losses were accounted for in the carbon intensity. In addition to direct emissions, upstream emissions from the production of fuels and power stations (except for hydro and nuclear power stations due to their long lifetimes) were added using a weighted emissions factor. The weighted emissions factor was considered specifically for an electricity mix and year, based on estimates by </w:t>
      </w:r>
      <w:r w:rsidRPr="002224F4">
        <w:rPr>
          <w:lang w:val="en-GB"/>
        </w:rPr>
        <w:fldChar w:fldCharType="begin" w:fldLock="1"/>
      </w:r>
      <w:r w:rsidRPr="002224F4">
        <w:rPr>
          <w:lang w:val="en-GB"/>
        </w:rPr>
        <w:instrText>ADDIN CSL_CITATION {"citationItems":[{"id":"ITEM-1","itemData":{"DOI":"10.1038/s41560-017-0032-9","ISBN":"4156001700329","ISSN":"20587546","abstract":"Both fossil-fuel and non-fossil-fuel power technologies induce life-cycle greenhouse gas emissions, mainly due to their embodied energy requirements for construction and operation, and upstream CH4 emissions. Here, we integrate prospective life-cycle assessment with global integrated energy-economy-land-use-climate modelling to explore life-cycle emissions of future low-carbon power supply systems and implications for technology choice. Future per-unit life-cycle emissions differ substantially across technologies. For a climate protection scenario, we project life-cycle emissions from fossil fuel carbon capture and sequestration plants of 78-110 gCO2eq kWh-1, compared with 3.5-12 gCO2eq kWh-1 for nuclear, wind and solar power for 2050. Life-cycle emissions from hydropower and bioenergy are substantial (~100 gCO2eq kWh-1), but highly uncertain. We find that cumulative emissions attributable to upscaling low-carbon power other than hydropower are small compared with direct sectoral fossil fuel emissions and the total carbon budget. Fully considering life-cycle greenhouse gas emissions has only modest effects on the scale and structure of power production in cost-optimal mitigation scenarios.","author":[{"dropping-particle":"","family":"Pehl","given":"Michaja","non-dropping-particle":"","parse-names":false,"suffix":""},{"dropping-particle":"","family":"Arvesen","given":"Anders","non-dropping-particle":"","parse-names":false,"suffix":""},{"dropping-particle":"","family":"Humpenöder","given":"Florian","non-dropping-particle":"","parse-names":false,"suffix":""},{"dropping-particle":"","family":"Popp","given":"Alexander","non-dropping-particle":"","parse-names":false,"suffix":""},{"dropping-particle":"","family":"Hertwich","given":"Edgar G.","non-dropping-particle":"","parse-names":false,"suffix":""},{"dropping-particle":"","family":"Luderer","given":"Gunnar","non-dropping-particle":"","parse-names":false,"suffix":""}],"container-title":"Nature Energy","id":"ITEM-1","issue":"12","issued":{"date-parts":[["2017"]]},"page":"939-945","publisher":"Springer US","title":"Understanding future emissions from low-carbon power systems by integration of life-cycle assessment and integrated energy modelling","type":"article-journal","volume":"2"},"uris":["http://www.mendeley.com/documents/?uuid=6b69c8d1-147f-46c9-b8a2-faa0b57711d6","http://www.mendeley.com/documents/?uuid=ff8703fd-bf59-4900-91de-0399321306c6"]}],"mendeley":{"formattedCitation":"(Pehl et al., 2017)","manualFormatting":"Pehl et al. (2017)","plainTextFormattedCitation":"(Pehl et al., 2017)","previouslyFormattedCitation":"(Pehl et al., 2017)"},"properties":{"noteIndex":0},"schema":"https://github.com/citation-style-language/schema/raw/master/csl-citation.json"}</w:instrText>
      </w:r>
      <w:r w:rsidRPr="002224F4">
        <w:rPr>
          <w:lang w:val="en-GB"/>
        </w:rPr>
        <w:fldChar w:fldCharType="separate"/>
      </w:r>
      <w:r w:rsidRPr="002224F4">
        <w:rPr>
          <w:noProof/>
          <w:lang w:val="en-GB"/>
        </w:rPr>
        <w:t>Pehl et al. (2017)</w:t>
      </w:r>
      <w:r w:rsidRPr="002224F4">
        <w:rPr>
          <w:lang w:val="en-GB"/>
        </w:rPr>
        <w:fldChar w:fldCharType="end"/>
      </w:r>
      <w:r w:rsidRPr="002224F4">
        <w:rPr>
          <w:lang w:val="en-GB"/>
        </w:rPr>
        <w:t xml:space="preserve"> for different electricity generation technologies for the respective climate policy pathways.</w:t>
      </w:r>
    </w:p>
    <w:p w14:paraId="6E677528" w14:textId="77777777" w:rsidR="00E92519" w:rsidRPr="002224F4" w:rsidRDefault="00E92519" w:rsidP="00E92519">
      <w:pPr>
        <w:spacing w:line="276" w:lineRule="auto"/>
        <w:rPr>
          <w:lang w:val="en-GB"/>
        </w:rPr>
      </w:pPr>
      <w:r w:rsidRPr="002224F4">
        <w:rPr>
          <w:i/>
          <w:lang w:val="en-GB"/>
        </w:rPr>
        <w:t>Fossil fuel production and use.</w:t>
      </w:r>
      <w:r w:rsidRPr="002224F4">
        <w:rPr>
          <w:lang w:val="en-GB"/>
        </w:rPr>
        <w:t xml:space="preserve"> The combustion of fossil fuels was assumed to give rise to 249g CO</w:t>
      </w:r>
      <w:r w:rsidRPr="002224F4">
        <w:rPr>
          <w:vertAlign w:val="subscript"/>
          <w:lang w:val="en-GB"/>
        </w:rPr>
        <w:t>2</w:t>
      </w:r>
      <w:r w:rsidRPr="002224F4">
        <w:rPr>
          <w:lang w:val="en-GB"/>
        </w:rPr>
        <w:t xml:space="preserve">/kWh for planes </w:t>
      </w:r>
      <w:r w:rsidRPr="002224F4">
        <w:rPr>
          <w:lang w:val="en-GB"/>
        </w:rPr>
        <w:fldChar w:fldCharType="begin" w:fldLock="1"/>
      </w:r>
      <w:r>
        <w:rPr>
          <w:lang w:val="en-GB"/>
        </w:rPr>
        <w:instrText>ADDIN CSL_CITATION {"citationItems":[{"id":"ITEM-1","itemData":{"DOI":"10.1038/nclimate2865","ISSN":"1758-678X","abstract":"In response to strong growth in air transportation CO2 emissions, governments and industry began to explore and implement mitigation measures and targets in the early 2000s. However, in the absence of rigorous analyses assessing the costs for mitigating CO2 emissions, these policies could be economically wasteful. Here we identify the cost-effectiveness of CO2 emission reductions from narrow-body aircraft, the workhorse of passenger air transportation. We find that in the US, a combination of fuel burn reduction strategies could reduce the 2012 level of life cycle CO2 emissions per passenger kilometre by around 2% per year to mid-century. These intensity reductions would occur at zero marginal costs for oil prices between US$50-100 per barrel. Even larger reductions are possible, but could impose extra costs and require the adoption of biomass-based synthetic fuels. The extent to which these intensity reductions will translate into absolute emissions reductions will depend on fleet growth.","author":[{"dropping-particle":"","family":"Schäfer","given":"Andreas W.","non-dropping-particle":"","parse-names":false,"suffix":""},{"dropping-particle":"","family":"Evans","given":"Antony D.","non-dropping-particle":"","parse-names":false,"suffix":""},{"dropping-particle":"","family":"Reynolds","given":"Tom G.","non-dropping-particle":"","parse-names":false,"suffix":""},{"dropping-particle":"","family":"Dray","given":"Lynnette","non-dropping-particle":"","parse-names":false,"suffix":""}],"container-title":"Nature Climate Change","id":"ITEM-1","issue":"4","issued":{"date-parts":[["2016","4","23"]]},"page":"412-417","title":"Costs of mitigating CO2 emissions from passenger aircraft","type":"article-journal","volume":"6"},"uris":["http://www.mendeley.com/documents/?uuid=1b7686fe-d2d7-40c1-8eb0-a3cb8c4788a5","http://www.mendeley.com/documents/?uuid=5cac2c7f-718b-4897-957e-47219995ebb9"]}],"mendeley":{"formattedCitation":"(Schäfer et al., 2016)","plainTextFormattedCitation":"(Schäfer et al., 2016)","previouslyFormattedCitation":"(Schäfer et al., 2016)"},"properties":{"noteIndex":0},"schema":"https://github.com/citation-style-language/schema/raw/master/csl-citation.json"}</w:instrText>
      </w:r>
      <w:r w:rsidRPr="002224F4">
        <w:rPr>
          <w:lang w:val="en-GB"/>
        </w:rPr>
        <w:fldChar w:fldCharType="separate"/>
      </w:r>
      <w:r w:rsidRPr="002224F4">
        <w:rPr>
          <w:noProof/>
          <w:lang w:val="en-GB"/>
        </w:rPr>
        <w:t>(Schäfer et al., 2016)</w:t>
      </w:r>
      <w:r w:rsidRPr="002224F4">
        <w:rPr>
          <w:lang w:val="en-GB"/>
        </w:rPr>
        <w:fldChar w:fldCharType="end"/>
      </w:r>
      <w:r w:rsidRPr="002224F4">
        <w:rPr>
          <w:lang w:val="en-GB"/>
        </w:rPr>
        <w:t xml:space="preserve"> and 259g CO</w:t>
      </w:r>
      <w:r w:rsidRPr="002224F4">
        <w:rPr>
          <w:vertAlign w:val="subscript"/>
          <w:lang w:val="en-GB"/>
        </w:rPr>
        <w:t>2</w:t>
      </w:r>
      <w:r w:rsidRPr="002224F4">
        <w:rPr>
          <w:lang w:val="en-GB"/>
        </w:rPr>
        <w:t xml:space="preserve">/kWh for trains, equivalent to a diesel </w:t>
      </w:r>
      <w:r>
        <w:rPr>
          <w:lang w:val="en-GB"/>
        </w:rPr>
        <w:t xml:space="preserve">passenger </w:t>
      </w:r>
      <w:r w:rsidRPr="002224F4">
        <w:rPr>
          <w:lang w:val="en-GB"/>
        </w:rPr>
        <w:t xml:space="preserve">car </w:t>
      </w:r>
      <w:r w:rsidRPr="002224F4">
        <w:rPr>
          <w:lang w:val="en-GB"/>
        </w:rPr>
        <w:fldChar w:fldCharType="begin" w:fldLock="1"/>
      </w:r>
      <w:r w:rsidRPr="002224F4">
        <w:rPr>
          <w:lang w:val="en-GB"/>
        </w:rPr>
        <w:instrText>ADDIN CSL_CITATION {"citationItems":[{"id":"ITEM-1","itemData":{"DOI":"10.1016/j.trd.2021.102807","ISSN":"13619209","author":[{"dropping-particle":"","family":"Morfeldt","given":"Johannes","non-dropping-particle":"","parse-names":false,"suffix":""},{"dropping-particle":"","family":"Davidsson Kurland","given":"Simon","non-dropping-particle":"","parse-names":false,"suffix":""},{"dropping-particle":"","family":"Johansson","given":"Daniel J.A.","non-dropping-particle":"","parse-names":false,"suffix":""}],"container-title":"Transportation Research Part D: Transport and Environment","id":"ITEM-1","issued":{"date-parts":[["2021","6"]]},"page":"102807","title":"Carbon footprint impacts of banning cars with internal combustion engines","type":"article-journal","volume":"95"},"uris":["http://www.mendeley.com/documents/?uuid=9044a038-15c9-4b80-af90-5f624b392ec1","http://www.mendeley.com/documents/?uuid=65774be3-645e-4bda-8410-81ae20279cad"]}],"mendeley":{"formattedCitation":"(Morfeldt et al., 2021)","plainTextFormattedCitation":"(Morfeldt et al., 2021)","previouslyFormattedCitation":"(Morfeldt et al., 2021)"},"properties":{"noteIndex":0},"schema":"https://github.com/citation-style-language/schema/raw/master/csl-citation.json"}</w:instrText>
      </w:r>
      <w:r w:rsidRPr="002224F4">
        <w:rPr>
          <w:lang w:val="en-GB"/>
        </w:rPr>
        <w:fldChar w:fldCharType="separate"/>
      </w:r>
      <w:r w:rsidRPr="002224F4">
        <w:rPr>
          <w:noProof/>
          <w:lang w:val="en-GB"/>
        </w:rPr>
        <w:t>(Morfeldt et al., 2021)</w:t>
      </w:r>
      <w:r w:rsidRPr="002224F4">
        <w:rPr>
          <w:lang w:val="en-GB"/>
        </w:rPr>
        <w:fldChar w:fldCharType="end"/>
      </w:r>
      <w:r w:rsidRPr="002224F4">
        <w:rPr>
          <w:lang w:val="en-GB"/>
        </w:rPr>
        <w:t>. Upstream emissions for aviation fuel were estimated at 66g CO</w:t>
      </w:r>
      <w:r w:rsidRPr="002224F4">
        <w:rPr>
          <w:vertAlign w:val="subscript"/>
          <w:lang w:val="en-GB"/>
        </w:rPr>
        <w:t>2</w:t>
      </w:r>
      <w:r w:rsidRPr="002224F4">
        <w:rPr>
          <w:lang w:val="en-GB"/>
        </w:rPr>
        <w:t xml:space="preserve">/kWh </w:t>
      </w:r>
      <w:r w:rsidRPr="002224F4">
        <w:rPr>
          <w:lang w:val="en-GB"/>
        </w:rPr>
        <w:fldChar w:fldCharType="begin" w:fldLock="1"/>
      </w:r>
      <w:r>
        <w:rPr>
          <w:lang w:val="en-GB"/>
        </w:rPr>
        <w:instrText>ADDIN CSL_CITATION {"citationItems":[{"id":"ITEM-1","itemData":{"DOI":"10.1038/nclimate2865","ISSN":"1758-678X","abstract":"In response to strong growth in air transportation CO2 emissions, governments and industry began to explore and implement mitigation measures and targets in the early 2000s. However, in the absence of rigorous analyses assessing the costs for mitigating CO2 emissions, these policies could be economically wasteful. Here we identify the cost-effectiveness of CO2 emission reductions from narrow-body aircraft, the workhorse of passenger air transportation. We find that in the US, a combination of fuel burn reduction strategies could reduce the 2012 level of life cycle CO2 emissions per passenger kilometre by around 2% per year to mid-century. These intensity reductions would occur at zero marginal costs for oil prices between US$50-100 per barrel. Even larger reductions are possible, but could impose extra costs and require the adoption of biomass-based synthetic fuels. The extent to which these intensity reductions will translate into absolute emissions reductions will depend on fleet growth.","author":[{"dropping-particle":"","family":"Schäfer","given":"Andreas W.","non-dropping-particle":"","parse-names":false,"suffix":""},{"dropping-particle":"","family":"Evans","given":"Antony D.","non-dropping-particle":"","parse-names":false,"suffix":""},{"dropping-particle":"","family":"Reynolds","given":"Tom G.","non-dropping-particle":"","parse-names":false,"suffix":""},{"dropping-particle":"","family":"Dray","given":"Lynnette","non-dropping-particle":"","parse-names":false,"suffix":""}],"container-title":"Nature Climate Change","id":"ITEM-1","issue":"4","issued":{"date-parts":[["2016","4","23"]]},"page":"412-417","title":"Costs of mitigating CO2 emissions from passenger aircraft","type":"article-journal","volume":"6"},"uris":["http://www.mendeley.com/documents/?uuid=5cac2c7f-718b-4897-957e-47219995ebb9"]}],"mendeley":{"formattedCitation":"(Schäfer et al., 2016)","plainTextFormattedCitation":"(Schäfer et al., 2016)","previouslyFormattedCitation":"(Schäfer et al., 2016)"},"properties":{"noteIndex":0},"schema":"https://github.com/citation-style-language/schema/raw/master/csl-citation.json"}</w:instrText>
      </w:r>
      <w:r w:rsidRPr="002224F4">
        <w:rPr>
          <w:lang w:val="en-GB"/>
        </w:rPr>
        <w:fldChar w:fldCharType="separate"/>
      </w:r>
      <w:r w:rsidRPr="002224F4">
        <w:rPr>
          <w:noProof/>
          <w:lang w:val="en-GB"/>
        </w:rPr>
        <w:t>(Schäfer et al., 2016)</w:t>
      </w:r>
      <w:r w:rsidRPr="002224F4">
        <w:rPr>
          <w:lang w:val="en-GB"/>
        </w:rPr>
        <w:fldChar w:fldCharType="end"/>
      </w:r>
      <w:r w:rsidRPr="002224F4">
        <w:rPr>
          <w:lang w:val="en-GB"/>
        </w:rPr>
        <w:t>, which is close to the estimate of 63g CO</w:t>
      </w:r>
      <w:r w:rsidRPr="002224F4">
        <w:rPr>
          <w:vertAlign w:val="subscript"/>
          <w:lang w:val="en-GB"/>
        </w:rPr>
        <w:t>2</w:t>
      </w:r>
      <w:r w:rsidRPr="002224F4">
        <w:rPr>
          <w:lang w:val="en-GB"/>
        </w:rPr>
        <w:t xml:space="preserve">/kWh estimated for liquid fossil fuels </w:t>
      </w:r>
      <w:r w:rsidRPr="002224F4">
        <w:rPr>
          <w:lang w:val="en-GB"/>
        </w:rPr>
        <w:fldChar w:fldCharType="begin" w:fldLock="1"/>
      </w:r>
      <w:r>
        <w:rPr>
          <w:lang w:val="en-GB"/>
        </w:rPr>
        <w:instrText>ADDIN CSL_CITATION {"citationItems":[{"id":"ITEM-1","itemData":{"DOI":"10.1126/science.aar6859","ISSN":"0036-8075","PMID":"30166477","abstract":"New data enable targeted policy to lessen GHG emissions","author":[{"dropping-particle":"","family":"Masnadi","given":"Mohammad S.","non-dropping-particle":"","parse-names":false,"suffix":""},{"dropping-particle":"","family":"El-Houjeiri","given":"Hassan M.","non-dropping-particle":"","parse-names":false,"suffix":""},{"dropping-particle":"","family":"Schunack","given":"Dominik","non-dropping-particle":"","parse-names":false,"suffix":""},{"dropping-particle":"","family":"Li","given":"Yunpo","non-dropping-particle":"","parse-names":false,"suffix":""},{"dropping-particle":"","family":"Englander","given":"Jacob G.","non-dropping-particle":"","parse-names":false,"suffix":""},{"dropping-particle":"","family":"Badahdah","given":"Alhassan","non-dropping-particle":"","parse-names":false,"suffix":""},{"dropping-particle":"","family":"Monfort","given":"Jean-Christophe","non-dropping-particle":"","parse-names":false,"suffix":""},{"dropping-particle":"","family":"Anderson","given":"James E.","non-dropping-particle":"","parse-names":false,"suffix":""},{"dropping-particle":"","family":"Wallington","given":"Timothy J.","non-dropping-particle":"","parse-names":false,"suffix":""},{"dropping-particle":"","family":"Bergerson","given":"Joule A.","non-dropping-particle":"","parse-names":false,"suffix":""},{"dropping-particle":"","family":"Gordon","given":"Deborah","non-dropping-particle":"","parse-names":false,"suffix":""},{"dropping-particle":"","family":"Koomey","given":"Jonathan","non-dropping-particle":"","parse-names":false,"suffix":""},{"dropping-particle":"","family":"Przesmitzki","given":"Steven","non-dropping-particle":"","parse-names":false,"suffix":""},{"dropping-particle":"","family":"Azevedo","given":"Inês L.","non-dropping-particle":"","parse-names":false,"suffix":""},{"dropping-particle":"","family":"Bi","given":"Xiaotao T.","non-dropping-particle":"","parse-names":false,"suffix":""},{"dropping-particle":"","family":"Duffy","given":"James E.","non-dropping-particle":"","parse-names":false,"suffix":""},{"dropping-particle":"","family":"Heath","given":"Garvin A.","non-dropping-particle":"","parse-names":false,"suffix":""},{"dropping-particle":"","family":"Keoleian","given":"Gregory A.","non-dropping-particle":"","parse-names":false,"suffix":""},{"dropping-particle":"","family":"McGlade","given":"Christophe","non-dropping-particle":"","parse-names":false,"suffix":""},{"dropping-particle":"","family":"Meehan","given":"D. Nathan","non-dropping-particle":"","parse-names":false,"suffix":""},{"dropping-particle":"","family":"Yeh","given":"Sonia","non-dropping-particle":"","parse-names":false,"suffix":""},{"dropping-particle":"","family":"You","given":"Fengqi","non-dropping-particle":"","parse-names":false,"suffix":""},{"dropping-particle":"","family":"Wang","given":"Michael","non-dropping-particle":"","parse-names":false,"suffix":""},{"dropping-particle":"","family":"Brandt","given":"Adam R.","non-dropping-particle":"","parse-names":false,"suffix":""}],"container-title":"Science","id":"ITEM-1","issue":"6405","issued":{"date-parts":[["2018","8","31"]]},"page":"851-853","title":"Global carbon intensity of crude oil production","type":"article-journal","volume":"361"},"uris":["http://www.mendeley.com/documents/?uuid=0dad5ae2-0ddc-4fdd-99bd-0e42540aa1c0"]}],"mendeley":{"formattedCitation":"(Masnadi et al., 2018)","plainTextFormattedCitation":"(Masnadi et al., 2018)","previouslyFormattedCitation":"(Masnadi et al., 2018)"},"properties":{"noteIndex":0},"schema":"https://github.com/citation-style-language/schema/raw/master/csl-citation.json"}</w:instrText>
      </w:r>
      <w:r w:rsidRPr="002224F4">
        <w:rPr>
          <w:lang w:val="en-GB"/>
        </w:rPr>
        <w:fldChar w:fldCharType="separate"/>
      </w:r>
      <w:r w:rsidRPr="002224F4">
        <w:rPr>
          <w:noProof/>
          <w:lang w:val="en-GB"/>
        </w:rPr>
        <w:t>(Masnadi et al., 2018)</w:t>
      </w:r>
      <w:r w:rsidRPr="002224F4">
        <w:rPr>
          <w:lang w:val="en-GB"/>
        </w:rPr>
        <w:fldChar w:fldCharType="end"/>
      </w:r>
      <w:r w:rsidRPr="002224F4">
        <w:rPr>
          <w:lang w:val="en-GB"/>
        </w:rPr>
        <w:t xml:space="preserve">. Liquid fossil fuel production was assumed to decarbonize in the </w:t>
      </w:r>
      <w:r w:rsidRPr="002224F4">
        <w:rPr>
          <w:i/>
          <w:iCs/>
          <w:lang w:val="en-GB"/>
        </w:rPr>
        <w:t>low-carbon technologies</w:t>
      </w:r>
      <w:r w:rsidRPr="002224F4">
        <w:rPr>
          <w:lang w:val="en-GB"/>
        </w:rPr>
        <w:t xml:space="preserve"> pathway</w:t>
      </w:r>
      <w:r w:rsidRPr="002224F4" w:rsidDel="00A657BA">
        <w:rPr>
          <w:lang w:val="en-GB"/>
        </w:rPr>
        <w:t xml:space="preserve"> </w:t>
      </w:r>
      <w:r w:rsidRPr="002224F4">
        <w:rPr>
          <w:lang w:val="en-GB"/>
        </w:rPr>
        <w:t xml:space="preserve">by realizing emissions reduction potentials in refineries equivalent to 50% of current refinery-related emissions by 2070 </w:t>
      </w:r>
      <w:r w:rsidRPr="002224F4">
        <w:rPr>
          <w:lang w:val="en-GB"/>
        </w:rPr>
        <w:fldChar w:fldCharType="begin" w:fldLock="1"/>
      </w:r>
      <w:r w:rsidRPr="002224F4">
        <w:rPr>
          <w:lang w:val="en-GB"/>
        </w:rPr>
        <w:instrText>ADDIN CSL_CITATION {"citationItems":[{"id":"ITEM-1","itemData":{"DOI":"10.1038/s41558-020-0775-3","ISBN":"4155802007","ISSN":"17586798","abstract":"Changing market demand and increasing environmental regulations challenge the refining industry to shift crude slates and reconfigure production processes while reducing emissions. Yet sellers and buyers remain unaware of the carbon footprint of individual marketable networks, and each crude oil has different specifications and is processed in different destination markets. Here we show the global refining carbon intensity at country level and crude level are 13.9–62.1 kg of CO2-equivalent (CO2e) per barrel and 10.1–72.1 kgCO2e per barrel, respectively, with a volume-weighted average of 40.7 kgCO2e per barrel (equivalent to 7.3 gCO2e MJ−1) and energy use of 606 MJ per barrel. We used bottom-up engineering-based refinery modelling on crude oils representing 93% of 2015 global refining throughput. On the basis of projected oil consumption under 2 °C scenarios, the industry could save 56–79 GtCO2e to 2100 by targeting primary emission sources. These results provide guidance on climate-sensitive refining choices and future investment in emissions mitigation technologies.","author":[{"dropping-particle":"","family":"Jing","given":"Liang","non-dropping-particle":"","parse-names":false,"suffix":""},{"dropping-particle":"","family":"El-Houjeiri","given":"Hassan M.","non-dropping-particle":"","parse-names":false,"suffix":""},{"dropping-particle":"","family":"Monfort","given":"Jean Christophe","non-dropping-particle":"","parse-names":false,"suffix":""},{"dropping-particle":"","family":"Brandt","given":"Adam R.","non-dropping-particle":"","parse-names":false,"suffix":""},{"dropping-particle":"","family":"Masnadi","given":"Mohammad S.","non-dropping-particle":"","parse-names":false,"suffix":""},{"dropping-particle":"","family":"Gordon","given":"Deborah","non-dropping-particle":"","parse-names":false,"suffix":""},{"dropping-particle":"","family":"Bergerson","given":"Joule A.","non-dropping-particle":"","parse-names":false,"suffix":""}],"container-title":"Nature Climate Change","id":"ITEM-1","issue":"6","issued":{"date-parts":[["2020"]]},"page":"526-532","publisher":"Springer US","title":"Carbon intensity of global crude oil refining and mitigation potential","type":"article-journal","volume":"10"},"uris":["http://www.mendeley.com/documents/?uuid=ff4668e8-9cf7-4b28-ac03-61f69c4d7d69","http://www.mendeley.com/documents/?uuid=d3b7fc9f-057a-44f7-938c-a513b87cdfeb"]}],"mendeley":{"formattedCitation":"(Jing et al., 2020)","plainTextFormattedCitation":"(Jing et al., 2020)","previouslyFormattedCitation":"(Jing et al., 2020)"},"properties":{"noteIndex":0},"schema":"https://github.com/citation-style-language/schema/raw/master/csl-citation.json"}</w:instrText>
      </w:r>
      <w:r w:rsidRPr="002224F4">
        <w:rPr>
          <w:lang w:val="en-GB"/>
        </w:rPr>
        <w:fldChar w:fldCharType="separate"/>
      </w:r>
      <w:r w:rsidRPr="002224F4">
        <w:rPr>
          <w:noProof/>
          <w:lang w:val="en-GB"/>
        </w:rPr>
        <w:t>(Jing et al., 2020)</w:t>
      </w:r>
      <w:r w:rsidRPr="002224F4">
        <w:rPr>
          <w:lang w:val="en-GB"/>
        </w:rPr>
        <w:fldChar w:fldCharType="end"/>
      </w:r>
      <w:r w:rsidRPr="002224F4">
        <w:rPr>
          <w:lang w:val="en-GB"/>
        </w:rPr>
        <w:t>, reaching a level of 54g CO</w:t>
      </w:r>
      <w:r w:rsidRPr="002224F4">
        <w:rPr>
          <w:vertAlign w:val="subscript"/>
          <w:lang w:val="en-GB"/>
        </w:rPr>
        <w:t>2</w:t>
      </w:r>
      <w:r w:rsidRPr="002224F4">
        <w:rPr>
          <w:lang w:val="en-GB"/>
        </w:rPr>
        <w:t>/kWh by 2050.</w:t>
      </w:r>
    </w:p>
    <w:p w14:paraId="12067266" w14:textId="77777777" w:rsidR="00E92519" w:rsidRPr="002224F4" w:rsidRDefault="00E92519" w:rsidP="00E92519">
      <w:pPr>
        <w:spacing w:line="276" w:lineRule="auto"/>
        <w:rPr>
          <w:lang w:val="en-GB"/>
        </w:rPr>
      </w:pPr>
      <w:r w:rsidRPr="002224F4">
        <w:rPr>
          <w:i/>
          <w:lang w:val="en-GB"/>
        </w:rPr>
        <w:t>Production of alternative renewable fuels and use.</w:t>
      </w:r>
      <w:r w:rsidRPr="002224F4">
        <w:rPr>
          <w:lang w:val="en-GB"/>
        </w:rPr>
        <w:t xml:space="preserve"> Both biofuels and </w:t>
      </w:r>
      <w:proofErr w:type="spellStart"/>
      <w:r w:rsidRPr="002224F4">
        <w:rPr>
          <w:lang w:val="en-GB"/>
        </w:rPr>
        <w:t>electrofuels</w:t>
      </w:r>
      <w:proofErr w:type="spellEnd"/>
      <w:r w:rsidRPr="002224F4">
        <w:rPr>
          <w:lang w:val="en-GB"/>
        </w:rPr>
        <w:t xml:space="preserve"> are eligible candidates for replacing aviation fuel and diesel in trains with internal combustion engines. In 2019, alternatives to diesel in the EU included biodiesel based mainly on rapeseed, used cooking oils and animal fats, and hydrogenated vegetable oils (HVO) based on mainly palm oil. Upstream emissions amounted to 89g CO</w:t>
      </w:r>
      <w:r w:rsidRPr="002224F4">
        <w:rPr>
          <w:vertAlign w:val="subscript"/>
          <w:lang w:val="en-GB"/>
        </w:rPr>
        <w:t>2</w:t>
      </w:r>
      <w:r w:rsidRPr="002224F4">
        <w:rPr>
          <w:lang w:val="en-GB"/>
        </w:rPr>
        <w:t>/kWh and 50g CO</w:t>
      </w:r>
      <w:r w:rsidRPr="002224F4">
        <w:rPr>
          <w:vertAlign w:val="subscript"/>
          <w:lang w:val="en-GB"/>
        </w:rPr>
        <w:t>2</w:t>
      </w:r>
      <w:r w:rsidRPr="002224F4">
        <w:rPr>
          <w:lang w:val="en-GB"/>
        </w:rPr>
        <w:t>/kWh in 2019, respectively, and if weighted by quantities results in 83g CO</w:t>
      </w:r>
      <w:r w:rsidRPr="002224F4">
        <w:rPr>
          <w:vertAlign w:val="subscript"/>
          <w:lang w:val="en-GB"/>
        </w:rPr>
        <w:t>2</w:t>
      </w:r>
      <w:r w:rsidRPr="002224F4">
        <w:rPr>
          <w:lang w:val="en-GB"/>
        </w:rPr>
        <w:t xml:space="preserve">/kWh </w:t>
      </w:r>
      <w:r w:rsidRPr="002224F4">
        <w:rPr>
          <w:lang w:val="en-GB"/>
        </w:rPr>
        <w:fldChar w:fldCharType="begin" w:fldLock="1"/>
      </w:r>
      <w:r>
        <w:rPr>
          <w:lang w:val="en-GB"/>
        </w:rPr>
        <w:instrText>ADDIN CSL_CITATION {"citationItems":[{"id":"ITEM-1","itemData":{"author":[{"dropping-particle":"","family":"Mellios","given":"Giorgos","non-dropping-particle":"","parse-names":false,"suffix":""},{"dropping-particle":"","family":"Gouliarou","given":"Evi","non-dropping-particle":"","parse-names":false,"suffix":""}],"collection-title":"ETC/CME Eionet Report","id":"ITEM-1","issued":{"date-parts":[["2021"]]},"number":"2/2021","title":"Greenhouse gas intensities of road transport fuels in the EU in 2019","type":"report"},"uris":["http://www.mendeley.com/documents/?uuid=f18a1141-f03b-4bd0-98a4-88b47f731f28","http://www.mendeley.com/documents/?uuid=0e9b81a6-7bfe-4fb3-b5b8-83b6074ca8cc"]}],"mendeley":{"formattedCitation":"(Mellios and Gouliarou, 2021)","manualFormatting":"(Mellios and Gouliarou, 2021)","plainTextFormattedCitation":"(Mellios and Gouliarou, 2021)","previouslyFormattedCitation":"(Mellios and Gouliarou, 2021)"},"properties":{"noteIndex":0},"schema":"https://github.com/citation-style-language/schema/raw/master/csl-citation.json"}</w:instrText>
      </w:r>
      <w:r w:rsidRPr="002224F4">
        <w:rPr>
          <w:lang w:val="en-GB"/>
        </w:rPr>
        <w:fldChar w:fldCharType="separate"/>
      </w:r>
      <w:r w:rsidRPr="002224F4">
        <w:rPr>
          <w:noProof/>
          <w:lang w:val="en-GB"/>
        </w:rPr>
        <w:t>(Mellios and Gouliarou, 2021)</w:t>
      </w:r>
      <w:r w:rsidRPr="002224F4">
        <w:rPr>
          <w:lang w:val="en-GB"/>
        </w:rPr>
        <w:fldChar w:fldCharType="end"/>
      </w:r>
      <w:r w:rsidRPr="002224F4">
        <w:rPr>
          <w:lang w:val="en-GB"/>
        </w:rPr>
        <w:t xml:space="preserve">. The weighted carbon intensity was assumed for biofuels use in trains in 2019, that in the </w:t>
      </w:r>
      <w:r w:rsidRPr="002224F4">
        <w:rPr>
          <w:i/>
          <w:iCs/>
          <w:lang w:val="en-GB"/>
        </w:rPr>
        <w:t>low-carbon technologies</w:t>
      </w:r>
      <w:r w:rsidRPr="002224F4">
        <w:rPr>
          <w:lang w:val="en-GB"/>
        </w:rPr>
        <w:t xml:space="preserve"> pathway</w:t>
      </w:r>
      <w:r w:rsidRPr="002224F4" w:rsidDel="009421C5">
        <w:rPr>
          <w:lang w:val="en-GB"/>
        </w:rPr>
        <w:t xml:space="preserve"> </w:t>
      </w:r>
      <w:r w:rsidRPr="002224F4">
        <w:rPr>
          <w:lang w:val="en-GB"/>
        </w:rPr>
        <w:t>decreases to 18g CO</w:t>
      </w:r>
      <w:r w:rsidRPr="002224F4">
        <w:rPr>
          <w:vertAlign w:val="subscript"/>
          <w:lang w:val="en-GB"/>
        </w:rPr>
        <w:t>2</w:t>
      </w:r>
      <w:r w:rsidRPr="002224F4">
        <w:rPr>
          <w:lang w:val="en-GB"/>
        </w:rPr>
        <w:t>/kWh by 2070 assuming that Fischer-</w:t>
      </w:r>
      <w:proofErr w:type="spellStart"/>
      <w:r w:rsidRPr="002224F4">
        <w:rPr>
          <w:lang w:val="en-GB"/>
        </w:rPr>
        <w:t>Tropsch</w:t>
      </w:r>
      <w:proofErr w:type="spellEnd"/>
      <w:r w:rsidRPr="002224F4">
        <w:rPr>
          <w:lang w:val="en-GB"/>
        </w:rPr>
        <w:t xml:space="preserve"> diesel (second generation biofuels from wood feedstocks, based on the average of estimates reported on page 59 in the Annex to Directive 2009/28/EC </w:t>
      </w:r>
      <w:r w:rsidRPr="002224F4">
        <w:rPr>
          <w:lang w:val="en-GB"/>
        </w:rPr>
        <w:fldChar w:fldCharType="begin" w:fldLock="1"/>
      </w:r>
      <w:r w:rsidRPr="002224F4">
        <w:rPr>
          <w:lang w:val="en-GB"/>
        </w:rPr>
        <w:instrText>ADDIN CSL_CITATION {"citationItems":[{"id":"ITEM-1","itemData":{"ISBN":"L 140/16","ISSN":"02870827","abstract":"DIRECTIVE on the promotion of the use of energy from renewable sources","author":[{"dropping-particle":"","family":"European Council","given":"","non-dropping-particle":"","parse-names":false,"suffix":""}],"container-title":"Official Journal of the European Union","id":"ITEM-1","issue":"16","issued":{"date-parts":[["2009"]]},"page":"16-62","title":"Directive 2009/28/EC of the European Parliament and of the Council of 23 April 2009 on the promotion of the use of energy from renewable sources and amending and subsequently repealing Directives 2001/77/EC and 2003/30/EC","type":"article-journal","volume":"140"},"uris":["http://www.mendeley.com/documents/?uuid=5baedbe0-9bdf-42bf-a54c-96991a9f2a0f","http://www.mendeley.com/documents/?uuid=ca12f9d0-e7cc-49d3-a023-0a940624f7d2"]}],"mendeley":{"formattedCitation":"(European Council, 2009)","plainTextFormattedCitation":"(European Council, 2009)","previouslyFormattedCitation":"(European Council, 2009)"},"properties":{"noteIndex":0},"schema":"https://github.com/citation-style-language/schema/raw/master/csl-citation.json"}</w:instrText>
      </w:r>
      <w:r w:rsidRPr="002224F4">
        <w:rPr>
          <w:lang w:val="en-GB"/>
        </w:rPr>
        <w:fldChar w:fldCharType="separate"/>
      </w:r>
      <w:r w:rsidRPr="002224F4">
        <w:rPr>
          <w:noProof/>
          <w:lang w:val="en-GB"/>
        </w:rPr>
        <w:t>(European Council, 2009)</w:t>
      </w:r>
      <w:r w:rsidRPr="002224F4">
        <w:rPr>
          <w:lang w:val="en-GB"/>
        </w:rPr>
        <w:fldChar w:fldCharType="end"/>
      </w:r>
      <w:r w:rsidRPr="002224F4">
        <w:rPr>
          <w:lang w:val="en-GB"/>
        </w:rPr>
        <w:t xml:space="preserve">) gradually replaces current biofuel production. Upstream emissions for alternative aviation fuels vary significantly depending on the feedstock – in the case of </w:t>
      </w:r>
      <w:r w:rsidRPr="002224F4">
        <w:rPr>
          <w:lang w:val="en-GB"/>
        </w:rPr>
        <w:lastRenderedPageBreak/>
        <w:t xml:space="preserve">biofuels – and the electricity mix – in the case of </w:t>
      </w:r>
      <w:proofErr w:type="spellStart"/>
      <w:r w:rsidRPr="002224F4">
        <w:rPr>
          <w:lang w:val="en-GB"/>
        </w:rPr>
        <w:t>electrofuels</w:t>
      </w:r>
      <w:proofErr w:type="spellEnd"/>
      <w:r w:rsidRPr="002224F4">
        <w:rPr>
          <w:lang w:val="en-GB"/>
        </w:rPr>
        <w:t xml:space="preserve"> </w:t>
      </w:r>
      <w:r w:rsidRPr="002224F4">
        <w:rPr>
          <w:lang w:val="en-GB"/>
        </w:rPr>
        <w:fldChar w:fldCharType="begin" w:fldLock="1"/>
      </w:r>
      <w:r>
        <w:rPr>
          <w:lang w:val="en-GB"/>
        </w:rPr>
        <w:instrText>ADDIN CSL_CITATION {"citationItems":[{"id":"ITEM-1","itemData":{"author":[{"dropping-particle":"","family":"Pavlenko","given":"Nikita","non-dropping-particle":"","parse-names":false,"suffix":""},{"dropping-particle":"","family":"Searle","given":"Stephanie","non-dropping-particle":"","parse-names":false,"suffix":""}],"collection-title":"ICCT Working Paper","id":"ITEM-1","issue":"March","issued":{"date-parts":[["2021"]]},"number":"2021-11","title":"Assessing the sustainability implications of alternative aviation fuels","type":"report"},"uris":["http://www.mendeley.com/documents/?uuid=cd7e28ad-16b6-4116-b920-74cb8e5459c9","http://www.mendeley.com/documents/?uuid=7007e45d-fd5c-43a3-853b-78d9c3ecfd56"]}],"mendeley":{"formattedCitation":"(Pavlenko and Searle, 2021)","manualFormatting":"(Pavlenko and Searle, 2021)","plainTextFormattedCitation":"(Pavlenko and Searle, 2021)","previouslyFormattedCitation":"(Pavlenko and Searle, 2021)"},"properties":{"noteIndex":0},"schema":"https://github.com/citation-style-language/schema/raw/master/csl-citation.json"}</w:instrText>
      </w:r>
      <w:r w:rsidRPr="002224F4">
        <w:rPr>
          <w:lang w:val="en-GB"/>
        </w:rPr>
        <w:fldChar w:fldCharType="separate"/>
      </w:r>
      <w:r w:rsidRPr="002224F4">
        <w:rPr>
          <w:noProof/>
          <w:lang w:val="en-GB"/>
        </w:rPr>
        <w:t>(Pavlenko and Searle, 2021)</w:t>
      </w:r>
      <w:r w:rsidRPr="002224F4">
        <w:rPr>
          <w:lang w:val="en-GB"/>
        </w:rPr>
        <w:fldChar w:fldCharType="end"/>
      </w:r>
      <w:r w:rsidRPr="002224F4">
        <w:rPr>
          <w:lang w:val="en-GB"/>
        </w:rPr>
        <w:t xml:space="preserve">. For 2019, we assumed the average of the emissions factors estimated by </w:t>
      </w:r>
      <w:r w:rsidRPr="002224F4">
        <w:rPr>
          <w:lang w:val="en-GB"/>
        </w:rPr>
        <w:fldChar w:fldCharType="begin" w:fldLock="1"/>
      </w:r>
      <w:r w:rsidRPr="002224F4">
        <w:rPr>
          <w:lang w:val="en-GB"/>
        </w:rPr>
        <w:instrText>ADDIN CSL_CITATION {"citationItems":[{"id":"ITEM-1","itemData":{"DOI":"10.1016/j.rser.2018.11.033","ISSN":"18790690","abstract":"This article presents results of a European Commission Joint Research Centre study to analyse the Greenhouse Gas (GHG) emissions and energy efficiency of various options for alternative aviation fuels. Interest in alternative aviation fuels is growing, as the sector seeks viable options to reduce increasing GHG emissions. For biofuels non-biogenic emissions arise from cultivation, harvesting and transport of the feedstock, as well as from their conversion into biofuel. It is important to consider whether any emissions reductions benefits are justified by the energy efficiency of each alternative. This article is focussed on American Society for Testing and Materials (ASTM) certifiable alternative drop-in biojet fuels [1], i.e. non-fossil hydrocarbon fuels which have (i) the same chemical structure and (ii) can be blended with conventional jet fuels, (iii) can use the same jet fuel supply infrastructure, and (iv) do not require modification of the aircraft. The results indicate that the biofuels studied tended to exhibit lower GHG than conventional jet fuels although indirect effects or existing uses of materials were not included in this study. Some biofuels performed better at reducing GHG than others (for example biofuels from wastes and residues). A large and important effect on emissions is seen due to land type used for cultivation and whether methane capture is used for certain pathways. GHG savings results vary due to the Life Cycle Analysis (LCA) methodology chosen for dealing with emissions and co-products. Certain pathways are notably more energy intensive than others and strong GHG reduction does not always coincide with high energy efficiency. An overview of industry initiatives and critical EU legislation relating to aviation biofuels is given. The insights from this work are expected to be of use for decision-makers considering investment options in this sector.","author":[{"dropping-particle":"","family":"O'Connell","given":"Adrian","non-dropping-particle":"","parse-names":false,"suffix":""},{"dropping-particle":"","family":"Kousoulidou","given":"Marina","non-dropping-particle":"","parse-names":false,"suffix":""},{"dropping-particle":"","family":"Lonza","given":"Laura","non-dropping-particle":"","parse-names":false,"suffix":""},{"dropping-particle":"","family":"Weindorf","given":"Werner","non-dropping-particle":"","parse-names":false,"suffix":""}],"container-title":"Renewable and Sustainable Energy Reviews","id":"ITEM-1","issue":"December 2018","issued":{"date-parts":[["2019"]]},"page":"504-515","publisher":"Elsevier Ltd","title":"Considerations on GHG emissions and energy balances of promising aviation biofuel pathways","type":"article-journal","volume":"101"},"uris":["http://www.mendeley.com/documents/?uuid=67a77ffe-7498-46dc-ad61-e7bee3f3cf5f","http://www.mendeley.com/documents/?uuid=1b6120be-9bbb-40a8-a6ad-3683bffcbd4d"]}],"mendeley":{"formattedCitation":"(O’Connell et al., 2019)","manualFormatting":"O’Connell et al. (2019)","plainTextFormattedCitation":"(O’Connell et al., 2019)","previouslyFormattedCitation":"(O’Connell et al., 2019)"},"properties":{"noteIndex":0},"schema":"https://github.com/citation-style-language/schema/raw/master/csl-citation.json"}</w:instrText>
      </w:r>
      <w:r w:rsidRPr="002224F4">
        <w:rPr>
          <w:lang w:val="en-GB"/>
        </w:rPr>
        <w:fldChar w:fldCharType="separate"/>
      </w:r>
      <w:r w:rsidRPr="002224F4">
        <w:rPr>
          <w:noProof/>
          <w:lang w:val="en-GB"/>
        </w:rPr>
        <w:t>O’Connell et al. (2019)</w:t>
      </w:r>
      <w:r w:rsidRPr="002224F4">
        <w:rPr>
          <w:lang w:val="en-GB"/>
        </w:rPr>
        <w:fldChar w:fldCharType="end"/>
      </w:r>
      <w:r w:rsidRPr="002224F4">
        <w:rPr>
          <w:lang w:val="en-GB"/>
        </w:rPr>
        <w:t xml:space="preserve"> for non-palm oil feedstocks of 158g CO</w:t>
      </w:r>
      <w:r w:rsidRPr="002224F4">
        <w:rPr>
          <w:vertAlign w:val="subscript"/>
          <w:lang w:val="en-GB"/>
        </w:rPr>
        <w:t>2</w:t>
      </w:r>
      <w:r w:rsidRPr="002224F4">
        <w:rPr>
          <w:lang w:val="en-GB"/>
        </w:rPr>
        <w:t>/kWh for renewable fuels, which gradually shifts to 18g CO</w:t>
      </w:r>
      <w:r w:rsidRPr="002224F4">
        <w:rPr>
          <w:vertAlign w:val="subscript"/>
          <w:lang w:val="en-GB"/>
        </w:rPr>
        <w:t>2</w:t>
      </w:r>
      <w:r w:rsidRPr="002224F4">
        <w:rPr>
          <w:lang w:val="en-GB"/>
        </w:rPr>
        <w:t xml:space="preserve">/kWh by 2070 in the </w:t>
      </w:r>
      <w:r w:rsidRPr="002224F4">
        <w:rPr>
          <w:i/>
          <w:iCs/>
          <w:lang w:val="en-GB"/>
        </w:rPr>
        <w:t>low-carbon technologies</w:t>
      </w:r>
      <w:r w:rsidRPr="002224F4">
        <w:rPr>
          <w:lang w:val="en-GB"/>
        </w:rPr>
        <w:t xml:space="preserve"> pathway. Direct emissions from the combustion of biofuels and </w:t>
      </w:r>
      <w:proofErr w:type="spellStart"/>
      <w:r w:rsidRPr="002224F4">
        <w:rPr>
          <w:lang w:val="en-GB"/>
        </w:rPr>
        <w:t>electrofuels</w:t>
      </w:r>
      <w:proofErr w:type="spellEnd"/>
      <w:r w:rsidRPr="002224F4">
        <w:rPr>
          <w:lang w:val="en-GB"/>
        </w:rPr>
        <w:t xml:space="preserve"> </w:t>
      </w:r>
      <w:proofErr w:type="gramStart"/>
      <w:r w:rsidRPr="002224F4">
        <w:rPr>
          <w:lang w:val="en-GB"/>
        </w:rPr>
        <w:t>were considered to be</w:t>
      </w:r>
      <w:proofErr w:type="gramEnd"/>
      <w:r w:rsidRPr="002224F4">
        <w:rPr>
          <w:lang w:val="en-GB"/>
        </w:rPr>
        <w:t xml:space="preserve"> zero since the emitted CO</w:t>
      </w:r>
      <w:r w:rsidRPr="002224F4">
        <w:rPr>
          <w:vertAlign w:val="subscript"/>
          <w:lang w:val="en-GB"/>
        </w:rPr>
        <w:t>2</w:t>
      </w:r>
      <w:r w:rsidRPr="002224F4">
        <w:rPr>
          <w:lang w:val="en-GB"/>
        </w:rPr>
        <w:t xml:space="preserve"> will be captured and stored again by vegetation or direct air capture. Note that while emissions related to indirect land-use change were excluded in this study, they may be high for biofuels with certain feedstocks and that supply may become significantly limited in the future if regulations are put in place.</w:t>
      </w:r>
    </w:p>
    <w:p w14:paraId="1C5F7811" w14:textId="77777777" w:rsidR="00E92519" w:rsidRPr="002224F4" w:rsidRDefault="00E92519" w:rsidP="00E92519">
      <w:pPr>
        <w:spacing w:line="276" w:lineRule="auto"/>
        <w:rPr>
          <w:lang w:val="en-GB"/>
        </w:rPr>
      </w:pPr>
      <w:r w:rsidRPr="002224F4">
        <w:rPr>
          <w:i/>
          <w:lang w:val="en-GB"/>
        </w:rPr>
        <w:t>Battery manufacturing (electric planes).</w:t>
      </w:r>
      <w:r w:rsidRPr="002224F4">
        <w:rPr>
          <w:lang w:val="en-GB"/>
        </w:rPr>
        <w:t xml:space="preserve"> Battery manufacturing was assumed to increase emissions by 6g CO</w:t>
      </w:r>
      <w:r w:rsidRPr="002224F4">
        <w:rPr>
          <w:vertAlign w:val="subscript"/>
          <w:lang w:val="en-GB"/>
        </w:rPr>
        <w:t>2</w:t>
      </w:r>
      <w:r w:rsidRPr="002224F4">
        <w:rPr>
          <w:lang w:val="en-GB"/>
        </w:rPr>
        <w:t xml:space="preserve">/kWh per passenger-km in 2019; the median estimate by </w:t>
      </w:r>
      <w:r w:rsidRPr="002224F4">
        <w:rPr>
          <w:lang w:val="en-GB"/>
        </w:rPr>
        <w:fldChar w:fldCharType="begin" w:fldLock="1"/>
      </w:r>
      <w:r>
        <w:rPr>
          <w:lang w:val="en-GB"/>
        </w:rPr>
        <w:instrText>ADDIN CSL_CITATION {"citationItems":[{"id":"ITEM-1","itemData":{"DOI":"10.1038/s41560-018-0294-x","ISSN":"2058-7546","abstract":"Ever since the Wright brothers’ first powered flight in 1903, commercial aircraft have relied on liquid hydrocarbon fuels. However, the need for greenhouse gas emission reductions along with recent progress in battery technology for automobiles has generated strong interest in electric propulsion in aviation. This Analysis provides a first-order assessment of the energy, economic and environmental implications of all-electric aircraft. We show that batteries with significantly higher specific energy and lower cost, coupled with further reductions of costs and CO 2 intensity of electricity, are necessary for exploiting the full range of economic and environmental benefits provided by all-electric aircraft. A global fleet of all-electric aircraft serving all flights up to a distance of 400–600 nautical miles (741–1,111 km) would demand an equivalent of 0.6–1.7% of worldwide electricity consumption in 2015. Although lifecycle CO 2 emissions of all-electric aircraft depend on the power generation mix, all direct combustion emissions and thus direct air pollutants and direct non-CO 2 warming impacts would be eliminated.","author":[{"dropping-particle":"","family":"Schäfer","given":"Andreas W.","non-dropping-particle":"","parse-names":false,"suffix":""},{"dropping-particle":"","family":"Barrett","given":"Steven R. H.","non-dropping-particle":"","parse-names":false,"suffix":""},{"dropping-particle":"","family":"Doyme","given":"Khan","non-dropping-particle":"","parse-names":false,"suffix":""},{"dropping-particle":"","family":"Dray","given":"Lynnette M.","non-dropping-particle":"","parse-names":false,"suffix":""},{"dropping-particle":"","family":"Gnadt","given":"Albert R.","non-dropping-particle":"","parse-names":false,"suffix":""},{"dropping-particle":"","family":"Self","given":"Rod","non-dropping-particle":"","parse-names":false,"suffix":""},{"dropping-particle":"","family":"O’Sullivan","given":"Aidan","non-dropping-particle":"","parse-names":false,"suffix":""},{"dropping-particle":"","family":"Synodinos","given":"Athanasios P.","non-dropping-particle":"","parse-names":false,"suffix":""},{"dropping-particle":"","family":"Torija","given":"Antonio J.","non-dropping-particle":"","parse-names":false,"suffix":""}],"container-title":"Nature Energy","id":"ITEM-1","issue":"2","issued":{"date-parts":[["2019","2","10"]]},"page":"160-166","publisher":"Springer US","title":"Technological, economic and environmental prospects of all-electric aircraft","type":"article-journal","volume":"4"},"uris":["http://www.mendeley.com/documents/?uuid=d08ff44a-69ed-4237-943c-1c1fa4f0021b","http://www.mendeley.com/documents/?uuid=e277e87c-5d02-4f6c-bf61-ba71fa6e739c"]}],"mendeley":{"formattedCitation":"(Schäfer et al., 2019)","manualFormatting":"Schäfer et al. (2019)","plainTextFormattedCitation":"(Schäfer et al., 2019)","previouslyFormattedCitation":"(Schäfer et al., 2019)"},"properties":{"noteIndex":0},"schema":"https://github.com/citation-style-language/schema/raw/master/csl-citation.json"}</w:instrText>
      </w:r>
      <w:r w:rsidRPr="002224F4">
        <w:rPr>
          <w:lang w:val="en-GB"/>
        </w:rPr>
        <w:fldChar w:fldCharType="separate"/>
      </w:r>
      <w:r w:rsidRPr="002224F4">
        <w:rPr>
          <w:noProof/>
          <w:lang w:val="en-GB"/>
        </w:rPr>
        <w:t>Schäfer et al. (2019)</w:t>
      </w:r>
      <w:r w:rsidRPr="002224F4">
        <w:rPr>
          <w:lang w:val="en-GB"/>
        </w:rPr>
        <w:fldChar w:fldCharType="end"/>
      </w:r>
      <w:r w:rsidRPr="002224F4">
        <w:rPr>
          <w:lang w:val="en-GB"/>
        </w:rPr>
        <w:t xml:space="preserve">. The carbon intensity in battery manufacturing is likely to drop as the industry matures, and as electricity generation and raw material production decarbonize. Hence, the factor was assumed to decrease at the same rate as emissions per unit of battery capacity for cars in the </w:t>
      </w:r>
      <w:r w:rsidRPr="002224F4">
        <w:rPr>
          <w:i/>
          <w:iCs/>
          <w:lang w:val="en-GB"/>
        </w:rPr>
        <w:t>low-carbon technologies</w:t>
      </w:r>
      <w:r w:rsidRPr="002224F4">
        <w:rPr>
          <w:lang w:val="en-GB"/>
        </w:rPr>
        <w:t xml:space="preserve"> pathway, as estimated by </w:t>
      </w:r>
      <w:r w:rsidRPr="002224F4">
        <w:rPr>
          <w:lang w:val="en-GB"/>
        </w:rPr>
        <w:fldChar w:fldCharType="begin" w:fldLock="1"/>
      </w:r>
      <w:r w:rsidRPr="002224F4">
        <w:rPr>
          <w:lang w:val="en-GB"/>
        </w:rPr>
        <w:instrText>ADDIN CSL_CITATION {"citationItems":[{"id":"ITEM-1","itemData":{"DOI":"10.1016/j.trd.2021.102807","ISSN":"13619209","author":[{"dropping-particle":"","family":"Morfeldt","given":"Johannes","non-dropping-particle":"","parse-names":false,"suffix":""},{"dropping-particle":"","family":"Davidsson Kurland","given":"Simon","non-dropping-particle":"","parse-names":false,"suffix":""},{"dropping-particle":"","family":"Johansson","given":"Daniel J.A.","non-dropping-particle":"","parse-names":false,"suffix":""}],"container-title":"Transportation Research Part D: Transport and Environment","id":"ITEM-1","issued":{"date-parts":[["2021","6"]]},"page":"102807","title":"Carbon footprint impacts of banning cars with internal combustion engines","type":"article-journal","volume":"95"},"uris":["http://www.mendeley.com/documents/?uuid=65774be3-645e-4bda-8410-81ae20279cad","http://www.mendeley.com/documents/?uuid=9044a038-15c9-4b80-af90-5f624b392ec1"]}],"mendeley":{"formattedCitation":"(Morfeldt et al., 2021)","manualFormatting":"Morfeldt et al. (2021)","plainTextFormattedCitation":"(Morfeldt et al., 2021)","previouslyFormattedCitation":"(Morfeldt et al., 2021)"},"properties":{"noteIndex":0},"schema":"https://github.com/citation-style-language/schema/raw/master/csl-citation.json"}</w:instrText>
      </w:r>
      <w:r w:rsidRPr="002224F4">
        <w:rPr>
          <w:lang w:val="en-GB"/>
        </w:rPr>
        <w:fldChar w:fldCharType="separate"/>
      </w:r>
      <w:r w:rsidRPr="002224F4">
        <w:rPr>
          <w:noProof/>
          <w:lang w:val="en-GB"/>
        </w:rPr>
        <w:t>Morfeldt et al. (2021)</w:t>
      </w:r>
      <w:r w:rsidRPr="002224F4">
        <w:rPr>
          <w:lang w:val="en-GB"/>
        </w:rPr>
        <w:fldChar w:fldCharType="end"/>
      </w:r>
      <w:r w:rsidRPr="002224F4">
        <w:rPr>
          <w:lang w:val="en-GB"/>
        </w:rPr>
        <w:t>. Other vehicle-related emissions were not considered in this study since they were assumed to be unaffected by the scenarios.</w:t>
      </w:r>
    </w:p>
    <w:p w14:paraId="158DE2D2" w14:textId="77777777" w:rsidR="00E92519" w:rsidRPr="002224F4" w:rsidRDefault="00E92519" w:rsidP="00E92519">
      <w:pPr>
        <w:spacing w:line="276" w:lineRule="auto"/>
        <w:ind w:firstLine="0"/>
        <w:rPr>
          <w:lang w:val="en-GB"/>
        </w:rPr>
      </w:pPr>
    </w:p>
    <w:p w14:paraId="7F434011" w14:textId="77777777" w:rsidR="00E92519" w:rsidRPr="002224F4" w:rsidRDefault="00E92519" w:rsidP="00E92519">
      <w:pPr>
        <w:spacing w:line="276" w:lineRule="auto"/>
        <w:ind w:firstLine="0"/>
        <w:rPr>
          <w:lang w:val="en-GB"/>
        </w:rPr>
      </w:pPr>
      <w:r w:rsidRPr="002224F4">
        <w:rPr>
          <w:b/>
          <w:bCs/>
          <w:lang w:val="en-GB"/>
        </w:rPr>
        <w:t>A.4. Detailed results</w:t>
      </w:r>
    </w:p>
    <w:p w14:paraId="51FDCBB4" w14:textId="77777777" w:rsidR="00E92519" w:rsidRPr="002224F4" w:rsidRDefault="00E92519" w:rsidP="00E92519">
      <w:pPr>
        <w:spacing w:line="276" w:lineRule="auto"/>
        <w:ind w:firstLine="0"/>
        <w:rPr>
          <w:lang w:val="en-GB"/>
        </w:rPr>
      </w:pPr>
    </w:p>
    <w:p w14:paraId="107C983A" w14:textId="77777777" w:rsidR="00E92519" w:rsidRPr="002224F4" w:rsidRDefault="00E92519" w:rsidP="00E92519">
      <w:pPr>
        <w:spacing w:line="276" w:lineRule="auto"/>
        <w:rPr>
          <w:lang w:val="en-GB"/>
        </w:rPr>
      </w:pPr>
      <w:r w:rsidRPr="002224F4">
        <w:rPr>
          <w:noProof/>
          <w:lang w:val="en-GB"/>
        </w:rPr>
        <w:drawing>
          <wp:inline distT="0" distB="0" distL="0" distR="0" wp14:anchorId="1E9D1688" wp14:editId="0B761EB9">
            <wp:extent cx="5727743" cy="3013956"/>
            <wp:effectExtent l="0" t="0" r="0" b="0"/>
            <wp:docPr id="14"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43" cy="3013956"/>
                    </a:xfrm>
                    <a:prstGeom prst="rect">
                      <a:avLst/>
                    </a:prstGeom>
                  </pic:spPr>
                </pic:pic>
              </a:graphicData>
            </a:graphic>
          </wp:inline>
        </w:drawing>
      </w:r>
    </w:p>
    <w:p w14:paraId="16E8A8C3" w14:textId="77777777" w:rsidR="00E92519" w:rsidRPr="002224F4" w:rsidRDefault="00E92519" w:rsidP="00E92519">
      <w:pPr>
        <w:pStyle w:val="Caption"/>
        <w:spacing w:line="276" w:lineRule="auto"/>
        <w:rPr>
          <w:b/>
          <w:lang w:val="en-GB"/>
        </w:rPr>
      </w:pPr>
      <w:r w:rsidRPr="002224F4">
        <w:rPr>
          <w:b/>
          <w:lang w:val="en-GB"/>
        </w:rPr>
        <w:t xml:space="preserve">Figure A.1. </w:t>
      </w:r>
      <w:r w:rsidRPr="002224F4">
        <w:rPr>
          <w:lang w:val="en-GB"/>
        </w:rPr>
        <w:t>Annual</w:t>
      </w:r>
      <w:r w:rsidRPr="002224F4">
        <w:rPr>
          <w:b/>
          <w:lang w:val="en-GB"/>
        </w:rPr>
        <w:t xml:space="preserve"> </w:t>
      </w:r>
      <w:r w:rsidRPr="002224F4">
        <w:rPr>
          <w:lang w:val="en-GB"/>
        </w:rPr>
        <w:t xml:space="preserve">carbon footprints associated with battery manufacturing, fuel production, direct and </w:t>
      </w:r>
      <w:r w:rsidRPr="002224F4">
        <w:rPr>
          <w:szCs w:val="22"/>
          <w:lang w:val="en-GB"/>
        </w:rPr>
        <w:t>non-CO</w:t>
      </w:r>
      <w:r w:rsidRPr="002224F4">
        <w:rPr>
          <w:szCs w:val="22"/>
          <w:vertAlign w:val="subscript"/>
          <w:lang w:val="en-GB"/>
        </w:rPr>
        <w:t>2</w:t>
      </w:r>
      <w:r w:rsidRPr="002224F4">
        <w:rPr>
          <w:szCs w:val="22"/>
          <w:lang w:val="en-GB"/>
        </w:rPr>
        <w:t xml:space="preserve"> radiative forcing</w:t>
      </w:r>
      <w:r w:rsidRPr="002224F4">
        <w:rPr>
          <w:lang w:val="en-GB"/>
        </w:rPr>
        <w:t>.</w:t>
      </w:r>
    </w:p>
    <w:p w14:paraId="769F0373" w14:textId="77777777" w:rsidR="00E92519" w:rsidRPr="002224F4" w:rsidRDefault="00E92519" w:rsidP="00E92519">
      <w:pPr>
        <w:spacing w:line="276" w:lineRule="auto"/>
        <w:rPr>
          <w:lang w:val="en-GB"/>
        </w:rPr>
      </w:pPr>
      <w:r w:rsidRPr="002224F4">
        <w:rPr>
          <w:noProof/>
          <w:lang w:val="en-GB"/>
        </w:rPr>
        <w:lastRenderedPageBreak/>
        <w:drawing>
          <wp:inline distT="0" distB="0" distL="0" distR="0" wp14:anchorId="4D856557" wp14:editId="118D950C">
            <wp:extent cx="5731036" cy="3015689"/>
            <wp:effectExtent l="0" t="0" r="0" b="0"/>
            <wp:docPr id="12"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Chart, ba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036" cy="3015689"/>
                    </a:xfrm>
                    <a:prstGeom prst="rect">
                      <a:avLst/>
                    </a:prstGeom>
                  </pic:spPr>
                </pic:pic>
              </a:graphicData>
            </a:graphic>
          </wp:inline>
        </w:drawing>
      </w:r>
    </w:p>
    <w:p w14:paraId="4D543EF9" w14:textId="77777777" w:rsidR="00E92519" w:rsidRPr="002224F4" w:rsidRDefault="00E92519" w:rsidP="00E92519">
      <w:pPr>
        <w:pStyle w:val="Caption"/>
        <w:spacing w:line="276" w:lineRule="auto"/>
        <w:rPr>
          <w:lang w:val="en-GB"/>
        </w:rPr>
      </w:pPr>
      <w:r w:rsidRPr="002224F4">
        <w:rPr>
          <w:b/>
          <w:lang w:val="en-GB"/>
        </w:rPr>
        <w:t>Figure A.2.</w:t>
      </w:r>
      <w:r w:rsidRPr="002224F4">
        <w:rPr>
          <w:lang w:val="en-GB"/>
        </w:rPr>
        <w:t xml:space="preserve"> Cumulative carbon footprint 2025</w:t>
      </w:r>
      <w:r w:rsidRPr="002224F4">
        <w:rPr>
          <w:rFonts w:ascii="Symbol" w:eastAsia="Symbol" w:hAnsi="Symbol" w:cs="Symbol"/>
          <w:lang w:val="en-GB"/>
        </w:rPr>
        <w:t>-</w:t>
      </w:r>
      <w:r w:rsidRPr="002224F4">
        <w:rPr>
          <w:lang w:val="en-GB"/>
        </w:rPr>
        <w:t>2050 assuming decarbonization in line with Sustainable Development, by country and scenarios.</w:t>
      </w:r>
    </w:p>
    <w:p w14:paraId="3400BB63" w14:textId="77777777" w:rsidR="00E92519" w:rsidRPr="002224F4" w:rsidRDefault="00E92519" w:rsidP="00E92519">
      <w:pPr>
        <w:spacing w:line="276" w:lineRule="auto"/>
        <w:rPr>
          <w:lang w:val="en-GB"/>
        </w:rPr>
      </w:pPr>
    </w:p>
    <w:p w14:paraId="1B219225" w14:textId="77777777" w:rsidR="00E92519" w:rsidRPr="002224F4" w:rsidRDefault="00E92519" w:rsidP="00E92519">
      <w:pPr>
        <w:spacing w:line="276" w:lineRule="auto"/>
        <w:rPr>
          <w:lang w:val="en-GB"/>
        </w:rPr>
      </w:pPr>
      <w:r w:rsidRPr="002224F4">
        <w:rPr>
          <w:noProof/>
          <w:lang w:val="en-GB"/>
        </w:rPr>
        <w:drawing>
          <wp:inline distT="0" distB="0" distL="0" distR="0" wp14:anchorId="7F9BAA0C" wp14:editId="11D79383">
            <wp:extent cx="5716014" cy="2858007"/>
            <wp:effectExtent l="0" t="0" r="0" b="0"/>
            <wp:docPr id="5" name="Picture 5" descr="Chart,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timeli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16014" cy="2858007"/>
                    </a:xfrm>
                    <a:prstGeom prst="rect">
                      <a:avLst/>
                    </a:prstGeom>
                  </pic:spPr>
                </pic:pic>
              </a:graphicData>
            </a:graphic>
          </wp:inline>
        </w:drawing>
      </w:r>
    </w:p>
    <w:p w14:paraId="71F04C5C" w14:textId="77777777" w:rsidR="00E92519" w:rsidRPr="002224F4" w:rsidRDefault="00E92519" w:rsidP="00E92519">
      <w:pPr>
        <w:pStyle w:val="Caption"/>
        <w:spacing w:line="276" w:lineRule="auto"/>
        <w:rPr>
          <w:lang w:val="en-GB"/>
        </w:rPr>
      </w:pPr>
      <w:r w:rsidRPr="002224F4">
        <w:rPr>
          <w:b/>
          <w:lang w:val="en-GB"/>
        </w:rPr>
        <w:t>Figure A.3.</w:t>
      </w:r>
      <w:r w:rsidRPr="002224F4">
        <w:rPr>
          <w:lang w:val="en-GB"/>
        </w:rPr>
        <w:t xml:space="preserve"> Impact of tourism from Stockholm, Sweden to four destinations (columns – linear distance from origin in thousand kilometres) on carbon footprint. The results assume the current technology trends decarbonization pathway.</w:t>
      </w:r>
    </w:p>
    <w:p w14:paraId="2AAE6B18" w14:textId="77777777" w:rsidR="00E92519" w:rsidRPr="002224F4" w:rsidRDefault="00E92519" w:rsidP="00E92519">
      <w:pPr>
        <w:spacing w:line="276" w:lineRule="auto"/>
        <w:rPr>
          <w:lang w:val="en-GB"/>
        </w:rPr>
      </w:pPr>
      <w:r w:rsidRPr="002224F4">
        <w:rPr>
          <w:noProof/>
          <w:lang w:val="en-GB"/>
        </w:rPr>
        <w:lastRenderedPageBreak/>
        <w:drawing>
          <wp:inline distT="0" distB="0" distL="0" distR="0" wp14:anchorId="1642B387" wp14:editId="17EDF898">
            <wp:extent cx="5730473" cy="3315707"/>
            <wp:effectExtent l="0" t="0" r="0" b="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0473" cy="3315707"/>
                    </a:xfrm>
                    <a:prstGeom prst="rect">
                      <a:avLst/>
                    </a:prstGeom>
                  </pic:spPr>
                </pic:pic>
              </a:graphicData>
            </a:graphic>
          </wp:inline>
        </w:drawing>
      </w:r>
    </w:p>
    <w:p w14:paraId="004F535C" w14:textId="77777777" w:rsidR="00E92519" w:rsidRPr="00B55C36" w:rsidRDefault="00E92519" w:rsidP="00E92519">
      <w:pPr>
        <w:pStyle w:val="Caption"/>
        <w:spacing w:line="276" w:lineRule="auto"/>
        <w:rPr>
          <w:lang w:val="en-GB"/>
        </w:rPr>
      </w:pPr>
      <w:r w:rsidRPr="002224F4">
        <w:rPr>
          <w:b/>
          <w:lang w:val="en-GB"/>
        </w:rPr>
        <w:t>Figure A.4.</w:t>
      </w:r>
      <w:r w:rsidRPr="002224F4">
        <w:rPr>
          <w:lang w:val="en-GB"/>
        </w:rPr>
        <w:t xml:space="preserve"> Sensitivity analysis of the impact of the ticket price difference on travel demand (a) and cumulative carbon footprint (b). The results for the carbon footprint assume the low-carbon technologies decarbonization pathway. The results for the current technology trends pathway are almost identical and therefore not displayed in this figure.</w:t>
      </w:r>
      <w:r w:rsidRPr="00B55C36">
        <w:rPr>
          <w:lang w:val="en-GB"/>
        </w:rPr>
        <w:t xml:space="preserve"> </w:t>
      </w:r>
    </w:p>
    <w:p w14:paraId="7E3DA984" w14:textId="77777777" w:rsidR="00E92519" w:rsidRPr="00B55C36" w:rsidRDefault="00E92519" w:rsidP="00E92519">
      <w:pPr>
        <w:spacing w:line="276" w:lineRule="auto"/>
        <w:rPr>
          <w:lang w:val="en-GB"/>
        </w:rPr>
      </w:pPr>
    </w:p>
    <w:p w14:paraId="644DA7D8" w14:textId="77777777" w:rsidR="007971FC" w:rsidRDefault="007971FC"/>
    <w:sectPr w:rsidR="007971FC" w:rsidSect="00A91F1C">
      <w:headerReference w:type="default" r:id="rId9"/>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69BB0" w14:textId="77777777" w:rsidR="54D41087" w:rsidRDefault="00000000" w:rsidP="005862A9">
    <w:pPr>
      <w:pStyle w:val="Header"/>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82FAF"/>
    <w:multiLevelType w:val="multilevel"/>
    <w:tmpl w:val="F8045540"/>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34083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519"/>
    <w:rsid w:val="007971FC"/>
    <w:rsid w:val="00E92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EB39A"/>
  <w15:chartTrackingRefBased/>
  <w15:docId w15:val="{CEAF3993-700F-4510-9B7C-7E7509E1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519"/>
    <w:pPr>
      <w:spacing w:after="0" w:line="264" w:lineRule="auto"/>
      <w:ind w:firstLine="170"/>
    </w:pPr>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E92519"/>
    <w:pPr>
      <w:keepNext/>
      <w:keepLines/>
      <w:numPr>
        <w:numId w:val="1"/>
      </w:numPr>
      <w:spacing w:before="240"/>
      <w:outlineLvl w:val="0"/>
    </w:pPr>
    <w:rPr>
      <w:rFonts w:eastAsiaTheme="majorEastAsia"/>
      <w:b/>
      <w:bCs/>
      <w:color w:val="000000" w:themeColor="text1"/>
      <w:lang w:eastAsia="en-US"/>
    </w:rPr>
  </w:style>
  <w:style w:type="paragraph" w:styleId="Heading2">
    <w:name w:val="heading 2"/>
    <w:basedOn w:val="Heading1"/>
    <w:next w:val="Normal"/>
    <w:link w:val="Heading2Char"/>
    <w:uiPriority w:val="9"/>
    <w:unhideWhenUsed/>
    <w:qFormat/>
    <w:rsid w:val="00E92519"/>
    <w:pPr>
      <w:numPr>
        <w:ilvl w:val="1"/>
      </w:numPr>
      <w:outlineLvl w:val="1"/>
    </w:pPr>
  </w:style>
  <w:style w:type="paragraph" w:styleId="Heading3">
    <w:name w:val="heading 3"/>
    <w:basedOn w:val="ListParagraph"/>
    <w:next w:val="Normal"/>
    <w:link w:val="Heading3Char"/>
    <w:uiPriority w:val="9"/>
    <w:unhideWhenUsed/>
    <w:qFormat/>
    <w:rsid w:val="00E92519"/>
    <w:pPr>
      <w:widowControl w:val="0"/>
      <w:numPr>
        <w:ilvl w:val="2"/>
        <w:numId w:val="1"/>
      </w:numPr>
      <w:autoSpaceDE w:val="0"/>
      <w:autoSpaceDN w:val="0"/>
      <w:adjustRightInd w:val="0"/>
      <w:outlineLvl w:val="2"/>
    </w:pPr>
    <w:rPr>
      <w:b/>
      <w:bC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2519"/>
    <w:rPr>
      <w:rFonts w:ascii="Times New Roman" w:eastAsiaTheme="majorEastAsia" w:hAnsi="Times New Roman" w:cs="Times New Roman"/>
      <w:b/>
      <w:bCs/>
      <w:color w:val="000000" w:themeColor="text1"/>
    </w:rPr>
  </w:style>
  <w:style w:type="character" w:customStyle="1" w:styleId="Heading2Char">
    <w:name w:val="Heading 2 Char"/>
    <w:basedOn w:val="DefaultParagraphFont"/>
    <w:link w:val="Heading2"/>
    <w:uiPriority w:val="9"/>
    <w:rsid w:val="00E92519"/>
    <w:rPr>
      <w:rFonts w:ascii="Times New Roman" w:eastAsiaTheme="majorEastAsia" w:hAnsi="Times New Roman" w:cs="Times New Roman"/>
      <w:b/>
      <w:bCs/>
      <w:color w:val="000000" w:themeColor="text1"/>
    </w:rPr>
  </w:style>
  <w:style w:type="character" w:customStyle="1" w:styleId="Heading3Char">
    <w:name w:val="Heading 3 Char"/>
    <w:basedOn w:val="DefaultParagraphFont"/>
    <w:link w:val="Heading3"/>
    <w:uiPriority w:val="9"/>
    <w:rsid w:val="00E92519"/>
    <w:rPr>
      <w:rFonts w:ascii="Times New Roman" w:eastAsia="Times New Roman" w:hAnsi="Times New Roman" w:cs="Times New Roman"/>
      <w:b/>
      <w:bCs/>
      <w:noProof/>
      <w:lang w:eastAsia="en-GB"/>
    </w:rPr>
  </w:style>
  <w:style w:type="paragraph" w:styleId="Caption">
    <w:name w:val="caption"/>
    <w:basedOn w:val="Normal"/>
    <w:next w:val="Normal"/>
    <w:uiPriority w:val="35"/>
    <w:unhideWhenUsed/>
    <w:qFormat/>
    <w:rsid w:val="00E92519"/>
    <w:pPr>
      <w:spacing w:after="200"/>
      <w:jc w:val="center"/>
    </w:pPr>
    <w:rPr>
      <w:rFonts w:eastAsia="SimSun"/>
      <w:bCs/>
      <w:color w:val="000000" w:themeColor="text1"/>
      <w:sz w:val="20"/>
      <w:szCs w:val="20"/>
      <w:lang w:eastAsia="en-US"/>
    </w:rPr>
  </w:style>
  <w:style w:type="paragraph" w:styleId="Header">
    <w:name w:val="header"/>
    <w:basedOn w:val="Normal"/>
    <w:link w:val="HeaderChar"/>
    <w:uiPriority w:val="99"/>
    <w:unhideWhenUsed/>
    <w:rsid w:val="00E92519"/>
    <w:pPr>
      <w:tabs>
        <w:tab w:val="center" w:pos="4513"/>
        <w:tab w:val="right" w:pos="9026"/>
      </w:tabs>
    </w:pPr>
  </w:style>
  <w:style w:type="character" w:customStyle="1" w:styleId="HeaderChar">
    <w:name w:val="Header Char"/>
    <w:basedOn w:val="DefaultParagraphFont"/>
    <w:link w:val="Header"/>
    <w:uiPriority w:val="99"/>
    <w:rsid w:val="00E92519"/>
    <w:rPr>
      <w:rFonts w:ascii="Times New Roman" w:eastAsia="Times New Roman" w:hAnsi="Times New Roman" w:cs="Times New Roman"/>
      <w:lang w:eastAsia="en-GB"/>
    </w:rPr>
  </w:style>
  <w:style w:type="paragraph" w:styleId="ListParagraph">
    <w:name w:val="List Paragraph"/>
    <w:basedOn w:val="Normal"/>
    <w:uiPriority w:val="34"/>
    <w:qFormat/>
    <w:rsid w:val="00E92519"/>
    <w:pPr>
      <w:ind w:left="720"/>
      <w:contextualSpacing/>
    </w:pPr>
  </w:style>
  <w:style w:type="character" w:styleId="LineNumber">
    <w:name w:val="line number"/>
    <w:basedOn w:val="DefaultParagraphFont"/>
    <w:uiPriority w:val="99"/>
    <w:semiHidden/>
    <w:unhideWhenUsed/>
    <w:rsid w:val="00E92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9256</Words>
  <Characters>52760</Characters>
  <Application>Microsoft Office Word</Application>
  <DocSecurity>0</DocSecurity>
  <Lines>439</Lines>
  <Paragraphs>123</Paragraphs>
  <ScaleCrop>false</ScaleCrop>
  <Company/>
  <LinksUpToDate>false</LinksUpToDate>
  <CharactersWithSpaces>61893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2023-02-10T20:23:00Z</dcterms:created>
  <dcterms:modified xsi:type="dcterms:W3CDTF">2023-02-10T20:23:00Z</dcterms:modified>
</cp:coreProperties>
</file>