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DA577A" w14:textId="77777777" w:rsidR="00053DED" w:rsidRDefault="00053DED" w:rsidP="00053DED">
      <w:pPr>
        <w:jc w:val="both"/>
        <w:rPr>
          <w:rFonts w:ascii="Arial" w:hAnsi="Arial" w:cs="Arial"/>
        </w:rPr>
      </w:pPr>
      <w:r>
        <w:rPr>
          <w:rFonts w:ascii="Arial" w:hAnsi="Arial" w:cs="Arial"/>
          <w:noProof/>
        </w:rPr>
        <w:drawing>
          <wp:inline distT="0" distB="0" distL="0" distR="0" wp14:anchorId="713DBD98" wp14:editId="689F68DA">
            <wp:extent cx="5943600" cy="307911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 1 - dose dependence of TDP.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079115"/>
                    </a:xfrm>
                    <a:prstGeom prst="rect">
                      <a:avLst/>
                    </a:prstGeom>
                  </pic:spPr>
                </pic:pic>
              </a:graphicData>
            </a:graphic>
          </wp:inline>
        </w:drawing>
      </w:r>
    </w:p>
    <w:p w14:paraId="235A8BA2" w14:textId="77777777" w:rsidR="00053DED" w:rsidRDefault="00053DED" w:rsidP="00053DED">
      <w:pPr>
        <w:rPr>
          <w:rFonts w:ascii="Arial" w:hAnsi="Arial" w:cs="Arial"/>
        </w:rPr>
      </w:pPr>
    </w:p>
    <w:p w14:paraId="63AB950D" w14:textId="77777777" w:rsidR="00053DED" w:rsidRDefault="00053DED" w:rsidP="00053DED">
      <w:pPr>
        <w:spacing w:after="0" w:line="240" w:lineRule="auto"/>
        <w:jc w:val="both"/>
        <w:rPr>
          <w:rFonts w:ascii="Arial" w:hAnsi="Arial" w:cs="Arial"/>
        </w:rPr>
      </w:pPr>
      <w:r w:rsidRPr="00E5339E">
        <w:rPr>
          <w:rFonts w:ascii="Arial" w:hAnsi="Arial" w:cs="Arial"/>
          <w:b/>
        </w:rPr>
        <w:t>Figure S1. HtrA1 can inhibit TDP-43 aggregation in a dose-dependent fashion.</w:t>
      </w:r>
      <w:r>
        <w:rPr>
          <w:rFonts w:ascii="Arial" w:hAnsi="Arial" w:cs="Arial"/>
        </w:rPr>
        <w:t xml:space="preserve"> TDP-43-TEV-MBP (10μM) was incubated with buffer, HtrA1, HtrA1</w:t>
      </w:r>
      <w:r w:rsidRPr="00597E6F">
        <w:rPr>
          <w:rFonts w:ascii="Arial" w:hAnsi="Arial" w:cs="Arial"/>
          <w:vertAlign w:val="superscript"/>
        </w:rPr>
        <w:t>S328A</w:t>
      </w:r>
      <w:r>
        <w:rPr>
          <w:rFonts w:ascii="Arial" w:hAnsi="Arial" w:cs="Arial"/>
        </w:rPr>
        <w:t xml:space="preserve">, HtrA2, or aldolase (10-50μM </w:t>
      </w:r>
      <w:proofErr w:type="spellStart"/>
      <w:r>
        <w:rPr>
          <w:rFonts w:ascii="Arial" w:hAnsi="Arial" w:cs="Arial"/>
        </w:rPr>
        <w:t>HtrA</w:t>
      </w:r>
      <w:proofErr w:type="spellEnd"/>
      <w:r>
        <w:rPr>
          <w:rFonts w:ascii="Arial" w:hAnsi="Arial" w:cs="Arial"/>
        </w:rPr>
        <w:t xml:space="preserve"> or 50μM aldolase). Reactions were initiated by addition of TEV protease and aggregation was monitored by turbidity. (N = 3, means are shown as large symbols, SEM is shown as smaller symbols of the same color). </w:t>
      </w:r>
    </w:p>
    <w:p w14:paraId="4881ED56" w14:textId="77777777" w:rsidR="00053DED" w:rsidRDefault="00053DED" w:rsidP="00053DED">
      <w:pPr>
        <w:spacing w:after="0" w:line="240" w:lineRule="auto"/>
        <w:rPr>
          <w:rFonts w:ascii="Arial" w:hAnsi="Arial" w:cs="Arial"/>
        </w:rPr>
      </w:pPr>
    </w:p>
    <w:p w14:paraId="3B7ADF5F" w14:textId="77777777" w:rsidR="00053DED" w:rsidRDefault="00053DED" w:rsidP="00053DED">
      <w:pPr>
        <w:spacing w:after="0" w:line="240" w:lineRule="auto"/>
        <w:rPr>
          <w:rFonts w:ascii="Arial" w:hAnsi="Arial" w:cs="Arial"/>
        </w:rPr>
      </w:pPr>
    </w:p>
    <w:p w14:paraId="73D82543" w14:textId="77777777" w:rsidR="00053DED" w:rsidRDefault="00053DED" w:rsidP="00053DED">
      <w:pPr>
        <w:spacing w:after="0" w:line="240" w:lineRule="auto"/>
        <w:rPr>
          <w:rFonts w:ascii="Arial" w:hAnsi="Arial" w:cs="Arial"/>
        </w:rPr>
      </w:pPr>
    </w:p>
    <w:p w14:paraId="461A6ECE" w14:textId="77777777" w:rsidR="00053DED" w:rsidRDefault="00053DED" w:rsidP="00053DED">
      <w:pPr>
        <w:spacing w:after="0" w:line="240" w:lineRule="auto"/>
        <w:rPr>
          <w:rFonts w:ascii="Arial" w:hAnsi="Arial" w:cs="Arial"/>
        </w:rPr>
      </w:pPr>
    </w:p>
    <w:p w14:paraId="7F19AB3A" w14:textId="77777777" w:rsidR="00053DED" w:rsidRDefault="00053DED" w:rsidP="00053DED">
      <w:pPr>
        <w:spacing w:after="0" w:line="240" w:lineRule="auto"/>
        <w:rPr>
          <w:rFonts w:ascii="Arial" w:hAnsi="Arial" w:cs="Arial"/>
        </w:rPr>
      </w:pPr>
    </w:p>
    <w:p w14:paraId="16CABA79" w14:textId="77777777" w:rsidR="00053DED" w:rsidRDefault="00053DED" w:rsidP="00053DED">
      <w:pPr>
        <w:spacing w:after="0" w:line="240" w:lineRule="auto"/>
        <w:rPr>
          <w:rFonts w:ascii="Arial" w:hAnsi="Arial" w:cs="Arial"/>
        </w:rPr>
      </w:pPr>
    </w:p>
    <w:p w14:paraId="7A6064BB" w14:textId="77777777" w:rsidR="00053DED" w:rsidRDefault="00053DED" w:rsidP="00053DED">
      <w:pPr>
        <w:spacing w:after="0" w:line="240" w:lineRule="auto"/>
        <w:rPr>
          <w:rFonts w:ascii="Arial" w:hAnsi="Arial" w:cs="Arial"/>
        </w:rPr>
      </w:pPr>
    </w:p>
    <w:p w14:paraId="5F0563A6" w14:textId="77777777" w:rsidR="00053DED" w:rsidRDefault="00053DED" w:rsidP="00053DED">
      <w:pPr>
        <w:spacing w:after="0" w:line="240" w:lineRule="auto"/>
        <w:rPr>
          <w:rFonts w:ascii="Arial" w:hAnsi="Arial" w:cs="Arial"/>
        </w:rPr>
      </w:pPr>
    </w:p>
    <w:p w14:paraId="6CCCD21C" w14:textId="77777777" w:rsidR="00053DED" w:rsidRDefault="00053DED" w:rsidP="00053DED">
      <w:pPr>
        <w:spacing w:after="0" w:line="240" w:lineRule="auto"/>
        <w:rPr>
          <w:rFonts w:ascii="Arial" w:hAnsi="Arial" w:cs="Arial"/>
        </w:rPr>
      </w:pPr>
    </w:p>
    <w:p w14:paraId="08A57137" w14:textId="77777777" w:rsidR="00053DED" w:rsidRDefault="00053DED" w:rsidP="00053DED">
      <w:pPr>
        <w:spacing w:after="0" w:line="240" w:lineRule="auto"/>
        <w:rPr>
          <w:rFonts w:ascii="Arial" w:hAnsi="Arial" w:cs="Arial"/>
        </w:rPr>
      </w:pPr>
    </w:p>
    <w:p w14:paraId="4DF4F3F7" w14:textId="77777777" w:rsidR="00053DED" w:rsidRDefault="00053DED" w:rsidP="00053DED">
      <w:pPr>
        <w:spacing w:after="0" w:line="240" w:lineRule="auto"/>
        <w:rPr>
          <w:rFonts w:ascii="Arial" w:hAnsi="Arial" w:cs="Arial"/>
        </w:rPr>
      </w:pPr>
    </w:p>
    <w:p w14:paraId="49403248" w14:textId="77777777" w:rsidR="00053DED" w:rsidRDefault="00053DED" w:rsidP="00053DED">
      <w:pPr>
        <w:spacing w:after="0" w:line="240" w:lineRule="auto"/>
        <w:rPr>
          <w:rFonts w:ascii="Arial" w:hAnsi="Arial" w:cs="Arial"/>
        </w:rPr>
      </w:pPr>
      <w:r>
        <w:rPr>
          <w:rFonts w:ascii="Arial" w:hAnsi="Arial" w:cs="Arial"/>
          <w:noProof/>
        </w:rPr>
        <w:lastRenderedPageBreak/>
        <w:drawing>
          <wp:inline distT="0" distB="0" distL="0" distR="0" wp14:anchorId="46865E1E" wp14:editId="2BD58675">
            <wp:extent cx="6038494" cy="6341423"/>
            <wp:effectExtent l="0" t="0" r="63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 Figure 2.tif"/>
                    <pic:cNvPicPr/>
                  </pic:nvPicPr>
                  <pic:blipFill rotWithShape="1">
                    <a:blip r:embed="rId5" cstate="print">
                      <a:extLst>
                        <a:ext uri="{28A0092B-C50C-407E-A947-70E740481C1C}">
                          <a14:useLocalDpi xmlns:a14="http://schemas.microsoft.com/office/drawing/2010/main" val="0"/>
                        </a:ext>
                      </a:extLst>
                    </a:blip>
                    <a:srcRect l="14486" r="11587" b="40969"/>
                    <a:stretch/>
                  </pic:blipFill>
                  <pic:spPr bwMode="auto">
                    <a:xfrm>
                      <a:off x="0" y="0"/>
                      <a:ext cx="6056215" cy="6360033"/>
                    </a:xfrm>
                    <a:prstGeom prst="rect">
                      <a:avLst/>
                    </a:prstGeom>
                    <a:ln>
                      <a:noFill/>
                    </a:ln>
                    <a:extLst>
                      <a:ext uri="{53640926-AAD7-44D8-BBD7-CCE9431645EC}">
                        <a14:shadowObscured xmlns:a14="http://schemas.microsoft.com/office/drawing/2010/main"/>
                      </a:ext>
                    </a:extLst>
                  </pic:spPr>
                </pic:pic>
              </a:graphicData>
            </a:graphic>
          </wp:inline>
        </w:drawing>
      </w:r>
    </w:p>
    <w:p w14:paraId="3ED5CF0B" w14:textId="77777777" w:rsidR="00053DED" w:rsidRDefault="00053DED" w:rsidP="00053DED">
      <w:pPr>
        <w:spacing w:after="0" w:line="240" w:lineRule="auto"/>
        <w:rPr>
          <w:rFonts w:ascii="Arial" w:hAnsi="Arial" w:cs="Arial"/>
        </w:rPr>
      </w:pPr>
    </w:p>
    <w:p w14:paraId="2B74BF80" w14:textId="77777777" w:rsidR="00053DED" w:rsidRDefault="00053DED" w:rsidP="00053DED">
      <w:pPr>
        <w:jc w:val="both"/>
        <w:rPr>
          <w:rFonts w:ascii="Arial" w:hAnsi="Arial" w:cs="Arial"/>
        </w:rPr>
      </w:pPr>
      <w:r w:rsidRPr="00597E6F">
        <w:rPr>
          <w:rFonts w:ascii="Arial" w:hAnsi="Arial" w:cs="Arial"/>
          <w:b/>
        </w:rPr>
        <w:t xml:space="preserve">Figure </w:t>
      </w:r>
      <w:r>
        <w:rPr>
          <w:rFonts w:ascii="Arial" w:hAnsi="Arial" w:cs="Arial"/>
          <w:b/>
        </w:rPr>
        <w:t>S</w:t>
      </w:r>
      <w:r w:rsidRPr="00597E6F">
        <w:rPr>
          <w:rFonts w:ascii="Arial" w:hAnsi="Arial" w:cs="Arial"/>
          <w:b/>
        </w:rPr>
        <w:t>2. HtrA1 pre</w:t>
      </w:r>
      <w:r>
        <w:rPr>
          <w:rFonts w:ascii="Arial" w:hAnsi="Arial" w:cs="Arial"/>
          <w:b/>
        </w:rPr>
        <w:t>vents α-</w:t>
      </w:r>
      <w:proofErr w:type="spellStart"/>
      <w:r>
        <w:rPr>
          <w:rFonts w:ascii="Arial" w:hAnsi="Arial" w:cs="Arial"/>
          <w:b/>
        </w:rPr>
        <w:t>Syn</w:t>
      </w:r>
      <w:proofErr w:type="spellEnd"/>
      <w:r>
        <w:rPr>
          <w:rFonts w:ascii="Arial" w:hAnsi="Arial" w:cs="Arial"/>
          <w:b/>
        </w:rPr>
        <w:t xml:space="preserve"> </w:t>
      </w:r>
      <w:proofErr w:type="spellStart"/>
      <w:r>
        <w:rPr>
          <w:rFonts w:ascii="Arial" w:hAnsi="Arial" w:cs="Arial"/>
          <w:b/>
        </w:rPr>
        <w:t>amyloidogenesis</w:t>
      </w:r>
      <w:proofErr w:type="spellEnd"/>
      <w:r>
        <w:rPr>
          <w:rFonts w:ascii="Arial" w:hAnsi="Arial" w:cs="Arial"/>
          <w:b/>
        </w:rPr>
        <w:t xml:space="preserve"> and preserves α-</w:t>
      </w:r>
      <w:proofErr w:type="spellStart"/>
      <w:r>
        <w:rPr>
          <w:rFonts w:ascii="Arial" w:hAnsi="Arial" w:cs="Arial"/>
          <w:b/>
        </w:rPr>
        <w:t>Syn</w:t>
      </w:r>
      <w:proofErr w:type="spellEnd"/>
      <w:r>
        <w:rPr>
          <w:rFonts w:ascii="Arial" w:hAnsi="Arial" w:cs="Arial"/>
          <w:b/>
        </w:rPr>
        <w:t xml:space="preserve"> solubility</w:t>
      </w:r>
      <w:r w:rsidRPr="00597E6F">
        <w:rPr>
          <w:rFonts w:ascii="Arial" w:hAnsi="Arial" w:cs="Arial"/>
          <w:b/>
        </w:rPr>
        <w:t>.</w:t>
      </w:r>
      <w:r>
        <w:rPr>
          <w:rFonts w:ascii="Arial" w:hAnsi="Arial" w:cs="Arial"/>
        </w:rPr>
        <w:t xml:space="preserve"> (A) Experiments were performed as in Fig 2A. Here 72h time point is shown. α-</w:t>
      </w:r>
      <w:proofErr w:type="spellStart"/>
      <w:r>
        <w:rPr>
          <w:rFonts w:ascii="Arial" w:hAnsi="Arial" w:cs="Arial"/>
        </w:rPr>
        <w:t>Syn</w:t>
      </w:r>
      <w:proofErr w:type="spellEnd"/>
      <w:r>
        <w:rPr>
          <w:rFonts w:ascii="Arial" w:hAnsi="Arial" w:cs="Arial"/>
        </w:rPr>
        <w:t xml:space="preserve"> monomer (25 </w:t>
      </w:r>
      <w:proofErr w:type="spellStart"/>
      <w:r>
        <w:rPr>
          <w:rFonts w:ascii="Arial" w:hAnsi="Arial" w:cs="Arial"/>
        </w:rPr>
        <w:t>μM</w:t>
      </w:r>
      <w:proofErr w:type="spellEnd"/>
      <w:r>
        <w:rPr>
          <w:rFonts w:ascii="Arial" w:hAnsi="Arial" w:cs="Arial"/>
        </w:rPr>
        <w:t>) was incubated with buffer, HtrA1, HtrA1</w:t>
      </w:r>
      <w:r w:rsidRPr="00597E6F">
        <w:rPr>
          <w:rFonts w:ascii="Arial" w:hAnsi="Arial" w:cs="Arial"/>
          <w:vertAlign w:val="superscript"/>
        </w:rPr>
        <w:t>S328A</w:t>
      </w:r>
      <w:r>
        <w:rPr>
          <w:rFonts w:ascii="Arial" w:hAnsi="Arial" w:cs="Arial"/>
        </w:rPr>
        <w:t xml:space="preserve">, HtrA2, or aldolase (5μM) for 72h. Amyloid content was assessed by </w:t>
      </w:r>
      <w:proofErr w:type="spellStart"/>
      <w:r>
        <w:rPr>
          <w:rFonts w:ascii="Arial" w:hAnsi="Arial" w:cs="Arial"/>
        </w:rPr>
        <w:t>ThioflavinT</w:t>
      </w:r>
      <w:proofErr w:type="spellEnd"/>
      <w:r>
        <w:rPr>
          <w:rFonts w:ascii="Arial" w:hAnsi="Arial" w:cs="Arial"/>
        </w:rPr>
        <w:t xml:space="preserve"> (</w:t>
      </w:r>
      <w:proofErr w:type="spellStart"/>
      <w:r>
        <w:rPr>
          <w:rFonts w:ascii="Arial" w:hAnsi="Arial" w:cs="Arial"/>
        </w:rPr>
        <w:t>ThT</w:t>
      </w:r>
      <w:proofErr w:type="spellEnd"/>
      <w:r>
        <w:rPr>
          <w:rFonts w:ascii="Arial" w:hAnsi="Arial" w:cs="Arial"/>
        </w:rPr>
        <w:t xml:space="preserve">) fluorescence. Values are compared to buffer treatment using a one-way ANOVA with a Dunnett’s multiple comparisons test (N = 3, biological replicates are shown as dots, bars are means </w:t>
      </w:r>
      <w:r w:rsidRPr="00D22B6C">
        <w:rPr>
          <w:rFonts w:ascii="Arial" w:hAnsi="Arial" w:cs="Arial"/>
        </w:rPr>
        <w:t>± SEM, *p&lt;</w:t>
      </w:r>
      <w:r>
        <w:rPr>
          <w:rFonts w:ascii="Arial" w:hAnsi="Arial" w:cs="Arial"/>
        </w:rPr>
        <w:t>0.1). (B) Experiments were performed as in Fig 2C. Here 24h (B) and 48h (C) time points are shown. α-</w:t>
      </w:r>
      <w:proofErr w:type="spellStart"/>
      <w:r>
        <w:rPr>
          <w:rFonts w:ascii="Arial" w:hAnsi="Arial" w:cs="Arial"/>
        </w:rPr>
        <w:t>Syn</w:t>
      </w:r>
      <w:proofErr w:type="spellEnd"/>
      <w:r>
        <w:rPr>
          <w:rFonts w:ascii="Arial" w:hAnsi="Arial" w:cs="Arial"/>
        </w:rPr>
        <w:t xml:space="preserve"> (25μM) was incubated with HtrA1, HtrA1</w:t>
      </w:r>
      <w:r w:rsidRPr="0067773A">
        <w:rPr>
          <w:rFonts w:ascii="Arial" w:hAnsi="Arial" w:cs="Arial"/>
          <w:vertAlign w:val="superscript"/>
        </w:rPr>
        <w:t>S328A</w:t>
      </w:r>
      <w:r>
        <w:rPr>
          <w:rFonts w:ascii="Arial" w:hAnsi="Arial" w:cs="Arial"/>
        </w:rPr>
        <w:t xml:space="preserve">, HtrA2, or aldolase (5μM) at 37ºC. At the indicated time points, samples were removed and fibrillization was assessed by sedimentation. (T = total, P = pellet, S = soluble). </w:t>
      </w:r>
    </w:p>
    <w:p w14:paraId="38E3578F" w14:textId="77777777" w:rsidR="00053DED" w:rsidRDefault="00053DED" w:rsidP="00053DED">
      <w:pPr>
        <w:spacing w:after="0" w:line="240" w:lineRule="auto"/>
        <w:jc w:val="both"/>
        <w:rPr>
          <w:rFonts w:ascii="Arial" w:hAnsi="Arial" w:cs="Arial"/>
          <w:b/>
        </w:rPr>
      </w:pPr>
      <w:r>
        <w:rPr>
          <w:rFonts w:ascii="Arial" w:hAnsi="Arial" w:cs="Arial"/>
          <w:b/>
          <w:noProof/>
        </w:rPr>
        <w:lastRenderedPageBreak/>
        <w:drawing>
          <wp:inline distT="0" distB="0" distL="0" distR="0" wp14:anchorId="3993FD03" wp14:editId="7D5E3301">
            <wp:extent cx="4536748" cy="6929252"/>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 Figure 3.tif"/>
                    <pic:cNvPicPr/>
                  </pic:nvPicPr>
                  <pic:blipFill rotWithShape="1">
                    <a:blip r:embed="rId6" cstate="print">
                      <a:extLst>
                        <a:ext uri="{28A0092B-C50C-407E-A947-70E740481C1C}">
                          <a14:useLocalDpi xmlns:a14="http://schemas.microsoft.com/office/drawing/2010/main" val="0"/>
                        </a:ext>
                      </a:extLst>
                    </a:blip>
                    <a:srcRect t="2748"/>
                    <a:stretch/>
                  </pic:blipFill>
                  <pic:spPr bwMode="auto">
                    <a:xfrm>
                      <a:off x="0" y="0"/>
                      <a:ext cx="4571969" cy="6983048"/>
                    </a:xfrm>
                    <a:prstGeom prst="rect">
                      <a:avLst/>
                    </a:prstGeom>
                    <a:ln>
                      <a:noFill/>
                    </a:ln>
                    <a:extLst>
                      <a:ext uri="{53640926-AAD7-44D8-BBD7-CCE9431645EC}">
                        <a14:shadowObscured xmlns:a14="http://schemas.microsoft.com/office/drawing/2010/main"/>
                      </a:ext>
                    </a:extLst>
                  </pic:spPr>
                </pic:pic>
              </a:graphicData>
            </a:graphic>
          </wp:inline>
        </w:drawing>
      </w:r>
    </w:p>
    <w:p w14:paraId="04A2DC6C" w14:textId="77777777" w:rsidR="00053DED" w:rsidRDefault="00053DED" w:rsidP="00053DED">
      <w:pPr>
        <w:spacing w:after="0" w:line="240" w:lineRule="auto"/>
        <w:jc w:val="both"/>
        <w:rPr>
          <w:rFonts w:ascii="Arial" w:hAnsi="Arial" w:cs="Arial"/>
        </w:rPr>
      </w:pPr>
      <w:r w:rsidRPr="000D0438">
        <w:rPr>
          <w:rFonts w:ascii="Arial" w:hAnsi="Arial" w:cs="Arial"/>
          <w:b/>
        </w:rPr>
        <w:t>Figure S3. HtrA1 prevents α-</w:t>
      </w:r>
      <w:proofErr w:type="spellStart"/>
      <w:r w:rsidRPr="000D0438">
        <w:rPr>
          <w:rFonts w:ascii="Arial" w:hAnsi="Arial" w:cs="Arial"/>
          <w:b/>
        </w:rPr>
        <w:t>Syn</w:t>
      </w:r>
      <w:proofErr w:type="spellEnd"/>
      <w:r w:rsidRPr="000D0438">
        <w:rPr>
          <w:rFonts w:ascii="Arial" w:hAnsi="Arial" w:cs="Arial"/>
          <w:b/>
        </w:rPr>
        <w:t xml:space="preserve"> from forming seeding competent species.</w:t>
      </w:r>
      <w:r>
        <w:rPr>
          <w:rFonts w:ascii="Arial" w:hAnsi="Arial" w:cs="Arial"/>
        </w:rPr>
        <w:t xml:space="preserve"> (A) Experiments were performed as described in Figure 3B, but with varying concentrations of PFFs applied to biosensor cells. Here, α-</w:t>
      </w:r>
      <w:proofErr w:type="spellStart"/>
      <w:r>
        <w:rPr>
          <w:rFonts w:ascii="Arial" w:hAnsi="Arial" w:cs="Arial"/>
        </w:rPr>
        <w:t>syn</w:t>
      </w:r>
      <w:proofErr w:type="spellEnd"/>
      <w:r>
        <w:rPr>
          <w:rFonts w:ascii="Arial" w:hAnsi="Arial" w:cs="Arial"/>
        </w:rPr>
        <w:t xml:space="preserve"> (25μM) was incubated with buffer, HtrA1, or HtrA1</w:t>
      </w:r>
      <w:r w:rsidRPr="006B71F5">
        <w:rPr>
          <w:rFonts w:ascii="Arial" w:hAnsi="Arial" w:cs="Arial"/>
          <w:vertAlign w:val="superscript"/>
        </w:rPr>
        <w:t>S328A</w:t>
      </w:r>
      <w:r>
        <w:rPr>
          <w:rFonts w:ascii="Arial" w:hAnsi="Arial" w:cs="Arial"/>
        </w:rPr>
        <w:t xml:space="preserve"> (5μM) at 37ºC for 48h. Reaction products were transduced into HEK293T biosensor cells at the indicated concentration of PFFs in media. Cells were assessed by microscopy 48h following treatment. (B) Cells from (A) were analyzed by flow cytometry and integrated FRET density was calculated. (N ≥ 3, biological replicates are shown as dots, bars represent means ± SEM). (C) Raw flow cytometry data to accompany Fig 3C-D.</w:t>
      </w:r>
    </w:p>
    <w:p w14:paraId="76EEDC0B" w14:textId="77777777" w:rsidR="00053DED" w:rsidRDefault="00053DED" w:rsidP="00053DED">
      <w:pPr>
        <w:spacing w:after="0" w:line="240" w:lineRule="auto"/>
        <w:rPr>
          <w:rFonts w:ascii="Arial" w:hAnsi="Arial" w:cs="Arial"/>
        </w:rPr>
      </w:pPr>
      <w:r>
        <w:rPr>
          <w:rFonts w:ascii="Arial" w:hAnsi="Arial" w:cs="Arial"/>
          <w:noProof/>
        </w:rPr>
        <w:lastRenderedPageBreak/>
        <w:drawing>
          <wp:inline distT="0" distB="0" distL="0" distR="0" wp14:anchorId="21D7A22E" wp14:editId="68757914">
            <wp:extent cx="5915179" cy="3336966"/>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 Figure 4.tif"/>
                    <pic:cNvPicPr/>
                  </pic:nvPicPr>
                  <pic:blipFill rotWithShape="1">
                    <a:blip r:embed="rId7" cstate="print">
                      <a:extLst>
                        <a:ext uri="{28A0092B-C50C-407E-A947-70E740481C1C}">
                          <a14:useLocalDpi xmlns:a14="http://schemas.microsoft.com/office/drawing/2010/main" val="0"/>
                        </a:ext>
                      </a:extLst>
                    </a:blip>
                    <a:srcRect l="11989" b="50217"/>
                    <a:stretch/>
                  </pic:blipFill>
                  <pic:spPr bwMode="auto">
                    <a:xfrm>
                      <a:off x="0" y="0"/>
                      <a:ext cx="5922675" cy="3341195"/>
                    </a:xfrm>
                    <a:prstGeom prst="rect">
                      <a:avLst/>
                    </a:prstGeom>
                    <a:ln>
                      <a:noFill/>
                    </a:ln>
                    <a:extLst>
                      <a:ext uri="{53640926-AAD7-44D8-BBD7-CCE9431645EC}">
                        <a14:shadowObscured xmlns:a14="http://schemas.microsoft.com/office/drawing/2010/main"/>
                      </a:ext>
                    </a:extLst>
                  </pic:spPr>
                </pic:pic>
              </a:graphicData>
            </a:graphic>
          </wp:inline>
        </w:drawing>
      </w:r>
    </w:p>
    <w:p w14:paraId="447C96C5" w14:textId="77777777" w:rsidR="00053DED" w:rsidRDefault="00053DED" w:rsidP="00053DED">
      <w:pPr>
        <w:spacing w:after="0" w:line="240" w:lineRule="auto"/>
        <w:rPr>
          <w:rFonts w:ascii="Arial" w:hAnsi="Arial" w:cs="Arial"/>
          <w:highlight w:val="yellow"/>
        </w:rPr>
      </w:pPr>
      <w:r w:rsidRPr="00860E82">
        <w:rPr>
          <w:rFonts w:ascii="Arial" w:hAnsi="Arial" w:cs="Arial"/>
          <w:highlight w:val="yellow"/>
        </w:rPr>
        <w:t xml:space="preserve"> </w:t>
      </w:r>
    </w:p>
    <w:p w14:paraId="7AB0D84F" w14:textId="77777777" w:rsidR="00053DED" w:rsidRDefault="00053DED" w:rsidP="00053DED">
      <w:pPr>
        <w:jc w:val="both"/>
        <w:rPr>
          <w:rFonts w:ascii="Arial" w:hAnsi="Arial" w:cs="Arial"/>
        </w:rPr>
      </w:pPr>
      <w:r>
        <w:rPr>
          <w:rFonts w:ascii="Arial" w:hAnsi="Arial" w:cs="Arial"/>
          <w:b/>
        </w:rPr>
        <w:t xml:space="preserve">Figure S4. The protease domain of HtrA1 is necessary and sufficient for remodeling α-syn. </w:t>
      </w:r>
      <w:r>
        <w:rPr>
          <w:rFonts w:ascii="Arial" w:hAnsi="Arial" w:cs="Arial"/>
        </w:rPr>
        <w:t>(A) α-</w:t>
      </w:r>
      <w:proofErr w:type="spellStart"/>
      <w:r>
        <w:rPr>
          <w:rFonts w:ascii="Arial" w:hAnsi="Arial" w:cs="Arial"/>
        </w:rPr>
        <w:t>Syn</w:t>
      </w:r>
      <w:proofErr w:type="spellEnd"/>
      <w:r>
        <w:rPr>
          <w:rFonts w:ascii="Arial" w:hAnsi="Arial" w:cs="Arial"/>
        </w:rPr>
        <w:t xml:space="preserve"> (25μM) or buffer was incubated with the indicated </w:t>
      </w:r>
      <w:proofErr w:type="spellStart"/>
      <w:r>
        <w:rPr>
          <w:rFonts w:ascii="Arial" w:hAnsi="Arial" w:cs="Arial"/>
        </w:rPr>
        <w:t>HtrA</w:t>
      </w:r>
      <w:proofErr w:type="spellEnd"/>
      <w:r>
        <w:rPr>
          <w:rFonts w:ascii="Arial" w:hAnsi="Arial" w:cs="Arial"/>
        </w:rPr>
        <w:t xml:space="preserve"> construct. Following shaking for 24h at 37ºC, the reactions were processed for native PAGE. (B) Raw flow cytometry data to accompany Fig 4F. </w:t>
      </w:r>
    </w:p>
    <w:p w14:paraId="6D67393F" w14:textId="77777777" w:rsidR="00053DED" w:rsidRDefault="00053DED" w:rsidP="00053DED">
      <w:pPr>
        <w:rPr>
          <w:rFonts w:ascii="Arial" w:hAnsi="Arial" w:cs="Arial"/>
        </w:rPr>
      </w:pPr>
      <w:r>
        <w:rPr>
          <w:rFonts w:ascii="Arial" w:hAnsi="Arial" w:cs="Arial"/>
        </w:rPr>
        <w:br w:type="page"/>
      </w:r>
    </w:p>
    <w:p w14:paraId="2C0C0B1E" w14:textId="77777777" w:rsidR="00053DED" w:rsidRDefault="00053DED" w:rsidP="00053DED">
      <w:pPr>
        <w:rPr>
          <w:rFonts w:ascii="Arial" w:hAnsi="Arial" w:cs="Arial"/>
        </w:rPr>
      </w:pPr>
    </w:p>
    <w:p w14:paraId="651340A8" w14:textId="77777777" w:rsidR="00053DED" w:rsidRDefault="00053DED" w:rsidP="00053DED">
      <w:pPr>
        <w:rPr>
          <w:rFonts w:ascii="Arial" w:hAnsi="Arial" w:cs="Arial"/>
          <w:b/>
        </w:rPr>
      </w:pPr>
      <w:r>
        <w:rPr>
          <w:rFonts w:ascii="Arial" w:hAnsi="Arial" w:cs="Arial"/>
          <w:b/>
          <w:noProof/>
        </w:rPr>
        <w:drawing>
          <wp:inline distT="0" distB="0" distL="0" distR="0" wp14:anchorId="7DB2E135" wp14:editId="5276B280">
            <wp:extent cx="5614416" cy="1561338"/>
            <wp:effectExtent l="0" t="0" r="5715"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upplement Figure 5.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14416" cy="1561338"/>
                    </a:xfrm>
                    <a:prstGeom prst="rect">
                      <a:avLst/>
                    </a:prstGeom>
                  </pic:spPr>
                </pic:pic>
              </a:graphicData>
            </a:graphic>
          </wp:inline>
        </w:drawing>
      </w:r>
    </w:p>
    <w:p w14:paraId="2EA4672A" w14:textId="77777777" w:rsidR="00053DED" w:rsidRDefault="00053DED" w:rsidP="00053DED">
      <w:pPr>
        <w:rPr>
          <w:rFonts w:ascii="Arial" w:hAnsi="Arial" w:cs="Arial"/>
          <w:b/>
        </w:rPr>
      </w:pPr>
    </w:p>
    <w:p w14:paraId="741692F1" w14:textId="77777777" w:rsidR="00053DED" w:rsidRDefault="00053DED" w:rsidP="00053DED">
      <w:pPr>
        <w:rPr>
          <w:rFonts w:ascii="Arial" w:hAnsi="Arial" w:cs="Arial"/>
        </w:rPr>
      </w:pPr>
      <w:r w:rsidRPr="0073567F">
        <w:rPr>
          <w:rFonts w:ascii="Arial" w:hAnsi="Arial" w:cs="Arial"/>
          <w:b/>
        </w:rPr>
        <w:t>Figure</w:t>
      </w:r>
      <w:r>
        <w:rPr>
          <w:rFonts w:ascii="Arial" w:hAnsi="Arial" w:cs="Arial"/>
          <w:b/>
        </w:rPr>
        <w:t xml:space="preserve"> S5. HtrA1 treatment remodels α-</w:t>
      </w:r>
      <w:proofErr w:type="spellStart"/>
      <w:r>
        <w:rPr>
          <w:rFonts w:ascii="Arial" w:hAnsi="Arial" w:cs="Arial"/>
          <w:b/>
        </w:rPr>
        <w:t>S</w:t>
      </w:r>
      <w:r w:rsidRPr="0073567F">
        <w:rPr>
          <w:rFonts w:ascii="Arial" w:hAnsi="Arial" w:cs="Arial"/>
          <w:b/>
        </w:rPr>
        <w:t>yn</w:t>
      </w:r>
      <w:proofErr w:type="spellEnd"/>
      <w:r w:rsidRPr="0073567F">
        <w:rPr>
          <w:rFonts w:ascii="Arial" w:hAnsi="Arial" w:cs="Arial"/>
          <w:b/>
        </w:rPr>
        <w:t xml:space="preserve"> PFFs to a seeding incompetent form.</w:t>
      </w:r>
      <w:r>
        <w:rPr>
          <w:rFonts w:ascii="Arial" w:hAnsi="Arial" w:cs="Arial"/>
          <w:b/>
        </w:rPr>
        <w:t xml:space="preserve"> </w:t>
      </w:r>
      <w:r>
        <w:rPr>
          <w:rFonts w:ascii="Arial" w:hAnsi="Arial" w:cs="Arial"/>
        </w:rPr>
        <w:t xml:space="preserve">Raw flow cytometry data to accompany Fig 5F. </w:t>
      </w:r>
    </w:p>
    <w:p w14:paraId="21101BD7" w14:textId="77777777" w:rsidR="00053DED" w:rsidRDefault="00053DED" w:rsidP="00053DED">
      <w:pPr>
        <w:rPr>
          <w:rFonts w:ascii="Arial" w:hAnsi="Arial" w:cs="Arial"/>
        </w:rPr>
      </w:pPr>
      <w:r>
        <w:rPr>
          <w:rFonts w:ascii="Arial" w:hAnsi="Arial" w:cs="Arial"/>
        </w:rPr>
        <w:br w:type="page"/>
      </w:r>
    </w:p>
    <w:p w14:paraId="0208DD5A" w14:textId="77777777" w:rsidR="00053DED" w:rsidRDefault="00053DED" w:rsidP="00053DED">
      <w:pPr>
        <w:rPr>
          <w:rFonts w:ascii="Arial" w:hAnsi="Arial" w:cs="Arial"/>
        </w:rPr>
      </w:pPr>
    </w:p>
    <w:p w14:paraId="29207BCC" w14:textId="77777777" w:rsidR="00053DED" w:rsidRDefault="00053DED" w:rsidP="00053DED">
      <w:pPr>
        <w:rPr>
          <w:rFonts w:ascii="Arial" w:hAnsi="Arial" w:cs="Arial"/>
        </w:rPr>
      </w:pPr>
      <w:r>
        <w:rPr>
          <w:rFonts w:ascii="Arial" w:hAnsi="Arial" w:cs="Arial"/>
          <w:noProof/>
        </w:rPr>
        <w:drawing>
          <wp:inline distT="0" distB="0" distL="0" distR="0" wp14:anchorId="2EAAC945" wp14:editId="68F81DB4">
            <wp:extent cx="5943600" cy="11093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 Figure 6.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109345"/>
                    </a:xfrm>
                    <a:prstGeom prst="rect">
                      <a:avLst/>
                    </a:prstGeom>
                  </pic:spPr>
                </pic:pic>
              </a:graphicData>
            </a:graphic>
          </wp:inline>
        </w:drawing>
      </w:r>
    </w:p>
    <w:p w14:paraId="5E39FA21" w14:textId="77777777" w:rsidR="00053DED" w:rsidRPr="0044078E" w:rsidRDefault="00053DED" w:rsidP="00053DED">
      <w:pPr>
        <w:rPr>
          <w:rFonts w:ascii="Arial" w:hAnsi="Arial" w:cs="Arial"/>
        </w:rPr>
      </w:pPr>
      <w:r w:rsidRPr="0073567F">
        <w:rPr>
          <w:rFonts w:ascii="Arial" w:hAnsi="Arial" w:cs="Arial"/>
          <w:b/>
        </w:rPr>
        <w:t>Figure</w:t>
      </w:r>
      <w:r>
        <w:rPr>
          <w:rFonts w:ascii="Arial" w:hAnsi="Arial" w:cs="Arial"/>
          <w:b/>
        </w:rPr>
        <w:t xml:space="preserve"> S6. Overexpression of HtrA1 prevents α-</w:t>
      </w:r>
      <w:proofErr w:type="spellStart"/>
      <w:r>
        <w:rPr>
          <w:rFonts w:ascii="Arial" w:hAnsi="Arial" w:cs="Arial"/>
          <w:b/>
        </w:rPr>
        <w:t>syn</w:t>
      </w:r>
      <w:proofErr w:type="spellEnd"/>
      <w:r>
        <w:rPr>
          <w:rFonts w:ascii="Arial" w:hAnsi="Arial" w:cs="Arial"/>
          <w:b/>
        </w:rPr>
        <w:t xml:space="preserve"> PFFs from seeding aggregation</w:t>
      </w:r>
      <w:r w:rsidRPr="0073567F">
        <w:rPr>
          <w:rFonts w:ascii="Arial" w:hAnsi="Arial" w:cs="Arial"/>
          <w:b/>
        </w:rPr>
        <w:t>.</w:t>
      </w:r>
      <w:r>
        <w:rPr>
          <w:rFonts w:ascii="Arial" w:hAnsi="Arial" w:cs="Arial"/>
          <w:b/>
        </w:rPr>
        <w:t xml:space="preserve"> </w:t>
      </w:r>
      <w:r>
        <w:rPr>
          <w:rFonts w:ascii="Arial" w:hAnsi="Arial" w:cs="Arial"/>
        </w:rPr>
        <w:t>Raw flow cytometry data to a</w:t>
      </w:r>
      <w:r w:rsidRPr="0044078E">
        <w:rPr>
          <w:rFonts w:ascii="Arial" w:hAnsi="Arial" w:cs="Arial"/>
        </w:rPr>
        <w:t xml:space="preserve">ccompany Fig </w:t>
      </w:r>
      <w:r>
        <w:rPr>
          <w:rFonts w:ascii="Arial" w:hAnsi="Arial" w:cs="Arial"/>
        </w:rPr>
        <w:t>7</w:t>
      </w:r>
      <w:r w:rsidRPr="0044078E">
        <w:rPr>
          <w:rFonts w:ascii="Arial" w:hAnsi="Arial" w:cs="Arial"/>
        </w:rPr>
        <w:t xml:space="preserve">. </w:t>
      </w:r>
    </w:p>
    <w:p w14:paraId="7044252C" w14:textId="77777777" w:rsidR="00BF22EE" w:rsidRDefault="00BF22EE">
      <w:bookmarkStart w:id="0" w:name="_GoBack"/>
      <w:bookmarkEnd w:id="0"/>
    </w:p>
    <w:sectPr w:rsidR="00BF22EE" w:rsidSect="00904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DED"/>
    <w:rsid w:val="00053DED"/>
    <w:rsid w:val="00904EEA"/>
    <w:rsid w:val="00BF2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8CB113C"/>
  <w15:chartTrackingRefBased/>
  <w15:docId w15:val="{1E0DE1BB-607C-C141-97DC-4BBAED13F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DED"/>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369</Words>
  <Characters>2109</Characters>
  <Application>Microsoft Office Word</Application>
  <DocSecurity>0</DocSecurity>
  <Lines>17</Lines>
  <Paragraphs>4</Paragraphs>
  <ScaleCrop>false</ScaleCrop>
  <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2023-08-22T20:10:00Z</dcterms:created>
  <dcterms:modified xsi:type="dcterms:W3CDTF">2023-08-22T20:11:00Z</dcterms:modified>
</cp:coreProperties>
</file>