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F1F0F9" w14:textId="77777777" w:rsidR="001C56D8" w:rsidRPr="00317FFB" w:rsidRDefault="001C56D8" w:rsidP="001C56D8">
      <w:pPr>
        <w:pStyle w:val="Paragraph"/>
        <w:spacing w:line="480" w:lineRule="auto"/>
        <w:ind w:firstLine="0"/>
        <w:rPr>
          <w:b/>
        </w:rPr>
      </w:pPr>
      <w:r w:rsidRPr="00317FFB">
        <w:rPr>
          <w:b/>
        </w:rPr>
        <w:t>Supplementary Materials</w:t>
      </w:r>
    </w:p>
    <w:p w14:paraId="6DB66349" w14:textId="77777777" w:rsidR="001C56D8" w:rsidRPr="00317FFB" w:rsidRDefault="001C56D8" w:rsidP="001C56D8">
      <w:pPr>
        <w:pStyle w:val="Refhead"/>
        <w:spacing w:line="480" w:lineRule="auto"/>
        <w:rPr>
          <w:b w:val="0"/>
        </w:rPr>
      </w:pPr>
      <w:r w:rsidRPr="00317FFB">
        <w:rPr>
          <w:b w:val="0"/>
        </w:rPr>
        <w:t>Table S1</w:t>
      </w:r>
      <w:r w:rsidRPr="00317FFB">
        <w:t xml:space="preserve"> </w:t>
      </w:r>
      <w:r w:rsidRPr="00317FFB">
        <w:rPr>
          <w:b w:val="0"/>
        </w:rPr>
        <w:t>Group Characteristics.</w:t>
      </w:r>
    </w:p>
    <w:p w14:paraId="090BD7C4" w14:textId="77777777" w:rsidR="001C56D8" w:rsidRPr="00317FFB" w:rsidRDefault="001C56D8" w:rsidP="001C56D8">
      <w:pPr>
        <w:pStyle w:val="Refhead"/>
        <w:spacing w:line="480" w:lineRule="auto"/>
        <w:rPr>
          <w:b w:val="0"/>
        </w:rPr>
      </w:pPr>
      <w:r w:rsidRPr="00317FFB">
        <w:rPr>
          <w:b w:val="0"/>
        </w:rPr>
        <w:t>Table S2 IFN-related DMPs in Ausimmune before and after removal of IFN treated samples</w:t>
      </w:r>
    </w:p>
    <w:p w14:paraId="26613194" w14:textId="77777777" w:rsidR="001C56D8" w:rsidRPr="00317FFB" w:rsidRDefault="001C56D8" w:rsidP="001C56D8">
      <w:pPr>
        <w:pStyle w:val="Refhead"/>
        <w:spacing w:line="480" w:lineRule="auto"/>
        <w:rPr>
          <w:b w:val="0"/>
        </w:rPr>
      </w:pPr>
      <w:r w:rsidRPr="00317FFB">
        <w:rPr>
          <w:b w:val="0"/>
        </w:rPr>
        <w:t>Table S3 Overlapping csDMP effect size</w:t>
      </w:r>
    </w:p>
    <w:p w14:paraId="79B7B728" w14:textId="77777777" w:rsidR="001C56D8" w:rsidRPr="00317FFB" w:rsidRDefault="001C56D8" w:rsidP="001C56D8">
      <w:pPr>
        <w:pStyle w:val="Refhead"/>
        <w:spacing w:line="480" w:lineRule="auto"/>
        <w:rPr>
          <w:b w:val="0"/>
        </w:rPr>
      </w:pPr>
      <w:r w:rsidRPr="00317FFB">
        <w:rPr>
          <w:b w:val="0"/>
        </w:rPr>
        <w:t>Fig. S1 Combined analysis of all three cohorts identifies DMPs associated with MS</w:t>
      </w:r>
    </w:p>
    <w:p w14:paraId="17FA62CF" w14:textId="77777777" w:rsidR="001C56D8" w:rsidRPr="00317FFB" w:rsidRDefault="001C56D8" w:rsidP="001C56D8">
      <w:pPr>
        <w:pStyle w:val="Refhead"/>
        <w:spacing w:line="480" w:lineRule="auto"/>
        <w:rPr>
          <w:b w:val="0"/>
        </w:rPr>
      </w:pPr>
      <w:r w:rsidRPr="00317FFB">
        <w:rPr>
          <w:b w:val="0"/>
        </w:rPr>
        <w:t xml:space="preserve">Fig. S2 Manhattan plot showing the magnitude of the </w:t>
      </w:r>
      <w:r w:rsidRPr="00317FFB">
        <w:rPr>
          <w:b w:val="0"/>
          <w:i/>
          <w:iCs/>
        </w:rPr>
        <w:t>HLA-DRB1*15:01</w:t>
      </w:r>
      <w:r w:rsidRPr="00317FFB">
        <w:rPr>
          <w:b w:val="0"/>
        </w:rPr>
        <w:t xml:space="preserve"> Haplotype on methylation</w:t>
      </w:r>
    </w:p>
    <w:p w14:paraId="7BAD5A9D" w14:textId="77777777" w:rsidR="001C56D8" w:rsidRPr="00317FFB" w:rsidRDefault="001C56D8" w:rsidP="001C56D8">
      <w:pPr>
        <w:pStyle w:val="Refhead"/>
        <w:spacing w:line="480" w:lineRule="auto"/>
        <w:rPr>
          <w:b w:val="0"/>
        </w:rPr>
      </w:pPr>
      <w:r w:rsidRPr="00317FFB">
        <w:rPr>
          <w:b w:val="0"/>
        </w:rPr>
        <w:t>Fig. S3 Cell proportion differences between cases and controls using the combined</w:t>
      </w:r>
    </w:p>
    <w:p w14:paraId="447A3AD0" w14:textId="77777777" w:rsidR="001C56D8" w:rsidRPr="00317FFB" w:rsidRDefault="001C56D8" w:rsidP="001C56D8">
      <w:pPr>
        <w:pStyle w:val="Refhead"/>
        <w:spacing w:line="480" w:lineRule="auto"/>
        <w:rPr>
          <w:b w:val="0"/>
        </w:rPr>
      </w:pPr>
      <w:r w:rsidRPr="00317FFB">
        <w:rPr>
          <w:b w:val="0"/>
        </w:rPr>
        <w:t>Fig. S4 Overlap of DMPs among cell subtypes</w:t>
      </w:r>
    </w:p>
    <w:p w14:paraId="202F081E" w14:textId="77777777" w:rsidR="001C56D8" w:rsidRPr="00317FFB" w:rsidRDefault="001C56D8" w:rsidP="001C56D8">
      <w:pPr>
        <w:pStyle w:val="Refhead"/>
        <w:spacing w:line="480" w:lineRule="auto"/>
        <w:rPr>
          <w:b w:val="0"/>
        </w:rPr>
      </w:pPr>
      <w:r w:rsidRPr="00317FFB">
        <w:rPr>
          <w:b w:val="0"/>
        </w:rPr>
        <w:t>Fig. S5 Genome-wide cell-specific DNA methylation profile in discovery group only.</w:t>
      </w:r>
    </w:p>
    <w:p w14:paraId="47573679" w14:textId="77777777" w:rsidR="001C56D8" w:rsidRPr="00317FFB" w:rsidRDefault="001C56D8" w:rsidP="001C56D8">
      <w:pPr>
        <w:pStyle w:val="Refhead"/>
        <w:spacing w:line="480" w:lineRule="auto"/>
        <w:rPr>
          <w:b w:val="0"/>
        </w:rPr>
      </w:pPr>
      <w:r w:rsidRPr="00317FFB">
        <w:rPr>
          <w:b w:val="0"/>
        </w:rPr>
        <w:t>Fig. S6 Whole-Blood over-representation analysis</w:t>
      </w:r>
    </w:p>
    <w:p w14:paraId="77D1960C" w14:textId="77777777" w:rsidR="001C56D8" w:rsidRPr="00317FFB" w:rsidRDefault="001C56D8" w:rsidP="001C56D8">
      <w:pPr>
        <w:pStyle w:val="Refhead"/>
        <w:spacing w:line="480" w:lineRule="auto"/>
        <w:rPr>
          <w:b w:val="0"/>
        </w:rPr>
      </w:pPr>
      <w:r w:rsidRPr="00317FFB">
        <w:rPr>
          <w:b w:val="0"/>
        </w:rPr>
        <w:t>Fig. S7 overlap of Genes containing at least one csDMP identified in this study, Ewing et al. and Ma et al. Study.</w:t>
      </w:r>
    </w:p>
    <w:p w14:paraId="649CFDEC" w14:textId="77777777" w:rsidR="00E1715D" w:rsidRDefault="001C56D8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6D8"/>
    <w:rsid w:val="001942F0"/>
    <w:rsid w:val="001C56D8"/>
    <w:rsid w:val="002C0857"/>
    <w:rsid w:val="003F01F8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26894"/>
  <w15:chartTrackingRefBased/>
  <w15:docId w15:val="{F902A3EE-827F-4358-9EEA-95B7577BF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C56D8"/>
    <w:pPr>
      <w:spacing w:before="120"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fhead">
    <w:name w:val="Ref head"/>
    <w:basedOn w:val="Normal"/>
    <w:link w:val="RefheadChar"/>
    <w:rsid w:val="001C56D8"/>
    <w:pPr>
      <w:keepNext/>
      <w:spacing w:before="120" w:after="120" w:line="240" w:lineRule="auto"/>
      <w:outlineLvl w:val="0"/>
    </w:pPr>
    <w:rPr>
      <w:rFonts w:ascii="Times New Roman" w:eastAsia="Times New Roman" w:hAnsi="Times New Roman" w:cs="Times New Roman"/>
      <w:b/>
      <w:bCs/>
      <w:kern w:val="28"/>
      <w:sz w:val="24"/>
      <w:szCs w:val="24"/>
    </w:rPr>
  </w:style>
  <w:style w:type="character" w:customStyle="1" w:styleId="RefheadChar">
    <w:name w:val="Ref head Char"/>
    <w:basedOn w:val="DefaultParagraphFont"/>
    <w:link w:val="Refhead"/>
    <w:rsid w:val="001C56D8"/>
    <w:rPr>
      <w:rFonts w:ascii="Times New Roman" w:eastAsia="Times New Roman" w:hAnsi="Times New Roman" w:cs="Times New Roman"/>
      <w:b/>
      <w:bCs/>
      <w:kern w:val="28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622</Characters>
  <Application>Microsoft Office Word</Application>
  <DocSecurity>0</DocSecurity>
  <Lines>5</Lines>
  <Paragraphs>1</Paragraphs>
  <ScaleCrop>false</ScaleCrop>
  <Company>Springer Nature</Company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2023-02-14T11:05:00Z</dcterms:created>
  <dcterms:modified xsi:type="dcterms:W3CDTF">2023-02-14T11:05:00Z</dcterms:modified>
</cp:coreProperties>
</file>