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5E163" w14:textId="77777777" w:rsidR="00B66AA5" w:rsidRPr="00D130EE" w:rsidRDefault="00B66AA5" w:rsidP="00B66AA5">
      <w:pPr>
        <w:spacing w:line="240" w:lineRule="auto"/>
        <w:jc w:val="center"/>
        <w:rPr>
          <w:rFonts w:ascii="Arial" w:hAnsi="Arial" w:cs="Arial"/>
          <w:b/>
          <w:sz w:val="28"/>
          <w:szCs w:val="28"/>
        </w:rPr>
      </w:pPr>
      <w:r w:rsidRPr="00D130EE">
        <w:rPr>
          <w:rFonts w:ascii="Arial" w:hAnsi="Arial" w:cs="Arial"/>
          <w:b/>
          <w:bCs/>
          <w:sz w:val="28"/>
          <w:szCs w:val="28"/>
        </w:rPr>
        <w:t>Supplementary Information For “The Climate Implications of Ending Global Poverty”</w:t>
      </w:r>
    </w:p>
    <w:p w14:paraId="37546024" w14:textId="77777777" w:rsidR="00B66AA5" w:rsidRPr="00633BAE" w:rsidRDefault="00B66AA5" w:rsidP="00B66AA5">
      <w:pPr>
        <w:jc w:val="both"/>
        <w:rPr>
          <w:rFonts w:ascii="Arial" w:hAnsi="Arial" w:cs="Arial"/>
        </w:rPr>
      </w:pPr>
      <w:r w:rsidRPr="005C0FF9">
        <w:rPr>
          <w:rFonts w:ascii="Arial" w:hAnsi="Arial" w:cs="Arial"/>
        </w:rPr>
        <w:t>This file contains</w:t>
      </w:r>
      <w:r w:rsidRPr="00633BAE">
        <w:rPr>
          <w:rFonts w:ascii="Arial" w:hAnsi="Arial" w:cs="Arial"/>
        </w:rPr>
        <w:t xml:space="preserve"> Supplementary Methods, Supplementary Discussion, Supplementary Tables S1 and S2. Supplementary Methods: Part A.1 details consumption distributions and poverty lines underlying the analysis. Part A.2 provides additional detail on the relationship of non-energy greenhouse gases and GDP per capita growth. Supplementary Discussion: Part B.1 shows the emissions at different poverty targets, poverty lines, and target years. Part B.2 shows reductions in carbon in poor and non-poor countries needed to offset the emissions of poverty eradication. Part B.3 presents an extended scenario analysis and robustness checks.</w:t>
      </w:r>
    </w:p>
    <w:p w14:paraId="3AF9225D" w14:textId="77777777" w:rsidR="00B66AA5" w:rsidRDefault="00B66AA5" w:rsidP="00B66AA5">
      <w:pPr>
        <w:jc w:val="both"/>
        <w:rPr>
          <w:rFonts w:ascii="Arial" w:hAnsi="Arial" w:cs="Arial"/>
          <w:b/>
          <w:bCs/>
        </w:rPr>
      </w:pPr>
      <w:r>
        <w:rPr>
          <w:rFonts w:ascii="Arial" w:hAnsi="Arial" w:cs="Arial"/>
          <w:b/>
          <w:bCs/>
        </w:rPr>
        <w:t xml:space="preserve">A Supplementary Methods </w:t>
      </w:r>
    </w:p>
    <w:p w14:paraId="02A82919" w14:textId="77777777" w:rsidR="00B66AA5" w:rsidRPr="00A316E1" w:rsidRDefault="00B66AA5" w:rsidP="00B66AA5">
      <w:pPr>
        <w:jc w:val="both"/>
        <w:rPr>
          <w:rFonts w:ascii="Arial" w:hAnsi="Arial" w:cs="Arial"/>
          <w:b/>
          <w:bCs/>
        </w:rPr>
      </w:pPr>
      <w:r>
        <w:rPr>
          <w:rFonts w:ascii="Arial" w:hAnsi="Arial" w:cs="Arial"/>
          <w:b/>
          <w:bCs/>
        </w:rPr>
        <w:t>A.1 Consumption distributions and poverty lines</w:t>
      </w:r>
    </w:p>
    <w:p w14:paraId="083D595C" w14:textId="10588949" w:rsidR="00B66AA5" w:rsidRPr="00B438E4" w:rsidRDefault="00B66AA5" w:rsidP="00B66AA5">
      <w:pPr>
        <w:jc w:val="both"/>
        <w:rPr>
          <w:rFonts w:ascii="Arial" w:hAnsi="Arial" w:cs="Arial"/>
        </w:rPr>
      </w:pPr>
      <w:r w:rsidRPr="00B438E4">
        <w:rPr>
          <w:rFonts w:ascii="Arial" w:hAnsi="Arial" w:cs="Arial"/>
        </w:rPr>
        <w:t>Our income and consumption distributions for 2022 come from the World Bank’s 202</w:t>
      </w:r>
      <w:r>
        <w:rPr>
          <w:rFonts w:ascii="Arial" w:hAnsi="Arial" w:cs="Arial"/>
        </w:rPr>
        <w:t>2</w:t>
      </w:r>
      <w:r w:rsidRPr="00B438E4">
        <w:rPr>
          <w:rFonts w:ascii="Arial" w:hAnsi="Arial" w:cs="Arial"/>
        </w:rPr>
        <w:t xml:space="preserve"> Poverty and Shared Prosperity Report</w:t>
      </w:r>
      <w:r w:rsidRPr="00B65030">
        <w:rPr>
          <w:rFonts w:ascii="Arial" w:hAnsi="Arial" w:cs="Arial"/>
          <w:szCs w:val="24"/>
          <w:vertAlign w:val="superscript"/>
        </w:rPr>
        <w:t>10</w:t>
      </w:r>
      <w:r w:rsidRPr="00B438E4">
        <w:rPr>
          <w:rFonts w:ascii="Arial" w:hAnsi="Arial" w:cs="Arial"/>
        </w:rPr>
        <w:t>, a bi-annual flagship report by the World Bank used for tracking extreme poverty and reporting on the first target of the first sustainable development goal. These 2022 distributions reflect the latest harmonized income or expenditure surveys conducted that the World Bank has access to, extrapolated to 2022. Until 2020, the extrapolation done by the World Bank assumes that the entire income and consumption vectors grow according to growth rates in real GDP per capita or Household Final Consumption Expenditure (HFCE) per capita</w:t>
      </w:r>
      <w:r>
        <w:rPr>
          <w:rFonts w:ascii="Arial" w:hAnsi="Arial" w:cs="Arial"/>
        </w:rPr>
        <w:t>.</w:t>
      </w:r>
      <w:r w:rsidRPr="00B65030">
        <w:rPr>
          <w:rFonts w:ascii="Arial" w:hAnsi="Arial" w:cs="Arial"/>
          <w:szCs w:val="24"/>
          <w:vertAlign w:val="superscript"/>
        </w:rPr>
        <w:t>38</w:t>
      </w:r>
      <w:r w:rsidRPr="00B438E4">
        <w:rPr>
          <w:rFonts w:ascii="Arial" w:hAnsi="Arial" w:cs="Arial"/>
        </w:rPr>
        <w:t xml:space="preserve"> This means that they keep constant the shape of the distribution and level of inequality observed in the last survey.</w:t>
      </w:r>
    </w:p>
    <w:p w14:paraId="3499D785" w14:textId="642FAB21" w:rsidR="00B66AA5" w:rsidRPr="00B438E4" w:rsidRDefault="00B66AA5" w:rsidP="00B66AA5">
      <w:pPr>
        <w:jc w:val="both"/>
        <w:rPr>
          <w:rFonts w:ascii="Arial" w:hAnsi="Arial" w:cs="Arial"/>
        </w:rPr>
      </w:pPr>
      <w:r w:rsidRPr="00B438E4">
        <w:rPr>
          <w:rFonts w:ascii="Arial" w:hAnsi="Arial" w:cs="Arial"/>
        </w:rPr>
        <w:t xml:space="preserve">Given the unprecedented shock to incomes and consumption in 2020 due to lockdowns, social protection programs, and more, the extrapolation from 2019 to 2020 </w:t>
      </w:r>
      <w:r>
        <w:rPr>
          <w:rFonts w:ascii="Arial" w:hAnsi="Arial" w:cs="Arial"/>
        </w:rPr>
        <w:t xml:space="preserve">in the 2022 report </w:t>
      </w:r>
      <w:r w:rsidRPr="00B438E4">
        <w:rPr>
          <w:rFonts w:ascii="Arial" w:hAnsi="Arial" w:cs="Arial"/>
        </w:rPr>
        <w:t xml:space="preserve">relies </w:t>
      </w:r>
      <w:r>
        <w:rPr>
          <w:rFonts w:ascii="Arial" w:hAnsi="Arial" w:cs="Arial"/>
        </w:rPr>
        <w:t xml:space="preserve">on another paper which uses </w:t>
      </w:r>
      <w:r w:rsidRPr="00B438E4">
        <w:rPr>
          <w:rFonts w:ascii="Arial" w:hAnsi="Arial" w:cs="Arial"/>
        </w:rPr>
        <w:t>actual survey data, simulations from other papers using tax-benefit models, or simulations from high-frequency phone surveys, in that order of preference</w:t>
      </w:r>
      <w:r>
        <w:rPr>
          <w:rFonts w:ascii="Arial" w:hAnsi="Arial" w:cs="Arial"/>
        </w:rPr>
        <w:t>, to project the distributions forward to 2020</w:t>
      </w:r>
      <w:r w:rsidRPr="00B438E4">
        <w:rPr>
          <w:rFonts w:ascii="Arial" w:hAnsi="Arial" w:cs="Arial"/>
        </w:rPr>
        <w:t>.</w:t>
      </w:r>
      <w:r w:rsidRPr="00B65030">
        <w:rPr>
          <w:rFonts w:ascii="Arial" w:hAnsi="Arial" w:cs="Arial"/>
          <w:szCs w:val="24"/>
          <w:vertAlign w:val="superscript"/>
        </w:rPr>
        <w:t>39</w:t>
      </w:r>
      <w:r w:rsidRPr="00B438E4">
        <w:rPr>
          <w:rFonts w:ascii="Arial" w:hAnsi="Arial" w:cs="Arial"/>
        </w:rPr>
        <w:t xml:space="preserve"> When none of these sources are available, growth rates in GDP per capita are used. From 2020 to 2022, the distributions are once again projected forward using growth rates in GDP per capita or HFCE per capita. </w:t>
      </w:r>
    </w:p>
    <w:p w14:paraId="0CEDE386" w14:textId="77777777" w:rsidR="00B66AA5" w:rsidRDefault="00B66AA5" w:rsidP="00B66AA5">
      <w:pPr>
        <w:jc w:val="both"/>
        <w:rPr>
          <w:rFonts w:ascii="Arial" w:hAnsi="Arial" w:cs="Arial"/>
        </w:rPr>
      </w:pPr>
      <w:r w:rsidRPr="00B438E4">
        <w:rPr>
          <w:rFonts w:ascii="Arial" w:hAnsi="Arial" w:cs="Arial"/>
        </w:rPr>
        <w:t xml:space="preserve">A challenge with the 2022 distributions is that they are a mix of consumption and income aggregates. Richer countries often do not collect detailed consumption data while incomes are hard and less meaningful to measure in poorer countries, where subsistence farming, which rarely is associated with a formal income, is widespread. Income distributions tend to be more unequal than consumption distributions because incomes can be very low (and even negative), while subsistence requires daily consumption to be above a minimum level. At the same time, individuals can have very high incomes </w:t>
      </w:r>
      <w:proofErr w:type="gramStart"/>
      <w:r w:rsidRPr="00B438E4">
        <w:rPr>
          <w:rFonts w:ascii="Arial" w:hAnsi="Arial" w:cs="Arial"/>
        </w:rPr>
        <w:t>in a given year</w:t>
      </w:r>
      <w:proofErr w:type="gramEnd"/>
      <w:r w:rsidRPr="00B438E4">
        <w:rPr>
          <w:rFonts w:ascii="Arial" w:hAnsi="Arial" w:cs="Arial"/>
        </w:rPr>
        <w:t xml:space="preserve"> but are unlikely to consume it all, and rather save some for investing and savings. </w:t>
      </w:r>
      <w:r>
        <w:rPr>
          <w:rFonts w:ascii="Arial" w:hAnsi="Arial" w:cs="Arial"/>
        </w:rPr>
        <w:t>T</w:t>
      </w:r>
      <w:r w:rsidRPr="00B438E4">
        <w:rPr>
          <w:rFonts w:ascii="Arial" w:hAnsi="Arial" w:cs="Arial"/>
        </w:rPr>
        <w:t>here will likely always be some individuals with very low or negative income each year due to a negative capital shock or for other reasons. Yet this may not imply that their consumption falls below any problematic threshold. This poses a challenge for our study because it is not obvious that income poverty can be ended</w:t>
      </w:r>
      <w:r>
        <w:rPr>
          <w:rFonts w:ascii="Arial" w:hAnsi="Arial" w:cs="Arial"/>
        </w:rPr>
        <w:t xml:space="preserve">. </w:t>
      </w:r>
      <w:r w:rsidRPr="00B438E4">
        <w:rPr>
          <w:rFonts w:ascii="Arial" w:hAnsi="Arial" w:cs="Arial"/>
        </w:rPr>
        <w:t>For that reason, we convert income distributions to consumption distributions</w:t>
      </w:r>
      <w:r>
        <w:rPr>
          <w:rFonts w:ascii="Arial" w:hAnsi="Arial" w:cs="Arial"/>
        </w:rPr>
        <w:t>.</w:t>
      </w:r>
    </w:p>
    <w:p w14:paraId="1D3E4A96" w14:textId="77777777" w:rsidR="00B66AA5" w:rsidRPr="00B438E4" w:rsidRDefault="00B66AA5" w:rsidP="00B66AA5">
      <w:pPr>
        <w:jc w:val="both"/>
        <w:rPr>
          <w:rFonts w:ascii="Arial" w:hAnsi="Arial" w:cs="Arial"/>
        </w:rPr>
      </w:pPr>
      <w:r w:rsidRPr="00B438E4">
        <w:rPr>
          <w:rFonts w:ascii="Arial" w:hAnsi="Arial" w:cs="Arial"/>
        </w:rPr>
        <w:t>To convert income distributions to consumption distributions, we first take all cases in the World Bank’s Poverty and Inequality Platform with both income and consumption distribution available for the same country and the same year. This concerns the cases</w:t>
      </w:r>
      <w:r>
        <w:rPr>
          <w:rFonts w:ascii="Arial" w:hAnsi="Arial" w:cs="Arial"/>
        </w:rPr>
        <w:t xml:space="preserve"> listed in Table S1.</w:t>
      </w:r>
    </w:p>
    <w:p w14:paraId="79C00F7A" w14:textId="77777777" w:rsidR="00B66AA5" w:rsidRPr="00B438E4" w:rsidRDefault="00B66AA5" w:rsidP="00B66AA5">
      <w:pPr>
        <w:jc w:val="both"/>
        <w:rPr>
          <w:rFonts w:ascii="Arial" w:hAnsi="Arial" w:cs="Arial"/>
        </w:rPr>
      </w:pPr>
      <w:r w:rsidRPr="00B438E4">
        <w:rPr>
          <w:rFonts w:ascii="Arial" w:hAnsi="Arial" w:cs="Arial"/>
        </w:rPr>
        <w:lastRenderedPageBreak/>
        <w:t>Next, we collapse each of these income and consumption distributions to 100 quantiles representing the income or consumption level at the 0.5</w:t>
      </w:r>
      <w:r w:rsidRPr="00B438E4">
        <w:rPr>
          <w:rFonts w:ascii="Arial" w:hAnsi="Arial" w:cs="Arial"/>
          <w:vertAlign w:val="superscript"/>
        </w:rPr>
        <w:t>th</w:t>
      </w:r>
      <w:r w:rsidRPr="00B438E4">
        <w:rPr>
          <w:rFonts w:ascii="Arial" w:hAnsi="Arial" w:cs="Arial"/>
        </w:rPr>
        <w:t xml:space="preserve"> percentile, 1.5</w:t>
      </w:r>
      <w:r w:rsidRPr="00B438E4">
        <w:rPr>
          <w:rFonts w:ascii="Arial" w:hAnsi="Arial" w:cs="Arial"/>
          <w:vertAlign w:val="superscript"/>
        </w:rPr>
        <w:t>th</w:t>
      </w:r>
      <w:r w:rsidRPr="00B438E4">
        <w:rPr>
          <w:rFonts w:ascii="Arial" w:hAnsi="Arial" w:cs="Arial"/>
        </w:rPr>
        <w:t xml:space="preserve"> percentile, etc., all the way to the 99.5</w:t>
      </w:r>
      <w:r w:rsidRPr="00B438E4">
        <w:rPr>
          <w:rFonts w:ascii="Arial" w:hAnsi="Arial" w:cs="Arial"/>
          <w:vertAlign w:val="superscript"/>
        </w:rPr>
        <w:t>th</w:t>
      </w:r>
      <w:r w:rsidRPr="00B438E4">
        <w:rPr>
          <w:rFonts w:ascii="Arial" w:hAnsi="Arial" w:cs="Arial"/>
        </w:rPr>
        <w:t xml:space="preserve"> percentile. We create consumption-income pairs for each country-year-percentile. For example, the 10.5</w:t>
      </w:r>
      <w:r w:rsidRPr="00B438E4">
        <w:rPr>
          <w:rFonts w:ascii="Arial" w:hAnsi="Arial" w:cs="Arial"/>
          <w:vertAlign w:val="superscript"/>
        </w:rPr>
        <w:t>th</w:t>
      </w:r>
      <w:r w:rsidRPr="00B438E4">
        <w:rPr>
          <w:rFonts w:ascii="Arial" w:hAnsi="Arial" w:cs="Arial"/>
        </w:rPr>
        <w:t xml:space="preserve"> percentile of the 2016 Albanian distribution shows that 10.5% of the population had a daily consumption less than $4.79 while 10.5% of the population had an income less than $2.83. These need not be the same people. </w:t>
      </w:r>
    </w:p>
    <w:p w14:paraId="581EBF9B" w14:textId="7456BE81" w:rsidR="00B66AA5" w:rsidRPr="00B438E4" w:rsidRDefault="00B66AA5" w:rsidP="00B66AA5">
      <w:pPr>
        <w:jc w:val="both"/>
        <w:rPr>
          <w:rFonts w:ascii="Arial" w:hAnsi="Arial" w:cs="Arial"/>
        </w:rPr>
      </w:pPr>
      <w:r w:rsidRPr="00B438E4">
        <w:rPr>
          <w:rFonts w:ascii="Arial" w:hAnsi="Arial" w:cs="Arial"/>
        </w:rPr>
        <w:t>Plotting all pairs reveals that there are more people with very low incomes than very low consumption levels but conversely more people with very high-income levels than very high consumption levels (</w:t>
      </w:r>
      <w:r w:rsidRPr="00A27B22">
        <w:rPr>
          <w:rFonts w:ascii="Arial" w:eastAsiaTheme="minorEastAsia" w:hAnsi="Arial" w:cs="Arial"/>
          <w:iCs/>
        </w:rPr>
        <w:t>Extended Data Figure 11</w:t>
      </w:r>
      <w:r>
        <w:rPr>
          <w:rFonts w:ascii="Arial" w:hAnsi="Arial" w:cs="Arial"/>
        </w:rPr>
        <w:t>a</w:t>
      </w:r>
      <w:r w:rsidRPr="00B438E4">
        <w:rPr>
          <w:rFonts w:ascii="Arial" w:hAnsi="Arial" w:cs="Arial"/>
        </w:rPr>
        <w:t>). In other words, the consumption distributions tend to be more compressed.</w:t>
      </w:r>
    </w:p>
    <w:p w14:paraId="2EA97E58" w14:textId="77777777" w:rsidR="00B66AA5" w:rsidRPr="00B438E4" w:rsidRDefault="00B66AA5" w:rsidP="00B66AA5">
      <w:pPr>
        <w:tabs>
          <w:tab w:val="num" w:pos="720"/>
        </w:tabs>
        <w:jc w:val="both"/>
        <w:rPr>
          <w:rFonts w:ascii="Arial" w:hAnsi="Arial" w:cs="Arial"/>
        </w:rPr>
      </w:pPr>
      <w:r w:rsidRPr="00B438E4">
        <w:rPr>
          <w:rFonts w:ascii="Arial" w:hAnsi="Arial" w:cs="Arial"/>
        </w:rPr>
        <w:t>To convert income levels to consumption levels we fit various regressions on the consumption-income percentile pairs. To be theoretically guided about what functional form to fit, we consider the functional form if both consumption and income follows distributional patterns frequently assumed. If the distributions of consumption and income are both log normal but with different mean and standard deviation, then</w:t>
      </w:r>
    </w:p>
    <w:p w14:paraId="3760B210" w14:textId="77777777" w:rsidR="00B66AA5" w:rsidRPr="00B438E4" w:rsidRDefault="00B66AA5" w:rsidP="00B66AA5">
      <w:pPr>
        <w:jc w:val="both"/>
        <w:rPr>
          <w:rFonts w:ascii="Arial" w:hAnsi="Arial" w:cs="Arial"/>
        </w:rPr>
      </w:pPr>
      <m:oMathPara>
        <m:oMathParaPr>
          <m:jc m:val="centerGroup"/>
        </m:oMathParaPr>
        <m:oMath>
          <m:r>
            <w:rPr>
              <w:rFonts w:ascii="Cambria Math" w:hAnsi="Cambria Math" w:cs="Arial"/>
            </w:rPr>
            <m:t>F</m:t>
          </m:r>
          <m:d>
            <m:dPr>
              <m:ctrlPr>
                <w:rPr>
                  <w:rFonts w:ascii="Cambria Math" w:hAnsi="Cambria Math" w:cs="Arial"/>
                  <w:i/>
                  <w:iCs/>
                </w:rPr>
              </m:ctrlPr>
            </m:dPr>
            <m:e>
              <m:r>
                <w:rPr>
                  <w:rFonts w:ascii="Cambria Math" w:hAnsi="Cambria Math" w:cs="Arial"/>
                </w:rPr>
                <m:t>inc</m:t>
              </m:r>
            </m:e>
          </m:d>
          <m:r>
            <w:rPr>
              <w:rFonts w:ascii="Cambria Math" w:hAnsi="Cambria Math" w:cs="Arial"/>
            </w:rPr>
            <m:t>=</m:t>
          </m:r>
          <m:f>
            <m:fPr>
              <m:ctrlPr>
                <w:rPr>
                  <w:rFonts w:ascii="Cambria Math" w:hAnsi="Cambria Math" w:cs="Arial"/>
                  <w:i/>
                  <w:iCs/>
                </w:rPr>
              </m:ctrlPr>
            </m:fPr>
            <m:num>
              <m:r>
                <w:rPr>
                  <w:rFonts w:ascii="Cambria Math" w:hAnsi="Cambria Math" w:cs="Arial"/>
                </w:rPr>
                <m:t>1</m:t>
              </m:r>
            </m:num>
            <m:den>
              <m:r>
                <w:rPr>
                  <w:rFonts w:ascii="Cambria Math" w:hAnsi="Cambria Math" w:cs="Arial"/>
                </w:rPr>
                <m:t>2</m:t>
              </m:r>
            </m:den>
          </m:f>
          <m:d>
            <m:dPr>
              <m:begChr m:val="["/>
              <m:endChr m:val="]"/>
              <m:ctrlPr>
                <w:rPr>
                  <w:rFonts w:ascii="Cambria Math" w:hAnsi="Cambria Math" w:cs="Arial"/>
                  <w:i/>
                  <w:iCs/>
                </w:rPr>
              </m:ctrlPr>
            </m:dPr>
            <m:e>
              <m:r>
                <m:rPr>
                  <m:sty m:val="p"/>
                </m:rPr>
                <w:rPr>
                  <w:rFonts w:ascii="Cambria Math" w:hAnsi="Cambria Math" w:cs="Arial"/>
                </w:rPr>
                <m:t>1+erf⁡</m:t>
              </m:r>
              <m:d>
                <m:dPr>
                  <m:ctrlPr>
                    <w:rPr>
                      <w:rFonts w:ascii="Cambria Math" w:hAnsi="Cambria Math" w:cs="Arial"/>
                      <w:i/>
                      <w:iCs/>
                    </w:rPr>
                  </m:ctrlPr>
                </m:dPr>
                <m:e>
                  <m:f>
                    <m:fPr>
                      <m:ctrlPr>
                        <w:rPr>
                          <w:rFonts w:ascii="Cambria Math" w:hAnsi="Cambria Math" w:cs="Arial"/>
                          <w:i/>
                          <w:iCs/>
                        </w:rPr>
                      </m:ctrlPr>
                    </m:fPr>
                    <m:num>
                      <m:r>
                        <m:rPr>
                          <m:sty m:val="p"/>
                        </m:rPr>
                        <w:rPr>
                          <w:rFonts w:ascii="Cambria Math" w:hAnsi="Cambria Math" w:cs="Arial"/>
                        </w:rPr>
                        <m:t>ln</m:t>
                      </m:r>
                      <m:d>
                        <m:dPr>
                          <m:ctrlPr>
                            <w:rPr>
                              <w:rFonts w:ascii="Cambria Math" w:hAnsi="Cambria Math" w:cs="Arial"/>
                              <w:i/>
                              <w:iCs/>
                            </w:rPr>
                          </m:ctrlPr>
                        </m:dPr>
                        <m:e>
                          <m:r>
                            <m:rPr>
                              <m:sty m:val="p"/>
                            </m:rPr>
                            <w:rPr>
                              <w:rFonts w:ascii="Cambria Math" w:hAnsi="Cambria Math" w:cs="Arial"/>
                            </w:rPr>
                            <m:t>inc</m:t>
                          </m:r>
                        </m:e>
                      </m:d>
                      <m:r>
                        <w:rPr>
                          <w:rFonts w:ascii="Cambria Math" w:hAnsi="Cambria Math" w:cs="Arial"/>
                        </w:rPr>
                        <m:t>-</m:t>
                      </m:r>
                      <m:sSub>
                        <m:sSubPr>
                          <m:ctrlPr>
                            <w:rPr>
                              <w:rFonts w:ascii="Cambria Math" w:hAnsi="Cambria Math" w:cs="Arial"/>
                              <w:i/>
                              <w:iCs/>
                            </w:rPr>
                          </m:ctrlPr>
                        </m:sSubPr>
                        <m:e>
                          <m:r>
                            <w:rPr>
                              <w:rFonts w:ascii="Cambria Math" w:hAnsi="Cambria Math" w:cs="Arial"/>
                            </w:rPr>
                            <m:t>μ</m:t>
                          </m:r>
                        </m:e>
                        <m:sub>
                          <m:r>
                            <w:rPr>
                              <w:rFonts w:ascii="Cambria Math" w:hAnsi="Cambria Math" w:cs="Arial"/>
                            </w:rPr>
                            <m:t>inc</m:t>
                          </m:r>
                        </m:sub>
                      </m:sSub>
                    </m:num>
                    <m:den>
                      <m:sSub>
                        <m:sSubPr>
                          <m:ctrlPr>
                            <w:rPr>
                              <w:rFonts w:ascii="Cambria Math" w:hAnsi="Cambria Math" w:cs="Arial"/>
                              <w:i/>
                              <w:iCs/>
                            </w:rPr>
                          </m:ctrlPr>
                        </m:sSubPr>
                        <m:e>
                          <m:r>
                            <w:rPr>
                              <w:rFonts w:ascii="Cambria Math" w:hAnsi="Cambria Math" w:cs="Arial"/>
                            </w:rPr>
                            <m:t>σ</m:t>
                          </m:r>
                        </m:e>
                        <m:sub>
                          <m:r>
                            <w:rPr>
                              <w:rFonts w:ascii="Cambria Math" w:hAnsi="Cambria Math" w:cs="Arial"/>
                            </w:rPr>
                            <m:t>inc</m:t>
                          </m:r>
                        </m:sub>
                      </m:sSub>
                      <m:rad>
                        <m:radPr>
                          <m:degHide m:val="1"/>
                          <m:ctrlPr>
                            <w:rPr>
                              <w:rFonts w:ascii="Cambria Math" w:hAnsi="Cambria Math" w:cs="Arial"/>
                              <w:i/>
                              <w:iCs/>
                            </w:rPr>
                          </m:ctrlPr>
                        </m:radPr>
                        <m:deg/>
                        <m:e>
                          <m:r>
                            <w:rPr>
                              <w:rFonts w:ascii="Cambria Math" w:hAnsi="Cambria Math" w:cs="Arial"/>
                            </w:rPr>
                            <m:t>2</m:t>
                          </m:r>
                        </m:e>
                      </m:rad>
                    </m:den>
                  </m:f>
                </m:e>
              </m:d>
            </m:e>
          </m:d>
          <m:r>
            <m:rPr>
              <m:sty m:val="p"/>
            </m:rPr>
            <w:rPr>
              <w:rFonts w:ascii="Cambria Math" w:hAnsi="Cambria Math" w:cs="Arial"/>
            </w:rPr>
            <m:t>⁡</m:t>
          </m:r>
        </m:oMath>
      </m:oMathPara>
    </w:p>
    <w:p w14:paraId="139BDD37" w14:textId="77777777" w:rsidR="00B66AA5" w:rsidRPr="00B438E4" w:rsidRDefault="00B66AA5" w:rsidP="00B66AA5">
      <w:pPr>
        <w:jc w:val="both"/>
        <w:rPr>
          <w:rFonts w:ascii="Arial" w:hAnsi="Arial" w:cs="Arial"/>
        </w:rPr>
      </w:pPr>
      <m:oMathPara>
        <m:oMathParaPr>
          <m:jc m:val="centerGroup"/>
        </m:oMathParaPr>
        <m:oMath>
          <m:r>
            <w:rPr>
              <w:rFonts w:ascii="Cambria Math" w:hAnsi="Cambria Math" w:cs="Arial"/>
            </w:rPr>
            <m:t>F</m:t>
          </m:r>
          <m:d>
            <m:dPr>
              <m:ctrlPr>
                <w:rPr>
                  <w:rFonts w:ascii="Cambria Math" w:hAnsi="Cambria Math" w:cs="Arial"/>
                  <w:i/>
                  <w:iCs/>
                </w:rPr>
              </m:ctrlPr>
            </m:dPr>
            <m:e>
              <m:r>
                <w:rPr>
                  <w:rFonts w:ascii="Cambria Math" w:hAnsi="Cambria Math" w:cs="Arial"/>
                </w:rPr>
                <m:t>con</m:t>
              </m:r>
            </m:e>
          </m:d>
          <m:r>
            <w:rPr>
              <w:rFonts w:ascii="Cambria Math" w:hAnsi="Cambria Math" w:cs="Arial"/>
            </w:rPr>
            <m:t>=</m:t>
          </m:r>
          <m:f>
            <m:fPr>
              <m:ctrlPr>
                <w:rPr>
                  <w:rFonts w:ascii="Cambria Math" w:hAnsi="Cambria Math" w:cs="Arial"/>
                  <w:i/>
                  <w:iCs/>
                </w:rPr>
              </m:ctrlPr>
            </m:fPr>
            <m:num>
              <m:r>
                <w:rPr>
                  <w:rFonts w:ascii="Cambria Math" w:hAnsi="Cambria Math" w:cs="Arial"/>
                </w:rPr>
                <m:t>1</m:t>
              </m:r>
            </m:num>
            <m:den>
              <m:r>
                <w:rPr>
                  <w:rFonts w:ascii="Cambria Math" w:hAnsi="Cambria Math" w:cs="Arial"/>
                </w:rPr>
                <m:t>2</m:t>
              </m:r>
            </m:den>
          </m:f>
          <m:d>
            <m:dPr>
              <m:begChr m:val="["/>
              <m:endChr m:val="]"/>
              <m:ctrlPr>
                <w:rPr>
                  <w:rFonts w:ascii="Cambria Math" w:hAnsi="Cambria Math" w:cs="Arial"/>
                  <w:i/>
                  <w:iCs/>
                </w:rPr>
              </m:ctrlPr>
            </m:dPr>
            <m:e>
              <m:r>
                <m:rPr>
                  <m:sty m:val="p"/>
                </m:rPr>
                <w:rPr>
                  <w:rFonts w:ascii="Cambria Math" w:hAnsi="Cambria Math" w:cs="Arial"/>
                </w:rPr>
                <m:t>1+erf⁡</m:t>
              </m:r>
              <m:d>
                <m:dPr>
                  <m:ctrlPr>
                    <w:rPr>
                      <w:rFonts w:ascii="Cambria Math" w:hAnsi="Cambria Math" w:cs="Arial"/>
                      <w:i/>
                      <w:iCs/>
                    </w:rPr>
                  </m:ctrlPr>
                </m:dPr>
                <m:e>
                  <m:f>
                    <m:fPr>
                      <m:ctrlPr>
                        <w:rPr>
                          <w:rFonts w:ascii="Cambria Math" w:hAnsi="Cambria Math" w:cs="Arial"/>
                          <w:i/>
                          <w:iCs/>
                        </w:rPr>
                      </m:ctrlPr>
                    </m:fPr>
                    <m:num>
                      <m:r>
                        <m:rPr>
                          <m:sty m:val="p"/>
                        </m:rPr>
                        <w:rPr>
                          <w:rFonts w:ascii="Cambria Math" w:hAnsi="Cambria Math" w:cs="Arial"/>
                        </w:rPr>
                        <m:t>ln</m:t>
                      </m:r>
                      <m:d>
                        <m:dPr>
                          <m:ctrlPr>
                            <w:rPr>
                              <w:rFonts w:ascii="Cambria Math" w:hAnsi="Cambria Math" w:cs="Arial"/>
                              <w:i/>
                              <w:iCs/>
                            </w:rPr>
                          </m:ctrlPr>
                        </m:dPr>
                        <m:e>
                          <m:r>
                            <m:rPr>
                              <m:sty m:val="p"/>
                            </m:rPr>
                            <w:rPr>
                              <w:rFonts w:ascii="Cambria Math" w:hAnsi="Cambria Math" w:cs="Arial"/>
                            </w:rPr>
                            <m:t>con</m:t>
                          </m:r>
                        </m:e>
                      </m:d>
                      <m:r>
                        <w:rPr>
                          <w:rFonts w:ascii="Cambria Math" w:hAnsi="Cambria Math" w:cs="Arial"/>
                        </w:rPr>
                        <m:t>-</m:t>
                      </m:r>
                      <m:sSub>
                        <m:sSubPr>
                          <m:ctrlPr>
                            <w:rPr>
                              <w:rFonts w:ascii="Cambria Math" w:hAnsi="Cambria Math" w:cs="Arial"/>
                              <w:i/>
                              <w:iCs/>
                            </w:rPr>
                          </m:ctrlPr>
                        </m:sSubPr>
                        <m:e>
                          <m:r>
                            <w:rPr>
                              <w:rFonts w:ascii="Cambria Math" w:hAnsi="Cambria Math" w:cs="Arial"/>
                            </w:rPr>
                            <m:t>μ</m:t>
                          </m:r>
                        </m:e>
                        <m:sub>
                          <m:r>
                            <w:rPr>
                              <w:rFonts w:ascii="Cambria Math" w:hAnsi="Cambria Math" w:cs="Arial"/>
                            </w:rPr>
                            <m:t>con</m:t>
                          </m:r>
                        </m:sub>
                      </m:sSub>
                    </m:num>
                    <m:den>
                      <m:sSub>
                        <m:sSubPr>
                          <m:ctrlPr>
                            <w:rPr>
                              <w:rFonts w:ascii="Cambria Math" w:hAnsi="Cambria Math" w:cs="Arial"/>
                              <w:i/>
                              <w:iCs/>
                            </w:rPr>
                          </m:ctrlPr>
                        </m:sSubPr>
                        <m:e>
                          <m:r>
                            <w:rPr>
                              <w:rFonts w:ascii="Cambria Math" w:hAnsi="Cambria Math" w:cs="Arial"/>
                            </w:rPr>
                            <m:t>σ</m:t>
                          </m:r>
                        </m:e>
                        <m:sub>
                          <m:r>
                            <w:rPr>
                              <w:rFonts w:ascii="Cambria Math" w:hAnsi="Cambria Math" w:cs="Arial"/>
                            </w:rPr>
                            <m:t>con</m:t>
                          </m:r>
                        </m:sub>
                      </m:sSub>
                      <m:rad>
                        <m:radPr>
                          <m:degHide m:val="1"/>
                          <m:ctrlPr>
                            <w:rPr>
                              <w:rFonts w:ascii="Cambria Math" w:hAnsi="Cambria Math" w:cs="Arial"/>
                              <w:i/>
                              <w:iCs/>
                            </w:rPr>
                          </m:ctrlPr>
                        </m:radPr>
                        <m:deg/>
                        <m:e>
                          <m:r>
                            <w:rPr>
                              <w:rFonts w:ascii="Cambria Math" w:hAnsi="Cambria Math" w:cs="Arial"/>
                            </w:rPr>
                            <m:t>2</m:t>
                          </m:r>
                        </m:e>
                      </m:rad>
                    </m:den>
                  </m:f>
                </m:e>
              </m:d>
            </m:e>
          </m:d>
          <m:r>
            <m:rPr>
              <m:sty m:val="p"/>
            </m:rPr>
            <w:rPr>
              <w:rFonts w:ascii="Cambria Math" w:hAnsi="Cambria Math" w:cs="Arial"/>
            </w:rPr>
            <m:t>⁡</m:t>
          </m:r>
        </m:oMath>
      </m:oMathPara>
    </w:p>
    <w:p w14:paraId="5D8252CE" w14:textId="7D02A512" w:rsidR="00B66AA5" w:rsidRDefault="00B66AA5" w:rsidP="00B66AA5">
      <w:pPr>
        <w:jc w:val="both"/>
        <w:rPr>
          <w:rFonts w:ascii="Arial" w:eastAsiaTheme="minorEastAsia" w:hAnsi="Arial" w:cs="Arial"/>
          <w:iCs/>
        </w:rPr>
      </w:pPr>
      <w:r w:rsidRPr="00B438E4">
        <w:rPr>
          <w:rFonts w:ascii="Arial" w:hAnsi="Arial" w:cs="Arial"/>
        </w:rPr>
        <w:t xml:space="preserve">To find the relationship between income and consumption at any given quantile, we set </w:t>
      </w:r>
      <m:oMath>
        <m:r>
          <m:rPr>
            <m:sty m:val="p"/>
          </m:rPr>
          <w:rPr>
            <w:rFonts w:ascii="Cambria Math" w:hAnsi="Cambria Math" w:cs="Arial"/>
          </w:rPr>
          <m:t>  </m:t>
        </m:r>
        <m:r>
          <w:rPr>
            <w:rFonts w:ascii="Cambria Math" w:hAnsi="Cambria Math" w:cs="Arial"/>
          </w:rPr>
          <m:t>F</m:t>
        </m:r>
        <m:d>
          <m:dPr>
            <m:ctrlPr>
              <w:rPr>
                <w:rFonts w:ascii="Cambria Math" w:hAnsi="Cambria Math" w:cs="Arial"/>
                <w:i/>
                <w:iCs/>
              </w:rPr>
            </m:ctrlPr>
          </m:dPr>
          <m:e>
            <m:r>
              <w:rPr>
                <w:rFonts w:ascii="Cambria Math" w:hAnsi="Cambria Math" w:cs="Arial"/>
              </w:rPr>
              <m:t>con</m:t>
            </m:r>
          </m:e>
        </m:d>
        <m:r>
          <m:rPr>
            <m:sty m:val="p"/>
          </m:rPr>
          <w:rPr>
            <w:rFonts w:ascii="Cambria Math" w:hAnsi="Cambria Math" w:cs="Arial"/>
          </w:rPr>
          <m:t>=</m:t>
        </m:r>
        <m:r>
          <w:rPr>
            <w:rFonts w:ascii="Cambria Math" w:hAnsi="Cambria Math" w:cs="Arial"/>
          </w:rPr>
          <m:t>F</m:t>
        </m:r>
        <m:d>
          <m:dPr>
            <m:ctrlPr>
              <w:rPr>
                <w:rFonts w:ascii="Cambria Math" w:hAnsi="Cambria Math" w:cs="Arial"/>
                <w:i/>
                <w:iCs/>
              </w:rPr>
            </m:ctrlPr>
          </m:dPr>
          <m:e>
            <m:r>
              <w:rPr>
                <w:rFonts w:ascii="Cambria Math" w:hAnsi="Cambria Math" w:cs="Arial"/>
              </w:rPr>
              <m:t>inc</m:t>
            </m:r>
          </m:e>
        </m:d>
      </m:oMath>
      <w:r w:rsidRPr="00B438E4">
        <w:rPr>
          <w:rFonts w:ascii="Arial" w:eastAsiaTheme="minorEastAsia" w:hAnsi="Arial" w:cs="Arial"/>
          <w:iCs/>
        </w:rPr>
        <w:t xml:space="preserve"> and isolate for </w:t>
      </w:r>
      <m:oMath>
        <m:r>
          <w:rPr>
            <w:rFonts w:ascii="Cambria Math" w:eastAsiaTheme="minorEastAsia" w:hAnsi="Cambria Math" w:cs="Arial"/>
          </w:rPr>
          <m:t>ln</m:t>
        </m:r>
        <m:d>
          <m:dPr>
            <m:ctrlPr>
              <w:rPr>
                <w:rFonts w:ascii="Cambria Math" w:eastAsiaTheme="minorEastAsia" w:hAnsi="Cambria Math" w:cs="Arial"/>
                <w:i/>
                <w:iCs/>
              </w:rPr>
            </m:ctrlPr>
          </m:dPr>
          <m:e>
            <m:r>
              <m:rPr>
                <m:sty m:val="p"/>
              </m:rPr>
              <w:rPr>
                <w:rFonts w:ascii="Cambria Math" w:eastAsiaTheme="minorEastAsia" w:hAnsi="Cambria Math" w:cs="Arial"/>
              </w:rPr>
              <m:t>con</m:t>
            </m:r>
          </m:e>
        </m:d>
      </m:oMath>
      <w:r w:rsidRPr="00B438E4">
        <w:rPr>
          <w:rFonts w:ascii="Arial" w:eastAsiaTheme="minorEastAsia" w:hAnsi="Arial" w:cs="Arial"/>
          <w:iCs/>
        </w:rPr>
        <w:t>.</w:t>
      </w:r>
      <w:r w:rsidRPr="00B438E4">
        <w:rPr>
          <w:rFonts w:ascii="Arial" w:eastAsia="Times New Roman" w:hAnsi="Arial" w:cs="Arial"/>
          <w:color w:val="000000" w:themeColor="text1"/>
          <w:kern w:val="24"/>
        </w:rPr>
        <w:t xml:space="preserve"> </w:t>
      </w:r>
      <w:r w:rsidRPr="00B438E4">
        <w:rPr>
          <w:rFonts w:ascii="Arial" w:eastAsiaTheme="minorEastAsia" w:hAnsi="Arial" w:cs="Arial"/>
          <w:iCs/>
        </w:rPr>
        <w:t xml:space="preserve">Doing so yields </w:t>
      </w:r>
      <m:oMath>
        <m:r>
          <w:rPr>
            <w:rFonts w:ascii="Cambria Math" w:eastAsiaTheme="minorEastAsia" w:hAnsi="Cambria Math" w:cs="Arial"/>
          </w:rPr>
          <m:t>ln</m:t>
        </m:r>
        <m:d>
          <m:dPr>
            <m:ctrlPr>
              <w:rPr>
                <w:rFonts w:ascii="Cambria Math" w:eastAsiaTheme="minorEastAsia" w:hAnsi="Cambria Math" w:cs="Arial"/>
                <w:i/>
                <w:iCs/>
              </w:rPr>
            </m:ctrlPr>
          </m:dPr>
          <m:e>
            <m:r>
              <m:rPr>
                <m:sty m:val="p"/>
              </m:rPr>
              <w:rPr>
                <w:rFonts w:ascii="Cambria Math" w:eastAsiaTheme="minorEastAsia" w:hAnsi="Cambria Math" w:cs="Arial"/>
              </w:rPr>
              <m:t>con</m:t>
            </m:r>
          </m:e>
        </m:d>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μ</m:t>
            </m:r>
          </m:e>
          <m:sub>
            <m:r>
              <w:rPr>
                <w:rFonts w:ascii="Cambria Math" w:eastAsiaTheme="minorEastAsia" w:hAnsi="Cambria Math" w:cs="Arial"/>
              </w:rPr>
              <m:t>con</m:t>
            </m:r>
          </m:sub>
        </m:sSub>
        <m:r>
          <w:rPr>
            <w:rFonts w:ascii="Cambria Math" w:eastAsiaTheme="minorEastAsia" w:hAnsi="Cambria Math" w:cs="Arial"/>
          </w:rPr>
          <m:t>-</m:t>
        </m:r>
        <m:f>
          <m:fPr>
            <m:ctrlPr>
              <w:rPr>
                <w:rFonts w:ascii="Cambria Math" w:eastAsiaTheme="minorEastAsia" w:hAnsi="Cambria Math" w:cs="Arial"/>
                <w:i/>
                <w:iCs/>
              </w:rPr>
            </m:ctrlPr>
          </m:fPr>
          <m:num>
            <m:sSub>
              <m:sSubPr>
                <m:ctrlPr>
                  <w:rPr>
                    <w:rFonts w:ascii="Cambria Math" w:eastAsiaTheme="minorEastAsia" w:hAnsi="Cambria Math" w:cs="Arial"/>
                    <w:i/>
                    <w:iCs/>
                  </w:rPr>
                </m:ctrlPr>
              </m:sSubPr>
              <m:e>
                <m:r>
                  <w:rPr>
                    <w:rFonts w:ascii="Cambria Math" w:eastAsiaTheme="minorEastAsia" w:hAnsi="Cambria Math" w:cs="Arial"/>
                  </w:rPr>
                  <m:t>σ</m:t>
                </m:r>
              </m:e>
              <m:sub>
                <m:r>
                  <w:rPr>
                    <w:rFonts w:ascii="Cambria Math" w:eastAsiaTheme="minorEastAsia" w:hAnsi="Cambria Math" w:cs="Arial"/>
                  </w:rPr>
                  <m:t>con</m:t>
                </m:r>
              </m:sub>
            </m:sSub>
          </m:num>
          <m:den>
            <m:sSub>
              <m:sSubPr>
                <m:ctrlPr>
                  <w:rPr>
                    <w:rFonts w:ascii="Cambria Math" w:eastAsiaTheme="minorEastAsia" w:hAnsi="Cambria Math" w:cs="Arial"/>
                    <w:i/>
                    <w:iCs/>
                  </w:rPr>
                </m:ctrlPr>
              </m:sSubPr>
              <m:e>
                <m:r>
                  <w:rPr>
                    <w:rFonts w:ascii="Cambria Math" w:eastAsiaTheme="minorEastAsia" w:hAnsi="Cambria Math" w:cs="Arial"/>
                  </w:rPr>
                  <m:t>σ</m:t>
                </m:r>
              </m:e>
              <m:sub>
                <m:r>
                  <w:rPr>
                    <w:rFonts w:ascii="Cambria Math" w:eastAsiaTheme="minorEastAsia" w:hAnsi="Cambria Math" w:cs="Arial"/>
                  </w:rPr>
                  <m:t>inc</m:t>
                </m:r>
              </m:sub>
            </m:sSub>
          </m:den>
        </m:f>
        <m:sSub>
          <m:sSubPr>
            <m:ctrlPr>
              <w:rPr>
                <w:rFonts w:ascii="Cambria Math" w:eastAsiaTheme="minorEastAsia" w:hAnsi="Cambria Math" w:cs="Arial"/>
                <w:i/>
                <w:iCs/>
              </w:rPr>
            </m:ctrlPr>
          </m:sSubPr>
          <m:e>
            <m:r>
              <w:rPr>
                <w:rFonts w:ascii="Cambria Math" w:eastAsiaTheme="minorEastAsia" w:hAnsi="Cambria Math" w:cs="Arial"/>
              </w:rPr>
              <m:t>μ</m:t>
            </m:r>
          </m:e>
          <m:sub>
            <m:r>
              <w:rPr>
                <w:rFonts w:ascii="Cambria Math" w:eastAsiaTheme="minorEastAsia" w:hAnsi="Cambria Math" w:cs="Arial"/>
              </w:rPr>
              <m:t>inc</m:t>
            </m:r>
          </m:sub>
        </m:sSub>
        <m:r>
          <w:rPr>
            <w:rFonts w:ascii="Cambria Math" w:eastAsiaTheme="minorEastAsia" w:hAnsi="Cambria Math" w:cs="Arial"/>
          </w:rPr>
          <m:t>+</m:t>
        </m:r>
        <m:f>
          <m:fPr>
            <m:ctrlPr>
              <w:rPr>
                <w:rFonts w:ascii="Cambria Math" w:eastAsiaTheme="minorEastAsia" w:hAnsi="Cambria Math" w:cs="Arial"/>
                <w:i/>
                <w:iCs/>
              </w:rPr>
            </m:ctrlPr>
          </m:fPr>
          <m:num>
            <m:sSub>
              <m:sSubPr>
                <m:ctrlPr>
                  <w:rPr>
                    <w:rFonts w:ascii="Cambria Math" w:eastAsiaTheme="minorEastAsia" w:hAnsi="Cambria Math" w:cs="Arial"/>
                    <w:i/>
                    <w:iCs/>
                  </w:rPr>
                </m:ctrlPr>
              </m:sSubPr>
              <m:e>
                <m:r>
                  <w:rPr>
                    <w:rFonts w:ascii="Cambria Math" w:eastAsiaTheme="minorEastAsia" w:hAnsi="Cambria Math" w:cs="Arial"/>
                  </w:rPr>
                  <m:t>σ</m:t>
                </m:r>
              </m:e>
              <m:sub>
                <m:r>
                  <w:rPr>
                    <w:rFonts w:ascii="Cambria Math" w:eastAsiaTheme="minorEastAsia" w:hAnsi="Cambria Math" w:cs="Arial"/>
                  </w:rPr>
                  <m:t>con</m:t>
                </m:r>
              </m:sub>
            </m:sSub>
          </m:num>
          <m:den>
            <m:sSub>
              <m:sSubPr>
                <m:ctrlPr>
                  <w:rPr>
                    <w:rFonts w:ascii="Cambria Math" w:eastAsiaTheme="minorEastAsia" w:hAnsi="Cambria Math" w:cs="Arial"/>
                    <w:i/>
                    <w:iCs/>
                  </w:rPr>
                </m:ctrlPr>
              </m:sSubPr>
              <m:e>
                <m:r>
                  <w:rPr>
                    <w:rFonts w:ascii="Cambria Math" w:eastAsiaTheme="minorEastAsia" w:hAnsi="Cambria Math" w:cs="Arial"/>
                  </w:rPr>
                  <m:t>σ</m:t>
                </m:r>
              </m:e>
              <m:sub>
                <m:r>
                  <w:rPr>
                    <w:rFonts w:ascii="Cambria Math" w:eastAsiaTheme="minorEastAsia" w:hAnsi="Cambria Math" w:cs="Arial"/>
                  </w:rPr>
                  <m:t>inc</m:t>
                </m:r>
              </m:sub>
            </m:sSub>
          </m:den>
        </m:f>
        <m:r>
          <m:rPr>
            <m:sty m:val="p"/>
          </m:rPr>
          <w:rPr>
            <w:rFonts w:ascii="Cambria Math" w:eastAsiaTheme="minorEastAsia" w:hAnsi="Cambria Math" w:cs="Arial"/>
          </w:rPr>
          <m:t>ln</m:t>
        </m:r>
        <m:d>
          <m:dPr>
            <m:ctrlPr>
              <w:rPr>
                <w:rFonts w:ascii="Cambria Math" w:eastAsiaTheme="minorEastAsia" w:hAnsi="Cambria Math" w:cs="Arial"/>
                <w:i/>
                <w:iCs/>
              </w:rPr>
            </m:ctrlPr>
          </m:dPr>
          <m:e>
            <m:r>
              <m:rPr>
                <m:sty m:val="p"/>
              </m:rPr>
              <w:rPr>
                <w:rFonts w:ascii="Cambria Math" w:eastAsiaTheme="minorEastAsia" w:hAnsi="Cambria Math" w:cs="Arial"/>
              </w:rPr>
              <m:t>inc</m:t>
            </m:r>
          </m:e>
        </m:d>
      </m:oMath>
      <w:r w:rsidRPr="00B438E4">
        <w:rPr>
          <w:rFonts w:ascii="Arial" w:eastAsiaTheme="minorEastAsia" w:hAnsi="Arial" w:cs="Arial"/>
          <w:iCs/>
        </w:rPr>
        <w:t xml:space="preserve">. In other words, </w:t>
      </w:r>
      <m:oMath>
        <m:r>
          <w:rPr>
            <w:rFonts w:ascii="Cambria Math" w:eastAsiaTheme="minorEastAsia" w:hAnsi="Cambria Math" w:cs="Arial"/>
          </w:rPr>
          <m:t>ln</m:t>
        </m:r>
        <m:d>
          <m:dPr>
            <m:ctrlPr>
              <w:rPr>
                <w:rFonts w:ascii="Cambria Math" w:eastAsiaTheme="minorEastAsia" w:hAnsi="Cambria Math" w:cs="Arial"/>
                <w:i/>
                <w:iCs/>
              </w:rPr>
            </m:ctrlPr>
          </m:dPr>
          <m:e>
            <m:r>
              <m:rPr>
                <m:sty m:val="p"/>
              </m:rPr>
              <w:rPr>
                <w:rFonts w:ascii="Cambria Math" w:eastAsiaTheme="minorEastAsia" w:hAnsi="Cambria Math" w:cs="Arial"/>
              </w:rPr>
              <m:t>con</m:t>
            </m:r>
          </m:e>
        </m:d>
      </m:oMath>
      <w:r w:rsidRPr="00B438E4">
        <w:rPr>
          <w:rFonts w:ascii="Arial" w:eastAsiaTheme="minorEastAsia" w:hAnsi="Arial" w:cs="Arial"/>
          <w:iCs/>
        </w:rPr>
        <w:t xml:space="preserve"> would be a linear function of </w:t>
      </w:r>
      <m:oMath>
        <m:r>
          <w:rPr>
            <w:rFonts w:ascii="Cambria Math" w:eastAsiaTheme="minorEastAsia" w:hAnsi="Cambria Math" w:cs="Arial"/>
          </w:rPr>
          <m:t>ln</m:t>
        </m:r>
        <m:d>
          <m:dPr>
            <m:ctrlPr>
              <w:rPr>
                <w:rFonts w:ascii="Cambria Math" w:eastAsiaTheme="minorEastAsia" w:hAnsi="Cambria Math" w:cs="Arial"/>
                <w:i/>
                <w:iCs/>
              </w:rPr>
            </m:ctrlPr>
          </m:dPr>
          <m:e>
            <m:r>
              <m:rPr>
                <m:sty m:val="p"/>
              </m:rPr>
              <w:rPr>
                <w:rFonts w:ascii="Cambria Math" w:eastAsiaTheme="minorEastAsia" w:hAnsi="Cambria Math" w:cs="Arial"/>
              </w:rPr>
              <m:t>inc</m:t>
            </m:r>
          </m:e>
        </m:d>
      </m:oMath>
      <w:r w:rsidRPr="00B438E4">
        <w:rPr>
          <w:rFonts w:ascii="Arial" w:eastAsiaTheme="minorEastAsia" w:hAnsi="Arial" w:cs="Arial"/>
          <w:iCs/>
        </w:rPr>
        <w:t>. Fitting this regression gives an adjusted R</w:t>
      </w:r>
      <w:r w:rsidRPr="00B438E4">
        <w:rPr>
          <w:rFonts w:ascii="Arial" w:eastAsiaTheme="minorEastAsia" w:hAnsi="Arial" w:cs="Arial"/>
          <w:iCs/>
          <w:vertAlign w:val="superscript"/>
        </w:rPr>
        <w:t>2</w:t>
      </w:r>
      <w:r w:rsidRPr="00B438E4">
        <w:rPr>
          <w:rFonts w:ascii="Arial" w:eastAsiaTheme="minorEastAsia" w:hAnsi="Arial" w:cs="Arial"/>
          <w:iCs/>
        </w:rPr>
        <w:t xml:space="preserve"> of 0.879. Yet it fails to capture the more curved relationship observed in the scatter plot </w:t>
      </w:r>
      <w:r w:rsidRPr="004630C5">
        <w:rPr>
          <w:rFonts w:ascii="Arial" w:eastAsiaTheme="minorEastAsia" w:hAnsi="Arial" w:cs="Arial"/>
          <w:iCs/>
        </w:rPr>
        <w:t>(Extended Data Figure 11</w:t>
      </w:r>
      <w:r>
        <w:rPr>
          <w:rFonts w:ascii="Arial" w:eastAsiaTheme="minorEastAsia" w:hAnsi="Arial" w:cs="Arial"/>
          <w:iCs/>
        </w:rPr>
        <w:t>b</w:t>
      </w:r>
      <w:r w:rsidRPr="00B438E4">
        <w:rPr>
          <w:rFonts w:ascii="Arial" w:eastAsiaTheme="minorEastAsia" w:hAnsi="Arial" w:cs="Arial"/>
          <w:iCs/>
        </w:rPr>
        <w:t>).</w:t>
      </w:r>
    </w:p>
    <w:p w14:paraId="6BAFA224" w14:textId="77777777" w:rsidR="00B66AA5" w:rsidRPr="00B438E4" w:rsidRDefault="00B66AA5" w:rsidP="00B66AA5">
      <w:pPr>
        <w:jc w:val="both"/>
        <w:rPr>
          <w:rFonts w:ascii="Arial" w:eastAsiaTheme="minorEastAsia" w:hAnsi="Arial" w:cs="Arial"/>
          <w:iCs/>
        </w:rPr>
      </w:pPr>
      <w:r w:rsidRPr="00B438E4">
        <w:rPr>
          <w:rFonts w:ascii="Arial" w:eastAsiaTheme="minorEastAsia" w:hAnsi="Arial" w:cs="Arial"/>
          <w:iCs/>
        </w:rPr>
        <w:t xml:space="preserve">To deal with this issue, we assume that </w:t>
      </w:r>
      <w:r>
        <w:rPr>
          <w:rFonts w:ascii="Arial" w:eastAsiaTheme="minorEastAsia" w:hAnsi="Arial" w:cs="Arial"/>
          <w:iCs/>
        </w:rPr>
        <w:t>the</w:t>
      </w:r>
      <w:r w:rsidRPr="00B438E4">
        <w:rPr>
          <w:rFonts w:ascii="Arial" w:eastAsiaTheme="minorEastAsia" w:hAnsi="Arial" w:cs="Arial"/>
          <w:iCs/>
        </w:rPr>
        <w:t xml:space="preserve"> distributions </w:t>
      </w:r>
      <w:r>
        <w:rPr>
          <w:rFonts w:ascii="Arial" w:eastAsiaTheme="minorEastAsia" w:hAnsi="Arial" w:cs="Arial"/>
          <w:iCs/>
        </w:rPr>
        <w:t xml:space="preserve">follow the </w:t>
      </w:r>
      <w:r w:rsidRPr="00B438E4">
        <w:rPr>
          <w:rFonts w:ascii="Arial" w:eastAsiaTheme="minorEastAsia" w:hAnsi="Arial" w:cs="Arial"/>
          <w:iCs/>
        </w:rPr>
        <w:t>three-parameter log</w:t>
      </w:r>
      <w:r>
        <w:rPr>
          <w:rFonts w:ascii="Arial" w:eastAsiaTheme="minorEastAsia" w:hAnsi="Arial" w:cs="Arial"/>
          <w:iCs/>
        </w:rPr>
        <w:t>-</w:t>
      </w:r>
      <w:r w:rsidRPr="00B438E4">
        <w:rPr>
          <w:rFonts w:ascii="Arial" w:eastAsiaTheme="minorEastAsia" w:hAnsi="Arial" w:cs="Arial"/>
          <w:iCs/>
        </w:rPr>
        <w:t>normal</w:t>
      </w:r>
      <w:r>
        <w:rPr>
          <w:rFonts w:ascii="Arial" w:eastAsiaTheme="minorEastAsia" w:hAnsi="Arial" w:cs="Arial"/>
          <w:iCs/>
        </w:rPr>
        <w:t xml:space="preserve"> distribution</w:t>
      </w:r>
      <w:r w:rsidRPr="00B438E4">
        <w:rPr>
          <w:rFonts w:ascii="Arial" w:eastAsiaTheme="minorEastAsia" w:hAnsi="Arial" w:cs="Arial"/>
          <w:iCs/>
        </w:rPr>
        <w:t xml:space="preserve">. The </w:t>
      </w:r>
      <w:r>
        <w:rPr>
          <w:rFonts w:ascii="Arial" w:eastAsiaTheme="minorEastAsia" w:hAnsi="Arial" w:cs="Arial"/>
          <w:iCs/>
        </w:rPr>
        <w:t>third parameter</w:t>
      </w:r>
      <w:r w:rsidRPr="00B438E4">
        <w:rPr>
          <w:rFonts w:ascii="Arial" w:eastAsiaTheme="minorEastAsia" w:hAnsi="Arial" w:cs="Arial"/>
          <w:iCs/>
        </w:rPr>
        <w:t xml:space="preserve">, </w:t>
      </w:r>
      <m:oMath>
        <m:r>
          <w:rPr>
            <w:rFonts w:ascii="Cambria Math" w:hAnsi="Cambria Math" w:cs="Arial"/>
          </w:rPr>
          <m:t>γ,</m:t>
        </m:r>
      </m:oMath>
      <w:r w:rsidRPr="00B438E4">
        <w:rPr>
          <w:rFonts w:ascii="Arial" w:eastAsiaTheme="minorEastAsia" w:hAnsi="Arial" w:cs="Arial"/>
        </w:rPr>
        <w:t xml:space="preserve"> is a bound on the distribution above 0. If, say, it is $1, then it means that the distribution in question only has support from that level and upwards.</w:t>
      </w:r>
    </w:p>
    <w:p w14:paraId="4BEC4234" w14:textId="77777777" w:rsidR="00B66AA5" w:rsidRPr="00B438E4" w:rsidRDefault="00B66AA5" w:rsidP="00B66AA5">
      <w:pPr>
        <w:jc w:val="both"/>
        <w:rPr>
          <w:rFonts w:ascii="Arial" w:hAnsi="Arial" w:cs="Arial"/>
        </w:rPr>
      </w:pPr>
      <m:oMathPara>
        <m:oMathParaPr>
          <m:jc m:val="centerGroup"/>
        </m:oMathParaPr>
        <m:oMath>
          <m:r>
            <w:rPr>
              <w:rFonts w:ascii="Cambria Math" w:hAnsi="Cambria Math" w:cs="Arial"/>
            </w:rPr>
            <m:t>F</m:t>
          </m:r>
          <m:d>
            <m:dPr>
              <m:ctrlPr>
                <w:rPr>
                  <w:rFonts w:ascii="Cambria Math" w:hAnsi="Cambria Math" w:cs="Arial"/>
                  <w:i/>
                  <w:iCs/>
                </w:rPr>
              </m:ctrlPr>
            </m:dPr>
            <m:e>
              <m:r>
                <w:rPr>
                  <w:rFonts w:ascii="Cambria Math" w:hAnsi="Cambria Math" w:cs="Arial"/>
                </w:rPr>
                <m:t>inc</m:t>
              </m:r>
            </m:e>
          </m:d>
          <m:r>
            <w:rPr>
              <w:rFonts w:ascii="Cambria Math" w:hAnsi="Cambria Math" w:cs="Arial"/>
            </w:rPr>
            <m:t>=</m:t>
          </m:r>
          <m:f>
            <m:fPr>
              <m:ctrlPr>
                <w:rPr>
                  <w:rFonts w:ascii="Cambria Math" w:hAnsi="Cambria Math" w:cs="Arial"/>
                  <w:i/>
                  <w:iCs/>
                </w:rPr>
              </m:ctrlPr>
            </m:fPr>
            <m:num>
              <m:r>
                <w:rPr>
                  <w:rFonts w:ascii="Cambria Math" w:hAnsi="Cambria Math" w:cs="Arial"/>
                </w:rPr>
                <m:t>1</m:t>
              </m:r>
            </m:num>
            <m:den>
              <m:r>
                <w:rPr>
                  <w:rFonts w:ascii="Cambria Math" w:hAnsi="Cambria Math" w:cs="Arial"/>
                </w:rPr>
                <m:t>2</m:t>
              </m:r>
            </m:den>
          </m:f>
          <m:d>
            <m:dPr>
              <m:begChr m:val="["/>
              <m:endChr m:val="]"/>
              <m:ctrlPr>
                <w:rPr>
                  <w:rFonts w:ascii="Cambria Math" w:hAnsi="Cambria Math" w:cs="Arial"/>
                  <w:i/>
                  <w:iCs/>
                </w:rPr>
              </m:ctrlPr>
            </m:dPr>
            <m:e>
              <m:r>
                <m:rPr>
                  <m:sty m:val="p"/>
                </m:rPr>
                <w:rPr>
                  <w:rFonts w:ascii="Cambria Math" w:hAnsi="Cambria Math" w:cs="Arial"/>
                </w:rPr>
                <m:t>1+erf⁡</m:t>
              </m:r>
              <m:d>
                <m:dPr>
                  <m:ctrlPr>
                    <w:rPr>
                      <w:rFonts w:ascii="Cambria Math" w:hAnsi="Cambria Math" w:cs="Arial"/>
                      <w:i/>
                      <w:iCs/>
                    </w:rPr>
                  </m:ctrlPr>
                </m:dPr>
                <m:e>
                  <m:f>
                    <m:fPr>
                      <m:ctrlPr>
                        <w:rPr>
                          <w:rFonts w:ascii="Cambria Math" w:hAnsi="Cambria Math" w:cs="Arial"/>
                          <w:i/>
                          <w:iCs/>
                        </w:rPr>
                      </m:ctrlPr>
                    </m:fPr>
                    <m:num>
                      <m:r>
                        <m:rPr>
                          <m:sty m:val="p"/>
                        </m:rPr>
                        <w:rPr>
                          <w:rFonts w:ascii="Cambria Math" w:hAnsi="Cambria Math" w:cs="Arial"/>
                        </w:rPr>
                        <m:t>ln</m:t>
                      </m:r>
                      <m:d>
                        <m:dPr>
                          <m:ctrlPr>
                            <w:rPr>
                              <w:rFonts w:ascii="Cambria Math" w:hAnsi="Cambria Math" w:cs="Arial"/>
                              <w:i/>
                              <w:iCs/>
                            </w:rPr>
                          </m:ctrlPr>
                        </m:dPr>
                        <m:e>
                          <m:r>
                            <m:rPr>
                              <m:sty m:val="p"/>
                            </m:rPr>
                            <w:rPr>
                              <w:rFonts w:ascii="Cambria Math" w:hAnsi="Cambria Math" w:cs="Arial"/>
                            </w:rPr>
                            <m:t>inc</m:t>
                          </m:r>
                          <m:r>
                            <w:rPr>
                              <w:rFonts w:ascii="Cambria Math" w:hAnsi="Cambria Math" w:cs="Arial"/>
                            </w:rPr>
                            <m:t>-</m:t>
                          </m:r>
                          <m:sSub>
                            <m:sSubPr>
                              <m:ctrlPr>
                                <w:rPr>
                                  <w:rFonts w:ascii="Cambria Math" w:hAnsi="Cambria Math" w:cs="Arial"/>
                                  <w:i/>
                                  <w:iCs/>
                                </w:rPr>
                              </m:ctrlPr>
                            </m:sSubPr>
                            <m:e>
                              <m:r>
                                <w:rPr>
                                  <w:rFonts w:ascii="Cambria Math" w:hAnsi="Cambria Math" w:cs="Arial"/>
                                </w:rPr>
                                <m:t>γ</m:t>
                              </m:r>
                            </m:e>
                            <m:sub>
                              <m:r>
                                <w:rPr>
                                  <w:rFonts w:ascii="Cambria Math" w:hAnsi="Cambria Math" w:cs="Arial"/>
                                </w:rPr>
                                <m:t>inc</m:t>
                              </m:r>
                            </m:sub>
                          </m:sSub>
                        </m:e>
                      </m:d>
                      <m:r>
                        <w:rPr>
                          <w:rFonts w:ascii="Cambria Math" w:hAnsi="Cambria Math" w:cs="Arial"/>
                        </w:rPr>
                        <m:t>-</m:t>
                      </m:r>
                      <m:sSub>
                        <m:sSubPr>
                          <m:ctrlPr>
                            <w:rPr>
                              <w:rFonts w:ascii="Cambria Math" w:hAnsi="Cambria Math" w:cs="Arial"/>
                              <w:i/>
                              <w:iCs/>
                            </w:rPr>
                          </m:ctrlPr>
                        </m:sSubPr>
                        <m:e>
                          <m:r>
                            <w:rPr>
                              <w:rFonts w:ascii="Cambria Math" w:hAnsi="Cambria Math" w:cs="Arial"/>
                            </w:rPr>
                            <m:t>μ</m:t>
                          </m:r>
                        </m:e>
                        <m:sub>
                          <m:r>
                            <w:rPr>
                              <w:rFonts w:ascii="Cambria Math" w:hAnsi="Cambria Math" w:cs="Arial"/>
                            </w:rPr>
                            <m:t>inc</m:t>
                          </m:r>
                        </m:sub>
                      </m:sSub>
                    </m:num>
                    <m:den>
                      <m:sSub>
                        <m:sSubPr>
                          <m:ctrlPr>
                            <w:rPr>
                              <w:rFonts w:ascii="Cambria Math" w:hAnsi="Cambria Math" w:cs="Arial"/>
                              <w:i/>
                              <w:iCs/>
                            </w:rPr>
                          </m:ctrlPr>
                        </m:sSubPr>
                        <m:e>
                          <m:r>
                            <w:rPr>
                              <w:rFonts w:ascii="Cambria Math" w:hAnsi="Cambria Math" w:cs="Arial"/>
                            </w:rPr>
                            <m:t>σ</m:t>
                          </m:r>
                        </m:e>
                        <m:sub>
                          <m:r>
                            <w:rPr>
                              <w:rFonts w:ascii="Cambria Math" w:hAnsi="Cambria Math" w:cs="Arial"/>
                            </w:rPr>
                            <m:t>inc</m:t>
                          </m:r>
                        </m:sub>
                      </m:sSub>
                      <m:rad>
                        <m:radPr>
                          <m:degHide m:val="1"/>
                          <m:ctrlPr>
                            <w:rPr>
                              <w:rFonts w:ascii="Cambria Math" w:hAnsi="Cambria Math" w:cs="Arial"/>
                              <w:i/>
                              <w:iCs/>
                            </w:rPr>
                          </m:ctrlPr>
                        </m:radPr>
                        <m:deg/>
                        <m:e>
                          <m:r>
                            <w:rPr>
                              <w:rFonts w:ascii="Cambria Math" w:hAnsi="Cambria Math" w:cs="Arial"/>
                            </w:rPr>
                            <m:t>2</m:t>
                          </m:r>
                        </m:e>
                      </m:rad>
                    </m:den>
                  </m:f>
                </m:e>
              </m:d>
            </m:e>
          </m:d>
          <m:r>
            <m:rPr>
              <m:sty m:val="p"/>
            </m:rPr>
            <w:rPr>
              <w:rFonts w:ascii="Cambria Math" w:hAnsi="Cambria Math" w:cs="Arial"/>
            </w:rPr>
            <m:t>⁡</m:t>
          </m:r>
        </m:oMath>
      </m:oMathPara>
    </w:p>
    <w:p w14:paraId="41B499EF" w14:textId="77777777" w:rsidR="00B66AA5" w:rsidRPr="00B438E4" w:rsidRDefault="00B66AA5" w:rsidP="00B66AA5">
      <w:pPr>
        <w:jc w:val="both"/>
        <w:rPr>
          <w:rFonts w:ascii="Arial" w:hAnsi="Arial" w:cs="Arial"/>
        </w:rPr>
      </w:pPr>
      <m:oMathPara>
        <m:oMathParaPr>
          <m:jc m:val="centerGroup"/>
        </m:oMathParaPr>
        <m:oMath>
          <m:r>
            <w:rPr>
              <w:rFonts w:ascii="Cambria Math" w:hAnsi="Cambria Math" w:cs="Arial"/>
            </w:rPr>
            <m:t>F</m:t>
          </m:r>
          <m:d>
            <m:dPr>
              <m:ctrlPr>
                <w:rPr>
                  <w:rFonts w:ascii="Cambria Math" w:hAnsi="Cambria Math" w:cs="Arial"/>
                  <w:i/>
                  <w:iCs/>
                </w:rPr>
              </m:ctrlPr>
            </m:dPr>
            <m:e>
              <m:r>
                <w:rPr>
                  <w:rFonts w:ascii="Cambria Math" w:hAnsi="Cambria Math" w:cs="Arial"/>
                </w:rPr>
                <m:t>con</m:t>
              </m:r>
            </m:e>
          </m:d>
          <m:r>
            <w:rPr>
              <w:rFonts w:ascii="Cambria Math" w:hAnsi="Cambria Math" w:cs="Arial"/>
            </w:rPr>
            <m:t>=</m:t>
          </m:r>
          <m:f>
            <m:fPr>
              <m:ctrlPr>
                <w:rPr>
                  <w:rFonts w:ascii="Cambria Math" w:hAnsi="Cambria Math" w:cs="Arial"/>
                  <w:i/>
                  <w:iCs/>
                </w:rPr>
              </m:ctrlPr>
            </m:fPr>
            <m:num>
              <m:r>
                <w:rPr>
                  <w:rFonts w:ascii="Cambria Math" w:hAnsi="Cambria Math" w:cs="Arial"/>
                </w:rPr>
                <m:t>1</m:t>
              </m:r>
            </m:num>
            <m:den>
              <m:r>
                <w:rPr>
                  <w:rFonts w:ascii="Cambria Math" w:hAnsi="Cambria Math" w:cs="Arial"/>
                </w:rPr>
                <m:t>2</m:t>
              </m:r>
            </m:den>
          </m:f>
          <m:d>
            <m:dPr>
              <m:begChr m:val="["/>
              <m:endChr m:val="]"/>
              <m:ctrlPr>
                <w:rPr>
                  <w:rFonts w:ascii="Cambria Math" w:hAnsi="Cambria Math" w:cs="Arial"/>
                  <w:i/>
                  <w:iCs/>
                </w:rPr>
              </m:ctrlPr>
            </m:dPr>
            <m:e>
              <m:r>
                <m:rPr>
                  <m:sty m:val="p"/>
                </m:rPr>
                <w:rPr>
                  <w:rFonts w:ascii="Cambria Math" w:hAnsi="Cambria Math" w:cs="Arial"/>
                </w:rPr>
                <m:t>1+erf⁡</m:t>
              </m:r>
              <m:d>
                <m:dPr>
                  <m:ctrlPr>
                    <w:rPr>
                      <w:rFonts w:ascii="Cambria Math" w:hAnsi="Cambria Math" w:cs="Arial"/>
                      <w:i/>
                      <w:iCs/>
                    </w:rPr>
                  </m:ctrlPr>
                </m:dPr>
                <m:e>
                  <m:f>
                    <m:fPr>
                      <m:ctrlPr>
                        <w:rPr>
                          <w:rFonts w:ascii="Cambria Math" w:hAnsi="Cambria Math" w:cs="Arial"/>
                          <w:i/>
                          <w:iCs/>
                        </w:rPr>
                      </m:ctrlPr>
                    </m:fPr>
                    <m:num>
                      <m:r>
                        <m:rPr>
                          <m:sty m:val="p"/>
                        </m:rPr>
                        <w:rPr>
                          <w:rFonts w:ascii="Cambria Math" w:hAnsi="Cambria Math" w:cs="Arial"/>
                        </w:rPr>
                        <m:t>ln</m:t>
                      </m:r>
                      <m:d>
                        <m:dPr>
                          <m:ctrlPr>
                            <w:rPr>
                              <w:rFonts w:ascii="Cambria Math" w:hAnsi="Cambria Math" w:cs="Arial"/>
                              <w:i/>
                              <w:iCs/>
                            </w:rPr>
                          </m:ctrlPr>
                        </m:dPr>
                        <m:e>
                          <m:r>
                            <m:rPr>
                              <m:sty m:val="p"/>
                            </m:rPr>
                            <w:rPr>
                              <w:rFonts w:ascii="Cambria Math" w:hAnsi="Cambria Math" w:cs="Arial"/>
                            </w:rPr>
                            <m:t>con-</m:t>
                          </m:r>
                          <m:sSub>
                            <m:sSubPr>
                              <m:ctrlPr>
                                <w:rPr>
                                  <w:rFonts w:ascii="Cambria Math" w:hAnsi="Cambria Math" w:cs="Arial"/>
                                  <w:i/>
                                  <w:iCs/>
                                </w:rPr>
                              </m:ctrlPr>
                            </m:sSubPr>
                            <m:e>
                              <m:r>
                                <w:rPr>
                                  <w:rFonts w:ascii="Cambria Math" w:hAnsi="Cambria Math" w:cs="Arial"/>
                                </w:rPr>
                                <m:t>γ</m:t>
                              </m:r>
                            </m:e>
                            <m:sub>
                              <m:r>
                                <w:rPr>
                                  <w:rFonts w:ascii="Cambria Math" w:hAnsi="Cambria Math" w:cs="Arial"/>
                                </w:rPr>
                                <m:t>con</m:t>
                              </m:r>
                            </m:sub>
                          </m:sSub>
                        </m:e>
                      </m:d>
                      <m:r>
                        <w:rPr>
                          <w:rFonts w:ascii="Cambria Math" w:hAnsi="Cambria Math" w:cs="Arial"/>
                        </w:rPr>
                        <m:t>-</m:t>
                      </m:r>
                      <m:sSub>
                        <m:sSubPr>
                          <m:ctrlPr>
                            <w:rPr>
                              <w:rFonts w:ascii="Cambria Math" w:hAnsi="Cambria Math" w:cs="Arial"/>
                              <w:i/>
                              <w:iCs/>
                            </w:rPr>
                          </m:ctrlPr>
                        </m:sSubPr>
                        <m:e>
                          <m:r>
                            <w:rPr>
                              <w:rFonts w:ascii="Cambria Math" w:hAnsi="Cambria Math" w:cs="Arial"/>
                            </w:rPr>
                            <m:t>μ</m:t>
                          </m:r>
                        </m:e>
                        <m:sub>
                          <m:r>
                            <w:rPr>
                              <w:rFonts w:ascii="Cambria Math" w:hAnsi="Cambria Math" w:cs="Arial"/>
                            </w:rPr>
                            <m:t>con</m:t>
                          </m:r>
                        </m:sub>
                      </m:sSub>
                    </m:num>
                    <m:den>
                      <m:sSub>
                        <m:sSubPr>
                          <m:ctrlPr>
                            <w:rPr>
                              <w:rFonts w:ascii="Cambria Math" w:hAnsi="Cambria Math" w:cs="Arial"/>
                              <w:i/>
                              <w:iCs/>
                            </w:rPr>
                          </m:ctrlPr>
                        </m:sSubPr>
                        <m:e>
                          <m:r>
                            <w:rPr>
                              <w:rFonts w:ascii="Cambria Math" w:hAnsi="Cambria Math" w:cs="Arial"/>
                            </w:rPr>
                            <m:t>σ</m:t>
                          </m:r>
                        </m:e>
                        <m:sub>
                          <m:r>
                            <w:rPr>
                              <w:rFonts w:ascii="Cambria Math" w:hAnsi="Cambria Math" w:cs="Arial"/>
                            </w:rPr>
                            <m:t>con</m:t>
                          </m:r>
                        </m:sub>
                      </m:sSub>
                      <m:rad>
                        <m:radPr>
                          <m:degHide m:val="1"/>
                          <m:ctrlPr>
                            <w:rPr>
                              <w:rFonts w:ascii="Cambria Math" w:hAnsi="Cambria Math" w:cs="Arial"/>
                              <w:i/>
                              <w:iCs/>
                            </w:rPr>
                          </m:ctrlPr>
                        </m:radPr>
                        <m:deg/>
                        <m:e>
                          <m:r>
                            <w:rPr>
                              <w:rFonts w:ascii="Cambria Math" w:hAnsi="Cambria Math" w:cs="Arial"/>
                            </w:rPr>
                            <m:t>2</m:t>
                          </m:r>
                        </m:e>
                      </m:rad>
                    </m:den>
                  </m:f>
                </m:e>
              </m:d>
            </m:e>
          </m:d>
          <m:r>
            <m:rPr>
              <m:sty m:val="p"/>
            </m:rPr>
            <w:rPr>
              <w:rFonts w:ascii="Cambria Math" w:hAnsi="Cambria Math" w:cs="Arial"/>
            </w:rPr>
            <m:t>⁡</m:t>
          </m:r>
        </m:oMath>
      </m:oMathPara>
    </w:p>
    <w:p w14:paraId="488245E2" w14:textId="77777777" w:rsidR="00B66AA5" w:rsidRPr="00B438E4" w:rsidRDefault="00B66AA5" w:rsidP="00B66AA5">
      <w:pPr>
        <w:jc w:val="both"/>
        <w:rPr>
          <w:rFonts w:ascii="Arial" w:eastAsiaTheme="minorEastAsia" w:hAnsi="Arial" w:cs="Arial"/>
          <w:iCs/>
        </w:rPr>
      </w:pPr>
      <w:r w:rsidRPr="00B438E4">
        <w:rPr>
          <w:rFonts w:ascii="Arial" w:hAnsi="Arial" w:cs="Arial"/>
        </w:rPr>
        <w:t>Once again setting</w:t>
      </w:r>
      <m:oMath>
        <m:r>
          <m:rPr>
            <m:sty m:val="p"/>
          </m:rPr>
          <w:rPr>
            <w:rFonts w:ascii="Cambria Math" w:hAnsi="Cambria Math" w:cs="Arial"/>
          </w:rPr>
          <m:t>  </m:t>
        </m:r>
        <m:r>
          <w:rPr>
            <w:rFonts w:ascii="Cambria Math" w:hAnsi="Cambria Math" w:cs="Arial"/>
          </w:rPr>
          <m:t>F</m:t>
        </m:r>
        <m:d>
          <m:dPr>
            <m:ctrlPr>
              <w:rPr>
                <w:rFonts w:ascii="Cambria Math" w:hAnsi="Cambria Math" w:cs="Arial"/>
                <w:i/>
                <w:iCs/>
              </w:rPr>
            </m:ctrlPr>
          </m:dPr>
          <m:e>
            <m:r>
              <w:rPr>
                <w:rFonts w:ascii="Cambria Math" w:hAnsi="Cambria Math" w:cs="Arial"/>
              </w:rPr>
              <m:t>con</m:t>
            </m:r>
          </m:e>
        </m:d>
        <m:r>
          <m:rPr>
            <m:sty m:val="p"/>
          </m:rPr>
          <w:rPr>
            <w:rFonts w:ascii="Cambria Math" w:hAnsi="Cambria Math" w:cs="Arial"/>
          </w:rPr>
          <m:t>=</m:t>
        </m:r>
        <m:r>
          <w:rPr>
            <w:rFonts w:ascii="Cambria Math" w:hAnsi="Cambria Math" w:cs="Arial"/>
          </w:rPr>
          <m:t>F</m:t>
        </m:r>
        <m:d>
          <m:dPr>
            <m:ctrlPr>
              <w:rPr>
                <w:rFonts w:ascii="Cambria Math" w:hAnsi="Cambria Math" w:cs="Arial"/>
                <w:i/>
                <w:iCs/>
              </w:rPr>
            </m:ctrlPr>
          </m:dPr>
          <m:e>
            <m:r>
              <w:rPr>
                <w:rFonts w:ascii="Cambria Math" w:hAnsi="Cambria Math" w:cs="Arial"/>
              </w:rPr>
              <m:t>inc</m:t>
            </m:r>
          </m:e>
        </m:d>
      </m:oMath>
      <w:r w:rsidRPr="00B438E4">
        <w:rPr>
          <w:rFonts w:ascii="Arial" w:eastAsiaTheme="minorEastAsia" w:hAnsi="Arial" w:cs="Arial"/>
          <w:iCs/>
        </w:rPr>
        <w:t xml:space="preserve"> gives </w:t>
      </w:r>
    </w:p>
    <w:p w14:paraId="48BFC3B2" w14:textId="77777777" w:rsidR="00B66AA5" w:rsidRPr="00B438E4" w:rsidRDefault="00B66AA5" w:rsidP="00B66AA5">
      <w:pPr>
        <w:jc w:val="both"/>
        <w:rPr>
          <w:rFonts w:ascii="Arial" w:eastAsiaTheme="minorEastAsia" w:hAnsi="Arial" w:cs="Arial"/>
          <w:iCs/>
        </w:rPr>
      </w:pPr>
      <m:oMathPara>
        <m:oMath>
          <m:r>
            <m:rPr>
              <m:sty m:val="p"/>
            </m:rPr>
            <w:rPr>
              <w:rFonts w:ascii="Cambria Math" w:eastAsiaTheme="minorEastAsia" w:hAnsi="Cambria Math" w:cs="Arial"/>
            </w:rPr>
            <m:t>ln</m:t>
          </m:r>
          <m:d>
            <m:dPr>
              <m:ctrlPr>
                <w:rPr>
                  <w:rFonts w:ascii="Cambria Math" w:eastAsiaTheme="minorEastAsia" w:hAnsi="Cambria Math" w:cs="Arial"/>
                  <w:i/>
                  <w:iCs/>
                </w:rPr>
              </m:ctrlPr>
            </m:dPr>
            <m:e>
              <m:r>
                <m:rPr>
                  <m:sty m:val="p"/>
                </m:rPr>
                <w:rPr>
                  <w:rFonts w:ascii="Cambria Math" w:eastAsiaTheme="minorEastAsia" w:hAnsi="Cambria Math" w:cs="Arial"/>
                </w:rPr>
                <m:t>con</m:t>
              </m:r>
            </m:e>
          </m:d>
          <m:r>
            <w:rPr>
              <w:rFonts w:ascii="Cambria Math" w:eastAsiaTheme="minorEastAsia" w:hAnsi="Cambria Math" w:cs="Arial"/>
            </w:rPr>
            <m:t>=ln</m:t>
          </m:r>
          <m:d>
            <m:dPr>
              <m:ctrlPr>
                <w:rPr>
                  <w:rFonts w:ascii="Cambria Math" w:eastAsiaTheme="minorEastAsia" w:hAnsi="Cambria Math" w:cs="Arial"/>
                  <w:i/>
                  <w:iCs/>
                </w:rPr>
              </m:ctrlPr>
            </m:dPr>
            <m:e>
              <m:func>
                <m:funcPr>
                  <m:ctrlPr>
                    <w:rPr>
                      <w:rFonts w:ascii="Cambria Math" w:eastAsiaTheme="minorEastAsia" w:hAnsi="Cambria Math" w:cs="Arial"/>
                      <w:i/>
                      <w:iCs/>
                    </w:rPr>
                  </m:ctrlPr>
                </m:funcPr>
                <m:fName>
                  <m:r>
                    <m:rPr>
                      <m:sty m:val="p"/>
                    </m:rPr>
                    <w:rPr>
                      <w:rFonts w:ascii="Cambria Math" w:eastAsiaTheme="minorEastAsia" w:hAnsi="Cambria Math" w:cs="Arial"/>
                    </w:rPr>
                    <m:t>exp</m:t>
                  </m:r>
                </m:fName>
                <m:e>
                  <m:d>
                    <m:dPr>
                      <m:begChr m:val="["/>
                      <m:endChr m:val="]"/>
                      <m:ctrlPr>
                        <w:rPr>
                          <w:rFonts w:ascii="Cambria Math" w:eastAsiaTheme="minorEastAsia" w:hAnsi="Cambria Math" w:cs="Arial"/>
                          <w:i/>
                          <w:iCs/>
                        </w:rPr>
                      </m:ctrlPr>
                    </m:dPr>
                    <m:e>
                      <m:sSub>
                        <m:sSubPr>
                          <m:ctrlPr>
                            <w:rPr>
                              <w:rFonts w:ascii="Cambria Math" w:eastAsiaTheme="minorEastAsia" w:hAnsi="Cambria Math" w:cs="Arial"/>
                              <w:i/>
                              <w:iCs/>
                            </w:rPr>
                          </m:ctrlPr>
                        </m:sSubPr>
                        <m:e>
                          <m:r>
                            <w:rPr>
                              <w:rFonts w:ascii="Cambria Math" w:eastAsiaTheme="minorEastAsia" w:hAnsi="Cambria Math" w:cs="Arial"/>
                            </w:rPr>
                            <m:t>μ</m:t>
                          </m:r>
                        </m:e>
                        <m:sub>
                          <m:r>
                            <w:rPr>
                              <w:rFonts w:ascii="Cambria Math" w:eastAsiaTheme="minorEastAsia" w:hAnsi="Cambria Math" w:cs="Arial"/>
                            </w:rPr>
                            <m:t>con</m:t>
                          </m:r>
                        </m:sub>
                      </m:sSub>
                      <m:r>
                        <w:rPr>
                          <w:rFonts w:ascii="Cambria Math" w:eastAsiaTheme="minorEastAsia" w:hAnsi="Cambria Math" w:cs="Arial"/>
                        </w:rPr>
                        <m:t>-</m:t>
                      </m:r>
                      <m:f>
                        <m:fPr>
                          <m:ctrlPr>
                            <w:rPr>
                              <w:rFonts w:ascii="Cambria Math" w:eastAsiaTheme="minorEastAsia" w:hAnsi="Cambria Math" w:cs="Arial"/>
                              <w:i/>
                              <w:iCs/>
                            </w:rPr>
                          </m:ctrlPr>
                        </m:fPr>
                        <m:num>
                          <m:sSub>
                            <m:sSubPr>
                              <m:ctrlPr>
                                <w:rPr>
                                  <w:rFonts w:ascii="Cambria Math" w:eastAsiaTheme="minorEastAsia" w:hAnsi="Cambria Math" w:cs="Arial"/>
                                  <w:i/>
                                  <w:iCs/>
                                </w:rPr>
                              </m:ctrlPr>
                            </m:sSubPr>
                            <m:e>
                              <m:r>
                                <w:rPr>
                                  <w:rFonts w:ascii="Cambria Math" w:eastAsiaTheme="minorEastAsia" w:hAnsi="Cambria Math" w:cs="Arial"/>
                                </w:rPr>
                                <m:t>σ</m:t>
                              </m:r>
                            </m:e>
                            <m:sub>
                              <m:r>
                                <w:rPr>
                                  <w:rFonts w:ascii="Cambria Math" w:eastAsiaTheme="minorEastAsia" w:hAnsi="Cambria Math" w:cs="Arial"/>
                                </w:rPr>
                                <m:t>con</m:t>
                              </m:r>
                            </m:sub>
                          </m:sSub>
                        </m:num>
                        <m:den>
                          <m:sSub>
                            <m:sSubPr>
                              <m:ctrlPr>
                                <w:rPr>
                                  <w:rFonts w:ascii="Cambria Math" w:eastAsiaTheme="minorEastAsia" w:hAnsi="Cambria Math" w:cs="Arial"/>
                                  <w:i/>
                                  <w:iCs/>
                                </w:rPr>
                              </m:ctrlPr>
                            </m:sSubPr>
                            <m:e>
                              <m:r>
                                <w:rPr>
                                  <w:rFonts w:ascii="Cambria Math" w:eastAsiaTheme="minorEastAsia" w:hAnsi="Cambria Math" w:cs="Arial"/>
                                </w:rPr>
                                <m:t>σ</m:t>
                              </m:r>
                            </m:e>
                            <m:sub>
                              <m:r>
                                <w:rPr>
                                  <w:rFonts w:ascii="Cambria Math" w:eastAsiaTheme="minorEastAsia" w:hAnsi="Cambria Math" w:cs="Arial"/>
                                </w:rPr>
                                <m:t>inc</m:t>
                              </m:r>
                            </m:sub>
                          </m:sSub>
                        </m:den>
                      </m:f>
                      <m:sSub>
                        <m:sSubPr>
                          <m:ctrlPr>
                            <w:rPr>
                              <w:rFonts w:ascii="Cambria Math" w:eastAsiaTheme="minorEastAsia" w:hAnsi="Cambria Math" w:cs="Arial"/>
                              <w:i/>
                              <w:iCs/>
                            </w:rPr>
                          </m:ctrlPr>
                        </m:sSubPr>
                        <m:e>
                          <m:r>
                            <w:rPr>
                              <w:rFonts w:ascii="Cambria Math" w:eastAsiaTheme="minorEastAsia" w:hAnsi="Cambria Math" w:cs="Arial"/>
                            </w:rPr>
                            <m:t>μ</m:t>
                          </m:r>
                        </m:e>
                        <m:sub>
                          <m:r>
                            <w:rPr>
                              <w:rFonts w:ascii="Cambria Math" w:eastAsiaTheme="minorEastAsia" w:hAnsi="Cambria Math" w:cs="Arial"/>
                            </w:rPr>
                            <m:t>inc</m:t>
                          </m:r>
                        </m:sub>
                      </m:sSub>
                      <m:r>
                        <w:rPr>
                          <w:rFonts w:ascii="Cambria Math" w:eastAsiaTheme="minorEastAsia" w:hAnsi="Cambria Math" w:cs="Arial"/>
                        </w:rPr>
                        <m:t>+</m:t>
                      </m:r>
                      <m:f>
                        <m:fPr>
                          <m:ctrlPr>
                            <w:rPr>
                              <w:rFonts w:ascii="Cambria Math" w:eastAsiaTheme="minorEastAsia" w:hAnsi="Cambria Math" w:cs="Arial"/>
                              <w:i/>
                              <w:iCs/>
                            </w:rPr>
                          </m:ctrlPr>
                        </m:fPr>
                        <m:num>
                          <m:sSub>
                            <m:sSubPr>
                              <m:ctrlPr>
                                <w:rPr>
                                  <w:rFonts w:ascii="Cambria Math" w:eastAsiaTheme="minorEastAsia" w:hAnsi="Cambria Math" w:cs="Arial"/>
                                  <w:i/>
                                  <w:iCs/>
                                </w:rPr>
                              </m:ctrlPr>
                            </m:sSubPr>
                            <m:e>
                              <m:r>
                                <w:rPr>
                                  <w:rFonts w:ascii="Cambria Math" w:eastAsiaTheme="minorEastAsia" w:hAnsi="Cambria Math" w:cs="Arial"/>
                                </w:rPr>
                                <m:t>σ</m:t>
                              </m:r>
                            </m:e>
                            <m:sub>
                              <m:r>
                                <w:rPr>
                                  <w:rFonts w:ascii="Cambria Math" w:eastAsiaTheme="minorEastAsia" w:hAnsi="Cambria Math" w:cs="Arial"/>
                                </w:rPr>
                                <m:t>con</m:t>
                              </m:r>
                            </m:sub>
                          </m:sSub>
                        </m:num>
                        <m:den>
                          <m:sSub>
                            <m:sSubPr>
                              <m:ctrlPr>
                                <w:rPr>
                                  <w:rFonts w:ascii="Cambria Math" w:eastAsiaTheme="minorEastAsia" w:hAnsi="Cambria Math" w:cs="Arial"/>
                                  <w:i/>
                                  <w:iCs/>
                                </w:rPr>
                              </m:ctrlPr>
                            </m:sSubPr>
                            <m:e>
                              <m:r>
                                <w:rPr>
                                  <w:rFonts w:ascii="Cambria Math" w:eastAsiaTheme="minorEastAsia" w:hAnsi="Cambria Math" w:cs="Arial"/>
                                </w:rPr>
                                <m:t>σ</m:t>
                              </m:r>
                            </m:e>
                            <m:sub>
                              <m:r>
                                <w:rPr>
                                  <w:rFonts w:ascii="Cambria Math" w:eastAsiaTheme="minorEastAsia" w:hAnsi="Cambria Math" w:cs="Arial"/>
                                </w:rPr>
                                <m:t>inc</m:t>
                              </m:r>
                            </m:sub>
                          </m:sSub>
                        </m:den>
                      </m:f>
                      <m:r>
                        <m:rPr>
                          <m:sty m:val="p"/>
                        </m:rPr>
                        <w:rPr>
                          <w:rFonts w:ascii="Cambria Math" w:eastAsiaTheme="minorEastAsia" w:hAnsi="Cambria Math" w:cs="Arial"/>
                        </w:rPr>
                        <m:t>ln</m:t>
                      </m:r>
                      <m:d>
                        <m:dPr>
                          <m:ctrlPr>
                            <w:rPr>
                              <w:rFonts w:ascii="Cambria Math" w:eastAsiaTheme="minorEastAsia" w:hAnsi="Cambria Math" w:cs="Arial"/>
                              <w:i/>
                              <w:iCs/>
                            </w:rPr>
                          </m:ctrlPr>
                        </m:dPr>
                        <m:e>
                          <m:r>
                            <m:rPr>
                              <m:sty m:val="p"/>
                            </m:rPr>
                            <w:rPr>
                              <w:rFonts w:ascii="Cambria Math" w:eastAsiaTheme="minorEastAsia" w:hAnsi="Cambria Math" w:cs="Arial"/>
                            </w:rPr>
                            <m:t>inc</m:t>
                          </m:r>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γ</m:t>
                              </m:r>
                            </m:e>
                            <m:sub>
                              <m:r>
                                <w:rPr>
                                  <w:rFonts w:ascii="Cambria Math" w:eastAsiaTheme="minorEastAsia" w:hAnsi="Cambria Math" w:cs="Arial"/>
                                </w:rPr>
                                <m:t>inc</m:t>
                              </m:r>
                            </m:sub>
                          </m:sSub>
                        </m:e>
                      </m:d>
                    </m:e>
                  </m:d>
                </m:e>
              </m:func>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γ</m:t>
                  </m:r>
                </m:e>
                <m:sub>
                  <m:r>
                    <w:rPr>
                      <w:rFonts w:ascii="Cambria Math" w:eastAsiaTheme="minorEastAsia" w:hAnsi="Cambria Math" w:cs="Arial"/>
                    </w:rPr>
                    <m:t>con</m:t>
                  </m:r>
                </m:sub>
              </m:sSub>
            </m:e>
          </m:d>
        </m:oMath>
      </m:oMathPara>
    </w:p>
    <w:p w14:paraId="7FC36046" w14:textId="77777777" w:rsidR="00B66AA5" w:rsidRPr="00B438E4" w:rsidRDefault="00B66AA5" w:rsidP="00B66AA5">
      <w:pPr>
        <w:jc w:val="both"/>
        <w:rPr>
          <w:rFonts w:ascii="Arial" w:eastAsiaTheme="minorEastAsia" w:hAnsi="Arial" w:cs="Arial"/>
          <w:iCs/>
        </w:rPr>
      </w:pPr>
      <w:r w:rsidRPr="00B438E4">
        <w:rPr>
          <w:rFonts w:ascii="Arial" w:eastAsiaTheme="minorEastAsia" w:hAnsi="Arial" w:cs="Arial"/>
          <w:iCs/>
        </w:rPr>
        <w:t xml:space="preserve">Estimating this regression through non-likelihood suggests that </w:t>
      </w:r>
      <m:oMath>
        <m:sSub>
          <m:sSubPr>
            <m:ctrlPr>
              <w:rPr>
                <w:rFonts w:ascii="Cambria Math" w:eastAsiaTheme="minorEastAsia" w:hAnsi="Cambria Math" w:cs="Arial"/>
                <w:i/>
                <w:iCs/>
              </w:rPr>
            </m:ctrlPr>
          </m:sSubPr>
          <m:e>
            <m:r>
              <w:rPr>
                <w:rFonts w:ascii="Cambria Math" w:eastAsiaTheme="minorEastAsia" w:hAnsi="Cambria Math" w:cs="Arial"/>
              </w:rPr>
              <m:t>μ</m:t>
            </m:r>
          </m:e>
          <m:sub>
            <m:r>
              <w:rPr>
                <w:rFonts w:ascii="Cambria Math" w:eastAsiaTheme="minorEastAsia" w:hAnsi="Cambria Math" w:cs="Arial"/>
              </w:rPr>
              <m:t>con</m:t>
            </m:r>
          </m:sub>
        </m:sSub>
        <m:r>
          <w:rPr>
            <w:rFonts w:ascii="Cambria Math" w:eastAsiaTheme="minorEastAsia" w:hAnsi="Cambria Math" w:cs="Arial"/>
          </w:rPr>
          <m:t>-</m:t>
        </m:r>
        <m:f>
          <m:fPr>
            <m:ctrlPr>
              <w:rPr>
                <w:rFonts w:ascii="Cambria Math" w:eastAsiaTheme="minorEastAsia" w:hAnsi="Cambria Math" w:cs="Arial"/>
                <w:i/>
                <w:iCs/>
              </w:rPr>
            </m:ctrlPr>
          </m:fPr>
          <m:num>
            <m:sSub>
              <m:sSubPr>
                <m:ctrlPr>
                  <w:rPr>
                    <w:rFonts w:ascii="Cambria Math" w:eastAsiaTheme="minorEastAsia" w:hAnsi="Cambria Math" w:cs="Arial"/>
                    <w:i/>
                    <w:iCs/>
                  </w:rPr>
                </m:ctrlPr>
              </m:sSubPr>
              <m:e>
                <m:r>
                  <w:rPr>
                    <w:rFonts w:ascii="Cambria Math" w:eastAsiaTheme="minorEastAsia" w:hAnsi="Cambria Math" w:cs="Arial"/>
                  </w:rPr>
                  <m:t>σ</m:t>
                </m:r>
              </m:e>
              <m:sub>
                <m:r>
                  <w:rPr>
                    <w:rFonts w:ascii="Cambria Math" w:eastAsiaTheme="minorEastAsia" w:hAnsi="Cambria Math" w:cs="Arial"/>
                  </w:rPr>
                  <m:t>con</m:t>
                </m:r>
              </m:sub>
            </m:sSub>
          </m:num>
          <m:den>
            <m:sSub>
              <m:sSubPr>
                <m:ctrlPr>
                  <w:rPr>
                    <w:rFonts w:ascii="Cambria Math" w:eastAsiaTheme="minorEastAsia" w:hAnsi="Cambria Math" w:cs="Arial"/>
                    <w:i/>
                    <w:iCs/>
                  </w:rPr>
                </m:ctrlPr>
              </m:sSubPr>
              <m:e>
                <m:r>
                  <w:rPr>
                    <w:rFonts w:ascii="Cambria Math" w:eastAsiaTheme="minorEastAsia" w:hAnsi="Cambria Math" w:cs="Arial"/>
                  </w:rPr>
                  <m:t>σ</m:t>
                </m:r>
              </m:e>
              <m:sub>
                <m:r>
                  <w:rPr>
                    <w:rFonts w:ascii="Cambria Math" w:eastAsiaTheme="minorEastAsia" w:hAnsi="Cambria Math" w:cs="Arial"/>
                  </w:rPr>
                  <m:t>inc</m:t>
                </m:r>
              </m:sub>
            </m:sSub>
          </m:den>
        </m:f>
        <m:sSub>
          <m:sSubPr>
            <m:ctrlPr>
              <w:rPr>
                <w:rFonts w:ascii="Cambria Math" w:eastAsiaTheme="minorEastAsia" w:hAnsi="Cambria Math" w:cs="Arial"/>
                <w:i/>
                <w:iCs/>
              </w:rPr>
            </m:ctrlPr>
          </m:sSubPr>
          <m:e>
            <m:r>
              <w:rPr>
                <w:rFonts w:ascii="Cambria Math" w:eastAsiaTheme="minorEastAsia" w:hAnsi="Cambria Math" w:cs="Arial"/>
              </w:rPr>
              <m:t>μ</m:t>
            </m:r>
          </m:e>
          <m:sub>
            <m:r>
              <w:rPr>
                <w:rFonts w:ascii="Cambria Math" w:eastAsiaTheme="minorEastAsia" w:hAnsi="Cambria Math" w:cs="Arial"/>
              </w:rPr>
              <m:t>inc</m:t>
            </m:r>
          </m:sub>
        </m:sSub>
      </m:oMath>
      <w:r w:rsidRPr="00B438E4">
        <w:rPr>
          <w:rFonts w:ascii="Arial" w:eastAsiaTheme="minorEastAsia" w:hAnsi="Arial" w:cs="Arial"/>
          <w:iCs/>
        </w:rPr>
        <w:t xml:space="preserve"> and </w:t>
      </w:r>
      <m:oMath>
        <m:sSub>
          <m:sSubPr>
            <m:ctrlPr>
              <w:rPr>
                <w:rFonts w:ascii="Cambria Math" w:eastAsiaTheme="minorEastAsia" w:hAnsi="Cambria Math" w:cs="Arial"/>
                <w:i/>
                <w:iCs/>
              </w:rPr>
            </m:ctrlPr>
          </m:sSubPr>
          <m:e>
            <m:r>
              <w:rPr>
                <w:rFonts w:ascii="Cambria Math" w:eastAsiaTheme="minorEastAsia" w:hAnsi="Cambria Math" w:cs="Arial"/>
              </w:rPr>
              <m:t>γ</m:t>
            </m:r>
          </m:e>
          <m:sub>
            <m:r>
              <w:rPr>
                <w:rFonts w:ascii="Cambria Math" w:eastAsiaTheme="minorEastAsia" w:hAnsi="Cambria Math" w:cs="Arial"/>
              </w:rPr>
              <m:t>inc</m:t>
            </m:r>
          </m:sub>
        </m:sSub>
      </m:oMath>
      <w:r w:rsidRPr="00B438E4">
        <w:rPr>
          <w:rFonts w:ascii="Arial" w:eastAsiaTheme="minorEastAsia" w:hAnsi="Arial" w:cs="Arial"/>
          <w:iCs/>
        </w:rPr>
        <w:t xml:space="preserve"> are not statistically different from zero, so to simply matters we set them equal to zero and are left with </w:t>
      </w:r>
    </w:p>
    <w:p w14:paraId="05514AC1" w14:textId="77777777" w:rsidR="00B66AA5" w:rsidRPr="00B438E4" w:rsidRDefault="00B66AA5" w:rsidP="00B66AA5">
      <w:pPr>
        <w:jc w:val="both"/>
        <w:rPr>
          <w:rFonts w:ascii="Arial" w:eastAsiaTheme="minorEastAsia" w:hAnsi="Arial" w:cs="Arial"/>
          <w:iCs/>
        </w:rPr>
      </w:pPr>
      <m:oMathPara>
        <m:oMath>
          <m:r>
            <m:rPr>
              <m:sty m:val="p"/>
            </m:rPr>
            <w:rPr>
              <w:rFonts w:ascii="Cambria Math" w:eastAsiaTheme="minorEastAsia" w:hAnsi="Cambria Math" w:cs="Arial"/>
            </w:rPr>
            <m:t>ln</m:t>
          </m:r>
          <m:d>
            <m:dPr>
              <m:ctrlPr>
                <w:rPr>
                  <w:rFonts w:ascii="Cambria Math" w:eastAsiaTheme="minorEastAsia" w:hAnsi="Cambria Math" w:cs="Arial"/>
                  <w:i/>
                  <w:iCs/>
                </w:rPr>
              </m:ctrlPr>
            </m:dPr>
            <m:e>
              <m:r>
                <m:rPr>
                  <m:sty m:val="p"/>
                </m:rPr>
                <w:rPr>
                  <w:rFonts w:ascii="Cambria Math" w:eastAsiaTheme="minorEastAsia" w:hAnsi="Cambria Math" w:cs="Arial"/>
                </w:rPr>
                <m:t>con</m:t>
              </m:r>
            </m:e>
          </m:d>
          <m:r>
            <w:rPr>
              <w:rFonts w:ascii="Cambria Math" w:eastAsiaTheme="minorEastAsia" w:hAnsi="Cambria Math" w:cs="Arial"/>
            </w:rPr>
            <m:t>=ln</m:t>
          </m:r>
          <m:d>
            <m:dPr>
              <m:ctrlPr>
                <w:rPr>
                  <w:rFonts w:ascii="Cambria Math" w:eastAsiaTheme="minorEastAsia" w:hAnsi="Cambria Math" w:cs="Arial"/>
                  <w:i/>
                  <w:iCs/>
                </w:rPr>
              </m:ctrlPr>
            </m:dPr>
            <m:e>
              <m:func>
                <m:funcPr>
                  <m:ctrlPr>
                    <w:rPr>
                      <w:rFonts w:ascii="Cambria Math" w:eastAsiaTheme="minorEastAsia" w:hAnsi="Cambria Math" w:cs="Arial"/>
                      <w:i/>
                      <w:iCs/>
                    </w:rPr>
                  </m:ctrlPr>
                </m:funcPr>
                <m:fName>
                  <m:r>
                    <m:rPr>
                      <m:sty m:val="p"/>
                    </m:rPr>
                    <w:rPr>
                      <w:rFonts w:ascii="Cambria Math" w:eastAsiaTheme="minorEastAsia" w:hAnsi="Cambria Math" w:cs="Arial"/>
                    </w:rPr>
                    <m:t>exp</m:t>
                  </m:r>
                </m:fName>
                <m:e>
                  <m:d>
                    <m:dPr>
                      <m:begChr m:val="["/>
                      <m:endChr m:val="]"/>
                      <m:ctrlPr>
                        <w:rPr>
                          <w:rFonts w:ascii="Cambria Math" w:eastAsiaTheme="minorEastAsia" w:hAnsi="Cambria Math" w:cs="Arial"/>
                          <w:i/>
                          <w:iCs/>
                        </w:rPr>
                      </m:ctrlPr>
                    </m:dPr>
                    <m:e>
                      <m:f>
                        <m:fPr>
                          <m:ctrlPr>
                            <w:rPr>
                              <w:rFonts w:ascii="Cambria Math" w:eastAsiaTheme="minorEastAsia" w:hAnsi="Cambria Math" w:cs="Arial"/>
                              <w:i/>
                              <w:iCs/>
                            </w:rPr>
                          </m:ctrlPr>
                        </m:fPr>
                        <m:num>
                          <m:sSub>
                            <m:sSubPr>
                              <m:ctrlPr>
                                <w:rPr>
                                  <w:rFonts w:ascii="Cambria Math" w:eastAsiaTheme="minorEastAsia" w:hAnsi="Cambria Math" w:cs="Arial"/>
                                  <w:i/>
                                  <w:iCs/>
                                </w:rPr>
                              </m:ctrlPr>
                            </m:sSubPr>
                            <m:e>
                              <m:r>
                                <w:rPr>
                                  <w:rFonts w:ascii="Cambria Math" w:eastAsiaTheme="minorEastAsia" w:hAnsi="Cambria Math" w:cs="Arial"/>
                                </w:rPr>
                                <m:t>σ</m:t>
                              </m:r>
                            </m:e>
                            <m:sub>
                              <m:r>
                                <w:rPr>
                                  <w:rFonts w:ascii="Cambria Math" w:eastAsiaTheme="minorEastAsia" w:hAnsi="Cambria Math" w:cs="Arial"/>
                                </w:rPr>
                                <m:t>con</m:t>
                              </m:r>
                            </m:sub>
                          </m:sSub>
                        </m:num>
                        <m:den>
                          <m:sSub>
                            <m:sSubPr>
                              <m:ctrlPr>
                                <w:rPr>
                                  <w:rFonts w:ascii="Cambria Math" w:eastAsiaTheme="minorEastAsia" w:hAnsi="Cambria Math" w:cs="Arial"/>
                                  <w:i/>
                                  <w:iCs/>
                                </w:rPr>
                              </m:ctrlPr>
                            </m:sSubPr>
                            <m:e>
                              <m:r>
                                <w:rPr>
                                  <w:rFonts w:ascii="Cambria Math" w:eastAsiaTheme="minorEastAsia" w:hAnsi="Cambria Math" w:cs="Arial"/>
                                </w:rPr>
                                <m:t>σ</m:t>
                              </m:r>
                            </m:e>
                            <m:sub>
                              <m:r>
                                <w:rPr>
                                  <w:rFonts w:ascii="Cambria Math" w:eastAsiaTheme="minorEastAsia" w:hAnsi="Cambria Math" w:cs="Arial"/>
                                </w:rPr>
                                <m:t>inc</m:t>
                              </m:r>
                            </m:sub>
                          </m:sSub>
                        </m:den>
                      </m:f>
                      <m:r>
                        <m:rPr>
                          <m:sty m:val="p"/>
                        </m:rPr>
                        <w:rPr>
                          <w:rFonts w:ascii="Cambria Math" w:eastAsiaTheme="minorEastAsia" w:hAnsi="Cambria Math" w:cs="Arial"/>
                        </w:rPr>
                        <m:t>ln</m:t>
                      </m:r>
                      <m:d>
                        <m:dPr>
                          <m:ctrlPr>
                            <w:rPr>
                              <w:rFonts w:ascii="Cambria Math" w:eastAsiaTheme="minorEastAsia" w:hAnsi="Cambria Math" w:cs="Arial"/>
                              <w:i/>
                              <w:iCs/>
                            </w:rPr>
                          </m:ctrlPr>
                        </m:dPr>
                        <m:e>
                          <m:r>
                            <m:rPr>
                              <m:sty m:val="p"/>
                            </m:rPr>
                            <w:rPr>
                              <w:rFonts w:ascii="Cambria Math" w:eastAsiaTheme="minorEastAsia" w:hAnsi="Cambria Math" w:cs="Arial"/>
                            </w:rPr>
                            <m:t>inc</m:t>
                          </m:r>
                        </m:e>
                      </m:d>
                    </m:e>
                  </m:d>
                </m:e>
              </m:func>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γ</m:t>
                  </m:r>
                </m:e>
                <m:sub>
                  <m:r>
                    <w:rPr>
                      <w:rFonts w:ascii="Cambria Math" w:eastAsiaTheme="minorEastAsia" w:hAnsi="Cambria Math" w:cs="Arial"/>
                    </w:rPr>
                    <m:t>con</m:t>
                  </m:r>
                </m:sub>
              </m:sSub>
            </m:e>
          </m:d>
          <m:r>
            <m:rPr>
              <m:sty m:val="p"/>
            </m:rPr>
            <w:rPr>
              <w:rFonts w:ascii="Cambria Math" w:eastAsiaTheme="minorEastAsia" w:hAnsi="Cambria Math" w:cs="Arial"/>
            </w:rPr>
            <m:t>=</m:t>
          </m:r>
          <m:r>
            <w:rPr>
              <w:rFonts w:ascii="Cambria Math" w:hAnsi="Cambria Math" w:cs="Arial"/>
            </w:rPr>
            <m:t>ln</m:t>
          </m:r>
          <m:d>
            <m:dPr>
              <m:ctrlPr>
                <w:rPr>
                  <w:rFonts w:ascii="Cambria Math" w:hAnsi="Cambria Math" w:cs="Arial"/>
                  <w:i/>
                  <w:iCs/>
                </w:rPr>
              </m:ctrlPr>
            </m:dPr>
            <m:e>
              <m:sSup>
                <m:sSupPr>
                  <m:ctrlPr>
                    <w:rPr>
                      <w:rFonts w:ascii="Cambria Math" w:hAnsi="Cambria Math" w:cs="Arial"/>
                      <w:i/>
                      <w:iCs/>
                    </w:rPr>
                  </m:ctrlPr>
                </m:sSupPr>
                <m:e>
                  <m:r>
                    <w:rPr>
                      <w:rFonts w:ascii="Cambria Math" w:hAnsi="Cambria Math" w:cs="Arial"/>
                    </w:rPr>
                    <m:t>inc</m:t>
                  </m:r>
                </m:e>
                <m:sup>
                  <m:f>
                    <m:fPr>
                      <m:ctrlPr>
                        <w:rPr>
                          <w:rFonts w:ascii="Cambria Math" w:hAnsi="Cambria Math" w:cs="Arial"/>
                          <w:i/>
                          <w:iCs/>
                        </w:rPr>
                      </m:ctrlPr>
                    </m:fPr>
                    <m:num>
                      <m:sSub>
                        <m:sSubPr>
                          <m:ctrlPr>
                            <w:rPr>
                              <w:rFonts w:ascii="Cambria Math" w:hAnsi="Cambria Math" w:cs="Arial"/>
                              <w:i/>
                              <w:iCs/>
                            </w:rPr>
                          </m:ctrlPr>
                        </m:sSubPr>
                        <m:e>
                          <m:r>
                            <w:rPr>
                              <w:rFonts w:ascii="Cambria Math" w:hAnsi="Cambria Math" w:cs="Arial"/>
                            </w:rPr>
                            <m:t>σ</m:t>
                          </m:r>
                        </m:e>
                        <m:sub>
                          <m:r>
                            <w:rPr>
                              <w:rFonts w:ascii="Cambria Math" w:hAnsi="Cambria Math" w:cs="Arial"/>
                            </w:rPr>
                            <m:t>con</m:t>
                          </m:r>
                        </m:sub>
                      </m:sSub>
                    </m:num>
                    <m:den>
                      <m:sSub>
                        <m:sSubPr>
                          <m:ctrlPr>
                            <w:rPr>
                              <w:rFonts w:ascii="Cambria Math" w:hAnsi="Cambria Math" w:cs="Arial"/>
                              <w:i/>
                              <w:iCs/>
                            </w:rPr>
                          </m:ctrlPr>
                        </m:sSubPr>
                        <m:e>
                          <m:r>
                            <w:rPr>
                              <w:rFonts w:ascii="Cambria Math" w:hAnsi="Cambria Math" w:cs="Arial"/>
                            </w:rPr>
                            <m:t>σ</m:t>
                          </m:r>
                        </m:e>
                        <m:sub>
                          <m:r>
                            <w:rPr>
                              <w:rFonts w:ascii="Cambria Math" w:hAnsi="Cambria Math" w:cs="Arial"/>
                            </w:rPr>
                            <m:t>inc</m:t>
                          </m:r>
                        </m:sub>
                      </m:sSub>
                    </m:den>
                  </m:f>
                </m:sup>
              </m:sSup>
              <m:r>
                <w:rPr>
                  <w:rFonts w:ascii="Cambria Math" w:hAnsi="Cambria Math" w:cs="Arial"/>
                </w:rPr>
                <m:t>+</m:t>
              </m:r>
              <m:sSub>
                <m:sSubPr>
                  <m:ctrlPr>
                    <w:rPr>
                      <w:rFonts w:ascii="Cambria Math" w:hAnsi="Cambria Math" w:cs="Arial"/>
                      <w:i/>
                      <w:iCs/>
                    </w:rPr>
                  </m:ctrlPr>
                </m:sSubPr>
                <m:e>
                  <m:r>
                    <w:rPr>
                      <w:rFonts w:ascii="Cambria Math" w:hAnsi="Cambria Math" w:cs="Arial"/>
                    </w:rPr>
                    <m:t>γ</m:t>
                  </m:r>
                </m:e>
                <m:sub>
                  <m:r>
                    <w:rPr>
                      <w:rFonts w:ascii="Cambria Math" w:hAnsi="Cambria Math" w:cs="Arial"/>
                    </w:rPr>
                    <m:t>con</m:t>
                  </m:r>
                </m:sub>
              </m:sSub>
            </m:e>
          </m:d>
        </m:oMath>
      </m:oMathPara>
    </w:p>
    <w:p w14:paraId="1AAD8231" w14:textId="62E83F9B" w:rsidR="00B66AA5" w:rsidRPr="00B438E4" w:rsidRDefault="00B66AA5" w:rsidP="00B66AA5">
      <w:pPr>
        <w:jc w:val="both"/>
        <w:rPr>
          <w:rFonts w:ascii="Arial" w:eastAsiaTheme="minorEastAsia" w:hAnsi="Arial" w:cs="Arial"/>
          <w:iCs/>
        </w:rPr>
      </w:pPr>
      <w:r w:rsidRPr="00B438E4">
        <w:rPr>
          <w:rFonts w:ascii="Arial" w:eastAsiaTheme="minorEastAsia" w:hAnsi="Arial" w:cs="Arial"/>
          <w:iCs/>
        </w:rPr>
        <w:lastRenderedPageBreak/>
        <w:t xml:space="preserve">Both parameters of this equation have a clear interpretation. The first, </w:t>
      </w:r>
      <m:oMath>
        <m:f>
          <m:fPr>
            <m:ctrlPr>
              <w:rPr>
                <w:rFonts w:ascii="Cambria Math" w:hAnsi="Cambria Math" w:cs="Arial"/>
                <w:i/>
                <w:iCs/>
              </w:rPr>
            </m:ctrlPr>
          </m:fPr>
          <m:num>
            <m:sSub>
              <m:sSubPr>
                <m:ctrlPr>
                  <w:rPr>
                    <w:rFonts w:ascii="Cambria Math" w:hAnsi="Cambria Math" w:cs="Arial"/>
                    <w:i/>
                    <w:iCs/>
                  </w:rPr>
                </m:ctrlPr>
              </m:sSubPr>
              <m:e>
                <m:r>
                  <w:rPr>
                    <w:rFonts w:ascii="Cambria Math" w:hAnsi="Cambria Math" w:cs="Arial"/>
                  </w:rPr>
                  <m:t>σ</m:t>
                </m:r>
              </m:e>
              <m:sub>
                <m:r>
                  <w:rPr>
                    <w:rFonts w:ascii="Cambria Math" w:hAnsi="Cambria Math" w:cs="Arial"/>
                  </w:rPr>
                  <m:t>con</m:t>
                </m:r>
              </m:sub>
            </m:sSub>
          </m:num>
          <m:den>
            <m:sSub>
              <m:sSubPr>
                <m:ctrlPr>
                  <w:rPr>
                    <w:rFonts w:ascii="Cambria Math" w:hAnsi="Cambria Math" w:cs="Arial"/>
                    <w:i/>
                    <w:iCs/>
                  </w:rPr>
                </m:ctrlPr>
              </m:sSubPr>
              <m:e>
                <m:r>
                  <w:rPr>
                    <w:rFonts w:ascii="Cambria Math" w:hAnsi="Cambria Math" w:cs="Arial"/>
                  </w:rPr>
                  <m:t>σ</m:t>
                </m:r>
              </m:e>
              <m:sub>
                <m:r>
                  <w:rPr>
                    <w:rFonts w:ascii="Cambria Math" w:hAnsi="Cambria Math" w:cs="Arial"/>
                  </w:rPr>
                  <m:t>inc</m:t>
                </m:r>
              </m:sub>
            </m:sSub>
          </m:den>
        </m:f>
      </m:oMath>
      <w:r w:rsidRPr="00B438E4">
        <w:rPr>
          <w:rFonts w:ascii="Arial" w:eastAsiaTheme="minorEastAsia" w:hAnsi="Arial" w:cs="Arial"/>
          <w:iCs/>
        </w:rPr>
        <w:t xml:space="preserve">, compares the inequality of consumption and income distributions. The lower </w:t>
      </w:r>
      <m:oMath>
        <m:f>
          <m:fPr>
            <m:ctrlPr>
              <w:rPr>
                <w:rFonts w:ascii="Cambria Math" w:hAnsi="Cambria Math" w:cs="Arial"/>
                <w:i/>
                <w:iCs/>
              </w:rPr>
            </m:ctrlPr>
          </m:fPr>
          <m:num>
            <m:sSub>
              <m:sSubPr>
                <m:ctrlPr>
                  <w:rPr>
                    <w:rFonts w:ascii="Cambria Math" w:hAnsi="Cambria Math" w:cs="Arial"/>
                    <w:i/>
                    <w:iCs/>
                  </w:rPr>
                </m:ctrlPr>
              </m:sSubPr>
              <m:e>
                <m:r>
                  <w:rPr>
                    <w:rFonts w:ascii="Cambria Math" w:hAnsi="Cambria Math" w:cs="Arial"/>
                  </w:rPr>
                  <m:t>σ</m:t>
                </m:r>
              </m:e>
              <m:sub>
                <m:r>
                  <w:rPr>
                    <w:rFonts w:ascii="Cambria Math" w:hAnsi="Cambria Math" w:cs="Arial"/>
                  </w:rPr>
                  <m:t>con</m:t>
                </m:r>
              </m:sub>
            </m:sSub>
          </m:num>
          <m:den>
            <m:sSub>
              <m:sSubPr>
                <m:ctrlPr>
                  <w:rPr>
                    <w:rFonts w:ascii="Cambria Math" w:hAnsi="Cambria Math" w:cs="Arial"/>
                    <w:i/>
                    <w:iCs/>
                  </w:rPr>
                </m:ctrlPr>
              </m:sSubPr>
              <m:e>
                <m:r>
                  <w:rPr>
                    <w:rFonts w:ascii="Cambria Math" w:hAnsi="Cambria Math" w:cs="Arial"/>
                  </w:rPr>
                  <m:t>σ</m:t>
                </m:r>
              </m:e>
              <m:sub>
                <m:r>
                  <w:rPr>
                    <w:rFonts w:ascii="Cambria Math" w:hAnsi="Cambria Math" w:cs="Arial"/>
                  </w:rPr>
                  <m:t>inc</m:t>
                </m:r>
              </m:sub>
            </m:sSub>
          </m:den>
        </m:f>
      </m:oMath>
      <w:r w:rsidRPr="00B438E4">
        <w:rPr>
          <w:rFonts w:ascii="Arial" w:eastAsiaTheme="minorEastAsia" w:hAnsi="Arial" w:cs="Arial"/>
          <w:iCs/>
        </w:rPr>
        <w:t xml:space="preserve">, the more compressed consumption distributions are relative to income distributions. The second, </w:t>
      </w:r>
      <m:oMath>
        <m:sSub>
          <m:sSubPr>
            <m:ctrlPr>
              <w:rPr>
                <w:rFonts w:ascii="Cambria Math" w:hAnsi="Cambria Math" w:cs="Arial"/>
                <w:i/>
                <w:iCs/>
              </w:rPr>
            </m:ctrlPr>
          </m:sSubPr>
          <m:e>
            <m:r>
              <w:rPr>
                <w:rFonts w:ascii="Cambria Math" w:hAnsi="Cambria Math" w:cs="Arial"/>
              </w:rPr>
              <m:t>γ</m:t>
            </m:r>
          </m:e>
          <m:sub>
            <m:r>
              <w:rPr>
                <w:rFonts w:ascii="Cambria Math" w:hAnsi="Cambria Math" w:cs="Arial"/>
              </w:rPr>
              <m:t>con</m:t>
            </m:r>
          </m:sub>
        </m:sSub>
      </m:oMath>
      <w:r w:rsidRPr="00B438E4">
        <w:rPr>
          <w:rFonts w:ascii="Arial" w:eastAsiaTheme="minorEastAsia" w:hAnsi="Arial" w:cs="Arial"/>
          <w:iCs/>
        </w:rPr>
        <w:t>, is the shift parameter of consumption distributions. It signifies the minimal consumption level supported. Estimating the parameters returns an adjusted R</w:t>
      </w:r>
      <w:r w:rsidRPr="00B438E4">
        <w:rPr>
          <w:rFonts w:ascii="Arial" w:eastAsiaTheme="minorEastAsia" w:hAnsi="Arial" w:cs="Arial"/>
          <w:iCs/>
          <w:vertAlign w:val="superscript"/>
        </w:rPr>
        <w:t>2</w:t>
      </w:r>
      <w:r w:rsidRPr="00B438E4">
        <w:rPr>
          <w:rFonts w:ascii="Arial" w:eastAsiaTheme="minorEastAsia" w:hAnsi="Arial" w:cs="Arial"/>
          <w:iCs/>
        </w:rPr>
        <w:t xml:space="preserve"> of 0.965 and now clearly passes the eye test </w:t>
      </w:r>
      <w:r w:rsidRPr="006B2EC7">
        <w:rPr>
          <w:rFonts w:ascii="Arial" w:eastAsiaTheme="minorEastAsia" w:hAnsi="Arial" w:cs="Arial"/>
        </w:rPr>
        <w:t>(</w:t>
      </w:r>
      <w:r w:rsidRPr="00C74AA3">
        <w:rPr>
          <w:rFonts w:ascii="Arial" w:eastAsiaTheme="minorEastAsia" w:hAnsi="Arial" w:cs="Arial"/>
          <w:iCs/>
        </w:rPr>
        <w:t>b</w:t>
      </w:r>
      <w:r w:rsidRPr="00B438E4">
        <w:rPr>
          <w:rFonts w:ascii="Arial" w:eastAsiaTheme="minorEastAsia" w:hAnsi="Arial" w:cs="Arial"/>
          <w:iCs/>
        </w:rPr>
        <w:t>).</w:t>
      </w:r>
      <w:r>
        <w:rPr>
          <w:rFonts w:ascii="Arial" w:eastAsiaTheme="minorEastAsia" w:hAnsi="Arial" w:cs="Arial"/>
          <w:iCs/>
        </w:rPr>
        <w:t xml:space="preserve"> It results in the following parameters:</w:t>
      </w:r>
    </w:p>
    <w:p w14:paraId="0D684E7F" w14:textId="77777777" w:rsidR="00B66AA5" w:rsidRPr="00B438E4" w:rsidRDefault="00B66AA5" w:rsidP="00B66AA5">
      <w:pPr>
        <w:jc w:val="both"/>
        <w:rPr>
          <w:rFonts w:ascii="Arial" w:eastAsiaTheme="minorEastAsia" w:hAnsi="Arial" w:cs="Arial"/>
          <w:iCs/>
        </w:rPr>
      </w:pPr>
      <m:oMathPara>
        <m:oMath>
          <m:r>
            <m:rPr>
              <m:sty m:val="p"/>
            </m:rPr>
            <w:rPr>
              <w:rFonts w:ascii="Cambria Math" w:eastAsiaTheme="minorEastAsia" w:hAnsi="Cambria Math" w:cs="Arial"/>
            </w:rPr>
            <m:t>ln</m:t>
          </m:r>
          <m:d>
            <m:dPr>
              <m:ctrlPr>
                <w:rPr>
                  <w:rFonts w:ascii="Cambria Math" w:eastAsiaTheme="minorEastAsia" w:hAnsi="Cambria Math" w:cs="Arial"/>
                  <w:i/>
                  <w:iCs/>
                </w:rPr>
              </m:ctrlPr>
            </m:dPr>
            <m:e>
              <m:r>
                <m:rPr>
                  <m:sty m:val="p"/>
                </m:rPr>
                <w:rPr>
                  <w:rFonts w:ascii="Cambria Math" w:eastAsiaTheme="minorEastAsia" w:hAnsi="Cambria Math" w:cs="Arial"/>
                </w:rPr>
                <m:t>con</m:t>
              </m:r>
            </m:e>
          </m:d>
          <m:r>
            <w:rPr>
              <w:rFonts w:ascii="Cambria Math" w:eastAsiaTheme="minorEastAsia" w:hAnsi="Cambria Math" w:cs="Arial"/>
            </w:rPr>
            <m:t>=ln</m:t>
          </m:r>
          <m:d>
            <m:dPr>
              <m:ctrlPr>
                <w:rPr>
                  <w:rFonts w:ascii="Cambria Math" w:eastAsiaTheme="minorEastAsia" w:hAnsi="Cambria Math" w:cs="Arial"/>
                  <w:i/>
                  <w:iCs/>
                </w:rPr>
              </m:ctrlPr>
            </m:dPr>
            <m:e>
              <m:sSup>
                <m:sSupPr>
                  <m:ctrlPr>
                    <w:rPr>
                      <w:rFonts w:ascii="Cambria Math" w:eastAsiaTheme="minorEastAsia" w:hAnsi="Cambria Math" w:cs="Arial"/>
                      <w:i/>
                      <w:iCs/>
                    </w:rPr>
                  </m:ctrlPr>
                </m:sSupPr>
                <m:e>
                  <m:r>
                    <w:rPr>
                      <w:rFonts w:ascii="Cambria Math" w:eastAsiaTheme="minorEastAsia" w:hAnsi="Cambria Math" w:cs="Arial"/>
                    </w:rPr>
                    <m:t>inc</m:t>
                  </m:r>
                </m:e>
                <m:sup>
                  <m:r>
                    <w:rPr>
                      <w:rFonts w:ascii="Cambria Math" w:eastAsiaTheme="minorEastAsia" w:hAnsi="Cambria Math" w:cs="Arial"/>
                    </w:rPr>
                    <m:t>0.94</m:t>
                  </m:r>
                </m:sup>
              </m:sSup>
              <m:r>
                <w:rPr>
                  <w:rFonts w:ascii="Cambria Math" w:eastAsiaTheme="minorEastAsia" w:hAnsi="Cambria Math" w:cs="Arial"/>
                </w:rPr>
                <m:t>+1.04</m:t>
              </m:r>
            </m:e>
          </m:d>
        </m:oMath>
      </m:oMathPara>
    </w:p>
    <w:p w14:paraId="7598168E" w14:textId="77777777" w:rsidR="00B66AA5" w:rsidRPr="00B438E4" w:rsidRDefault="00B66AA5" w:rsidP="00B66AA5">
      <w:pPr>
        <w:jc w:val="both"/>
        <w:rPr>
          <w:rFonts w:ascii="Arial" w:eastAsiaTheme="minorEastAsia" w:hAnsi="Arial" w:cs="Arial"/>
          <w:iCs/>
        </w:rPr>
      </w:pPr>
      <w:r w:rsidRPr="00B438E4">
        <w:rPr>
          <w:rFonts w:ascii="Arial" w:eastAsiaTheme="minorEastAsia" w:hAnsi="Arial" w:cs="Arial"/>
          <w:iCs/>
        </w:rPr>
        <w:t>One concern with the strategy adopted is that even if both consumption and income distributions follow a three-parameter log normal distribution, the joint distribution of all the country-years with income and consumption estimates at the same year need not follow a three-parameter log-normal distribution. Another concern is that the R</w:t>
      </w:r>
      <w:r w:rsidRPr="00B438E4">
        <w:rPr>
          <w:rFonts w:ascii="Arial" w:eastAsiaTheme="minorEastAsia" w:hAnsi="Arial" w:cs="Arial"/>
          <w:iCs/>
          <w:vertAlign w:val="superscript"/>
        </w:rPr>
        <w:t xml:space="preserve">2 </w:t>
      </w:r>
      <w:r w:rsidRPr="00B438E4">
        <w:rPr>
          <w:rFonts w:ascii="Arial" w:eastAsiaTheme="minorEastAsia" w:hAnsi="Arial" w:cs="Arial"/>
          <w:iCs/>
        </w:rPr>
        <w:t>is much lower at the lower end of the distribution, which matters particularly for our exercise. For all consumption-income pairs with an income level below $2.15 the R</w:t>
      </w:r>
      <w:r w:rsidRPr="00B438E4">
        <w:rPr>
          <w:rFonts w:ascii="Arial" w:eastAsiaTheme="minorEastAsia" w:hAnsi="Arial" w:cs="Arial"/>
          <w:iCs/>
          <w:vertAlign w:val="superscript"/>
        </w:rPr>
        <w:t>2</w:t>
      </w:r>
      <w:r w:rsidRPr="00B438E4">
        <w:rPr>
          <w:rFonts w:ascii="Arial" w:eastAsiaTheme="minorEastAsia" w:hAnsi="Arial" w:cs="Arial"/>
          <w:iCs/>
        </w:rPr>
        <w:t xml:space="preserve"> is 0.864. </w:t>
      </w:r>
    </w:p>
    <w:p w14:paraId="66A63D2B" w14:textId="77777777" w:rsidR="00B66AA5" w:rsidRPr="00B438E4" w:rsidRDefault="00B66AA5" w:rsidP="00B66AA5">
      <w:pPr>
        <w:jc w:val="both"/>
        <w:rPr>
          <w:rFonts w:ascii="Arial" w:eastAsiaTheme="minorEastAsia" w:hAnsi="Arial" w:cs="Arial"/>
          <w:iCs/>
        </w:rPr>
      </w:pPr>
      <w:proofErr w:type="gramStart"/>
      <w:r w:rsidRPr="00B438E4">
        <w:rPr>
          <w:rFonts w:ascii="Arial" w:eastAsiaTheme="minorEastAsia" w:hAnsi="Arial" w:cs="Arial"/>
          <w:iCs/>
        </w:rPr>
        <w:t>Both of these</w:t>
      </w:r>
      <w:proofErr w:type="gramEnd"/>
      <w:r w:rsidRPr="00B438E4">
        <w:rPr>
          <w:rFonts w:ascii="Arial" w:eastAsiaTheme="minorEastAsia" w:hAnsi="Arial" w:cs="Arial"/>
          <w:iCs/>
        </w:rPr>
        <w:t xml:space="preserve"> concerns can be addressed by letting the two parameters be a function of the income level of the country. </w:t>
      </w:r>
      <w:proofErr w:type="gramStart"/>
      <w:r w:rsidRPr="00B438E4">
        <w:rPr>
          <w:rFonts w:ascii="Arial" w:eastAsiaTheme="minorEastAsia" w:hAnsi="Arial" w:cs="Arial"/>
          <w:iCs/>
        </w:rPr>
        <w:t>In particular, one</w:t>
      </w:r>
      <w:proofErr w:type="gramEnd"/>
      <w:r w:rsidRPr="00B438E4">
        <w:rPr>
          <w:rFonts w:ascii="Arial" w:eastAsiaTheme="minorEastAsia" w:hAnsi="Arial" w:cs="Arial"/>
          <w:iCs/>
        </w:rPr>
        <w:t xml:space="preserve"> reason for the worse fit at the bottom of the distribution may be that the consumption floor, </w:t>
      </w:r>
      <m:oMath>
        <m:sSub>
          <m:sSubPr>
            <m:ctrlPr>
              <w:rPr>
                <w:rFonts w:ascii="Cambria Math" w:hAnsi="Cambria Math" w:cs="Arial"/>
                <w:i/>
                <w:iCs/>
              </w:rPr>
            </m:ctrlPr>
          </m:sSubPr>
          <m:e>
            <m:r>
              <w:rPr>
                <w:rFonts w:ascii="Cambria Math" w:hAnsi="Cambria Math" w:cs="Arial"/>
              </w:rPr>
              <m:t>γ</m:t>
            </m:r>
          </m:e>
          <m:sub>
            <m:r>
              <w:rPr>
                <w:rFonts w:ascii="Cambria Math" w:hAnsi="Cambria Math" w:cs="Arial"/>
              </w:rPr>
              <m:t>con</m:t>
            </m:r>
          </m:sub>
        </m:sSub>
      </m:oMath>
      <w:r w:rsidRPr="00B438E4">
        <w:rPr>
          <w:rFonts w:ascii="Arial" w:eastAsiaTheme="minorEastAsia" w:hAnsi="Arial" w:cs="Arial"/>
          <w:iCs/>
        </w:rPr>
        <w:t>, varies across contexts. Ev</w:t>
      </w:r>
      <w:proofErr w:type="spellStart"/>
      <w:r w:rsidRPr="00B438E4">
        <w:rPr>
          <w:rFonts w:ascii="Arial" w:eastAsiaTheme="minorEastAsia" w:hAnsi="Arial" w:cs="Arial"/>
          <w:iCs/>
        </w:rPr>
        <w:t>en</w:t>
      </w:r>
      <w:proofErr w:type="spellEnd"/>
      <w:r w:rsidRPr="00B438E4">
        <w:rPr>
          <w:rFonts w:ascii="Arial" w:eastAsiaTheme="minorEastAsia" w:hAnsi="Arial" w:cs="Arial"/>
          <w:iCs/>
        </w:rPr>
        <w:t xml:space="preserve"> if the poorest 1% of the population of Norway and Somalia have an income less than 1$, we may expect the poorest 1% of the two countries to have different consumption floors. In other words, the consumption floor may depend on the general income level of the country. We account for this by letting </w:t>
      </w:r>
      <m:oMath>
        <m:sSub>
          <m:sSubPr>
            <m:ctrlPr>
              <w:rPr>
                <w:rFonts w:ascii="Cambria Math" w:eastAsiaTheme="minorEastAsia" w:hAnsi="Cambria Math" w:cs="Arial"/>
                <w:i/>
                <w:iCs/>
              </w:rPr>
            </m:ctrlPr>
          </m:sSubPr>
          <m:e>
            <m:r>
              <w:rPr>
                <w:rFonts w:ascii="Cambria Math" w:eastAsiaTheme="minorEastAsia" w:hAnsi="Cambria Math" w:cs="Arial"/>
              </w:rPr>
              <m:t>γ</m:t>
            </m:r>
          </m:e>
          <m:sub>
            <m:r>
              <w:rPr>
                <w:rFonts w:ascii="Cambria Math" w:eastAsiaTheme="minorEastAsia" w:hAnsi="Cambria Math" w:cs="Arial"/>
              </w:rPr>
              <m:t>con</m:t>
            </m:r>
          </m:sub>
        </m:sSub>
      </m:oMath>
      <w:r w:rsidRPr="00B438E4">
        <w:rPr>
          <w:rFonts w:ascii="Arial" w:eastAsiaTheme="minorEastAsia" w:hAnsi="Arial" w:cs="Arial"/>
          <w:iCs/>
        </w:rPr>
        <w:t xml:space="preserve"> be a function of the median income: </w:t>
      </w:r>
      <m:oMath>
        <m:r>
          <m:rPr>
            <m:sty m:val="p"/>
          </m:rPr>
          <w:rPr>
            <w:rFonts w:ascii="Cambria Math" w:eastAsiaTheme="minorEastAsia" w:hAnsi="Cambria Math" w:cs="Arial"/>
          </w:rPr>
          <m:t>ln</m:t>
        </m:r>
        <m:d>
          <m:dPr>
            <m:ctrlPr>
              <w:rPr>
                <w:rFonts w:ascii="Cambria Math" w:eastAsiaTheme="minorEastAsia" w:hAnsi="Cambria Math" w:cs="Arial"/>
                <w:i/>
                <w:iCs/>
              </w:rPr>
            </m:ctrlPr>
          </m:dPr>
          <m:e>
            <m:r>
              <m:rPr>
                <m:sty m:val="p"/>
              </m:rPr>
              <w:rPr>
                <w:rFonts w:ascii="Cambria Math" w:eastAsiaTheme="minorEastAsia" w:hAnsi="Cambria Math" w:cs="Arial"/>
              </w:rPr>
              <m:t>con</m:t>
            </m:r>
          </m:e>
        </m:d>
        <m:r>
          <w:rPr>
            <w:rFonts w:ascii="Cambria Math" w:hAnsi="Cambria Math" w:cs="Arial"/>
          </w:rPr>
          <m:t>= ln</m:t>
        </m:r>
        <m:d>
          <m:dPr>
            <m:ctrlPr>
              <w:rPr>
                <w:rFonts w:ascii="Cambria Math" w:hAnsi="Cambria Math" w:cs="Arial"/>
                <w:i/>
                <w:iCs/>
              </w:rPr>
            </m:ctrlPr>
          </m:dPr>
          <m:e>
            <m:sSup>
              <m:sSupPr>
                <m:ctrlPr>
                  <w:rPr>
                    <w:rFonts w:ascii="Cambria Math" w:hAnsi="Cambria Math" w:cs="Arial"/>
                    <w:i/>
                    <w:iCs/>
                  </w:rPr>
                </m:ctrlPr>
              </m:sSupPr>
              <m:e>
                <m:r>
                  <w:rPr>
                    <w:rFonts w:ascii="Cambria Math" w:hAnsi="Cambria Math" w:cs="Arial"/>
                  </w:rPr>
                  <m:t>inc</m:t>
                </m:r>
              </m:e>
              <m:sup>
                <m:f>
                  <m:fPr>
                    <m:ctrlPr>
                      <w:rPr>
                        <w:rFonts w:ascii="Cambria Math" w:hAnsi="Cambria Math" w:cs="Arial"/>
                        <w:i/>
                        <w:iCs/>
                      </w:rPr>
                    </m:ctrlPr>
                  </m:fPr>
                  <m:num>
                    <m:sSub>
                      <m:sSubPr>
                        <m:ctrlPr>
                          <w:rPr>
                            <w:rFonts w:ascii="Cambria Math" w:hAnsi="Cambria Math" w:cs="Arial"/>
                            <w:i/>
                            <w:iCs/>
                          </w:rPr>
                        </m:ctrlPr>
                      </m:sSubPr>
                      <m:e>
                        <m:r>
                          <w:rPr>
                            <w:rFonts w:ascii="Cambria Math" w:hAnsi="Cambria Math" w:cs="Arial"/>
                          </w:rPr>
                          <m:t>σ</m:t>
                        </m:r>
                      </m:e>
                      <m:sub>
                        <m:r>
                          <w:rPr>
                            <w:rFonts w:ascii="Cambria Math" w:hAnsi="Cambria Math" w:cs="Arial"/>
                          </w:rPr>
                          <m:t>con</m:t>
                        </m:r>
                      </m:sub>
                    </m:sSub>
                  </m:num>
                  <m:den>
                    <m:sSub>
                      <m:sSubPr>
                        <m:ctrlPr>
                          <w:rPr>
                            <w:rFonts w:ascii="Cambria Math" w:hAnsi="Cambria Math" w:cs="Arial"/>
                            <w:i/>
                            <w:iCs/>
                          </w:rPr>
                        </m:ctrlPr>
                      </m:sSubPr>
                      <m:e>
                        <m:r>
                          <w:rPr>
                            <w:rFonts w:ascii="Cambria Math" w:hAnsi="Cambria Math" w:cs="Arial"/>
                          </w:rPr>
                          <m:t>σ</m:t>
                        </m:r>
                      </m:e>
                      <m:sub>
                        <m:r>
                          <w:rPr>
                            <w:rFonts w:ascii="Cambria Math" w:hAnsi="Cambria Math" w:cs="Arial"/>
                          </w:rPr>
                          <m:t>inc</m:t>
                        </m:r>
                      </m:sub>
                    </m:sSub>
                  </m:den>
                </m:f>
              </m:sup>
            </m:sSup>
            <m:r>
              <w:rPr>
                <w:rFonts w:ascii="Cambria Math" w:hAnsi="Cambria Math" w:cs="Arial"/>
              </w:rPr>
              <m:t>+</m:t>
            </m:r>
            <m:sSub>
              <m:sSubPr>
                <m:ctrlPr>
                  <w:rPr>
                    <w:rFonts w:ascii="Cambria Math" w:hAnsi="Cambria Math" w:cs="Arial"/>
                    <w:i/>
                    <w:iCs/>
                  </w:rPr>
                </m:ctrlPr>
              </m:sSubPr>
              <m:e>
                <m:r>
                  <w:rPr>
                    <w:rFonts w:ascii="Cambria Math" w:hAnsi="Cambria Math" w:cs="Arial"/>
                  </w:rPr>
                  <m:t>γ</m:t>
                </m:r>
              </m:e>
              <m:sub>
                <m:r>
                  <w:rPr>
                    <w:rFonts w:ascii="Cambria Math" w:hAnsi="Cambria Math" w:cs="Arial"/>
                  </w:rPr>
                  <m:t>0,con</m:t>
                </m:r>
              </m:sub>
            </m:sSub>
            <m:r>
              <w:rPr>
                <w:rFonts w:ascii="Cambria Math" w:hAnsi="Cambria Math" w:cs="Arial"/>
              </w:rPr>
              <m:t>+</m:t>
            </m:r>
            <m:sSub>
              <m:sSubPr>
                <m:ctrlPr>
                  <w:rPr>
                    <w:rFonts w:ascii="Cambria Math" w:hAnsi="Cambria Math" w:cs="Arial"/>
                    <w:i/>
                    <w:iCs/>
                  </w:rPr>
                </m:ctrlPr>
              </m:sSubPr>
              <m:e>
                <m:r>
                  <w:rPr>
                    <w:rFonts w:ascii="Cambria Math" w:hAnsi="Cambria Math" w:cs="Arial"/>
                  </w:rPr>
                  <m:t>γ</m:t>
                </m:r>
              </m:e>
              <m:sub>
                <m:r>
                  <w:rPr>
                    <w:rFonts w:ascii="Cambria Math" w:hAnsi="Cambria Math" w:cs="Arial"/>
                  </w:rPr>
                  <m:t>1,con</m:t>
                </m:r>
              </m:sub>
            </m:sSub>
            <m:r>
              <w:rPr>
                <w:rFonts w:ascii="Cambria Math" w:hAnsi="Cambria Math" w:cs="Arial"/>
              </w:rPr>
              <m:t>*</m:t>
            </m:r>
            <m:func>
              <m:funcPr>
                <m:ctrlPr>
                  <w:rPr>
                    <w:rFonts w:ascii="Cambria Math" w:hAnsi="Cambria Math" w:cs="Arial"/>
                    <w:i/>
                    <w:iCs/>
                  </w:rPr>
                </m:ctrlPr>
              </m:funcPr>
              <m:fName>
                <m:r>
                  <m:rPr>
                    <m:sty m:val="p"/>
                  </m:rPr>
                  <w:rPr>
                    <w:rFonts w:ascii="Cambria Math" w:hAnsi="Cambria Math" w:cs="Arial"/>
                  </w:rPr>
                  <m:t>ln</m:t>
                </m:r>
              </m:fName>
              <m:e>
                <m:d>
                  <m:dPr>
                    <m:ctrlPr>
                      <w:rPr>
                        <w:rFonts w:ascii="Cambria Math" w:hAnsi="Cambria Math" w:cs="Arial"/>
                        <w:i/>
                        <w:iCs/>
                      </w:rPr>
                    </m:ctrlPr>
                  </m:dPr>
                  <m:e>
                    <m:sSub>
                      <m:sSubPr>
                        <m:ctrlPr>
                          <w:rPr>
                            <w:rFonts w:ascii="Cambria Math" w:hAnsi="Cambria Math" w:cs="Arial"/>
                            <w:i/>
                            <w:iCs/>
                          </w:rPr>
                        </m:ctrlPr>
                      </m:sSubPr>
                      <m:e>
                        <m:r>
                          <w:rPr>
                            <w:rFonts w:ascii="Cambria Math" w:hAnsi="Cambria Math" w:cs="Arial"/>
                          </w:rPr>
                          <m:t>inc</m:t>
                        </m:r>
                      </m:e>
                      <m:sub>
                        <m:r>
                          <w:rPr>
                            <w:rFonts w:ascii="Cambria Math" w:hAnsi="Cambria Math" w:cs="Arial"/>
                          </w:rPr>
                          <m:t>median</m:t>
                        </m:r>
                      </m:sub>
                    </m:sSub>
                  </m:e>
                </m:d>
              </m:e>
            </m:func>
          </m:e>
        </m:d>
      </m:oMath>
      <w:r w:rsidRPr="00B438E4">
        <w:rPr>
          <w:rFonts w:ascii="Arial" w:eastAsiaTheme="minorEastAsia" w:hAnsi="Arial" w:cs="Arial"/>
          <w:iCs/>
        </w:rPr>
        <w:t>. Fitting this model on the data yields</w:t>
      </w:r>
    </w:p>
    <w:p w14:paraId="128596EE" w14:textId="77777777" w:rsidR="00B66AA5" w:rsidRPr="00B438E4" w:rsidRDefault="00B66AA5" w:rsidP="00B66AA5">
      <w:pPr>
        <w:jc w:val="both"/>
        <w:rPr>
          <w:rFonts w:ascii="Arial" w:eastAsiaTheme="minorEastAsia" w:hAnsi="Arial" w:cs="Arial"/>
          <w:iCs/>
        </w:rPr>
      </w:pPr>
      <m:oMathPara>
        <m:oMath>
          <m:r>
            <w:rPr>
              <w:rFonts w:ascii="Cambria Math" w:hAnsi="Cambria Math" w:cs="Arial"/>
            </w:rPr>
            <m:t>ln</m:t>
          </m:r>
          <m:d>
            <m:dPr>
              <m:ctrlPr>
                <w:rPr>
                  <w:rFonts w:ascii="Cambria Math" w:hAnsi="Cambria Math" w:cs="Arial"/>
                  <w:i/>
                  <w:iCs/>
                </w:rPr>
              </m:ctrlPr>
            </m:dPr>
            <m:e>
              <m:sSup>
                <m:sSupPr>
                  <m:ctrlPr>
                    <w:rPr>
                      <w:rFonts w:ascii="Cambria Math" w:hAnsi="Cambria Math" w:cs="Arial"/>
                      <w:i/>
                      <w:iCs/>
                    </w:rPr>
                  </m:ctrlPr>
                </m:sSupPr>
                <m:e>
                  <m:r>
                    <w:rPr>
                      <w:rFonts w:ascii="Cambria Math" w:hAnsi="Cambria Math" w:cs="Arial"/>
                    </w:rPr>
                    <m:t>inc</m:t>
                  </m:r>
                </m:e>
                <m:sup>
                  <m:r>
                    <w:rPr>
                      <w:rFonts w:ascii="Cambria Math" w:hAnsi="Cambria Math" w:cs="Arial"/>
                    </w:rPr>
                    <m:t>0.93</m:t>
                  </m:r>
                </m:sup>
              </m:sSup>
              <m:r>
                <w:rPr>
                  <w:rFonts w:ascii="Cambria Math" w:hAnsi="Cambria Math" w:cs="Arial"/>
                </w:rPr>
                <m:t>+0.68+0.26*</m:t>
              </m:r>
              <m:func>
                <m:funcPr>
                  <m:ctrlPr>
                    <w:rPr>
                      <w:rFonts w:ascii="Cambria Math" w:hAnsi="Cambria Math" w:cs="Arial"/>
                      <w:i/>
                      <w:iCs/>
                    </w:rPr>
                  </m:ctrlPr>
                </m:funcPr>
                <m:fName>
                  <m:r>
                    <m:rPr>
                      <m:sty m:val="p"/>
                    </m:rPr>
                    <w:rPr>
                      <w:rFonts w:ascii="Cambria Math" w:hAnsi="Cambria Math" w:cs="Arial"/>
                    </w:rPr>
                    <m:t>ln</m:t>
                  </m:r>
                </m:fName>
                <m:e>
                  <m:d>
                    <m:dPr>
                      <m:ctrlPr>
                        <w:rPr>
                          <w:rFonts w:ascii="Cambria Math" w:hAnsi="Cambria Math" w:cs="Arial"/>
                          <w:i/>
                          <w:iCs/>
                        </w:rPr>
                      </m:ctrlPr>
                    </m:dPr>
                    <m:e>
                      <m:sSub>
                        <m:sSubPr>
                          <m:ctrlPr>
                            <w:rPr>
                              <w:rFonts w:ascii="Cambria Math" w:hAnsi="Cambria Math" w:cs="Arial"/>
                              <w:i/>
                              <w:iCs/>
                            </w:rPr>
                          </m:ctrlPr>
                        </m:sSubPr>
                        <m:e>
                          <m:r>
                            <w:rPr>
                              <w:rFonts w:ascii="Cambria Math" w:hAnsi="Cambria Math" w:cs="Arial"/>
                            </w:rPr>
                            <m:t>inc</m:t>
                          </m:r>
                        </m:e>
                        <m:sub>
                          <m:r>
                            <w:rPr>
                              <w:rFonts w:ascii="Cambria Math" w:hAnsi="Cambria Math" w:cs="Arial"/>
                            </w:rPr>
                            <m:t>median</m:t>
                          </m:r>
                        </m:sub>
                      </m:sSub>
                    </m:e>
                  </m:d>
                </m:e>
              </m:func>
            </m:e>
          </m:d>
          <m:r>
            <w:rPr>
              <w:rFonts w:ascii="Cambria Math" w:hAnsi="Cambria Math" w:cs="Arial"/>
            </w:rPr>
            <m:t xml:space="preserve"> </m:t>
          </m:r>
        </m:oMath>
      </m:oMathPara>
    </w:p>
    <w:p w14:paraId="29FBE90D" w14:textId="77777777" w:rsidR="00B66AA5" w:rsidRPr="00B438E4" w:rsidRDefault="00B66AA5" w:rsidP="00B66AA5">
      <w:pPr>
        <w:jc w:val="both"/>
        <w:rPr>
          <w:rFonts w:ascii="Arial" w:eastAsiaTheme="minorEastAsia" w:hAnsi="Arial" w:cs="Arial"/>
          <w:iCs/>
        </w:rPr>
      </w:pPr>
      <w:r w:rsidRPr="00B438E4">
        <w:rPr>
          <w:rFonts w:ascii="Arial" w:eastAsiaTheme="minorEastAsia" w:hAnsi="Arial" w:cs="Arial"/>
          <w:iCs/>
        </w:rPr>
        <w:t xml:space="preserve">Hence, the consumption floor is increasing in income level. For countries with a median income around the international poverty line, the consumption floor is  </w:t>
      </w:r>
      <m:oMath>
        <m:r>
          <w:rPr>
            <w:rFonts w:ascii="Cambria Math" w:eastAsiaTheme="minorEastAsia" w:hAnsi="Cambria Math" w:cs="Arial"/>
          </w:rPr>
          <m:t>0.88=</m:t>
        </m:r>
        <m:r>
          <m:rPr>
            <m:sty m:val="p"/>
          </m:rPr>
          <w:rPr>
            <w:rFonts w:ascii="Cambria Math" w:eastAsiaTheme="minorEastAsia" w:hAnsi="Cambria Math" w:cs="Arial"/>
          </w:rPr>
          <m:t>0.68+0.26*ln(2.15)</m:t>
        </m:r>
      </m:oMath>
      <w:r w:rsidRPr="00B438E4">
        <w:rPr>
          <w:rFonts w:ascii="Arial" w:eastAsiaTheme="minorEastAsia" w:hAnsi="Arial" w:cs="Arial"/>
          <w:iCs/>
        </w:rPr>
        <w:t>, while for countries with a median income of $50, it</w:t>
      </w:r>
      <m:oMath>
        <m:r>
          <w:rPr>
            <w:rFonts w:ascii="Cambria Math" w:eastAsiaTheme="minorEastAsia" w:hAnsi="Cambria Math" w:cs="Arial"/>
          </w:rPr>
          <m:t xml:space="preserve"> 1.70=</m:t>
        </m:r>
        <m:r>
          <m:rPr>
            <m:sty m:val="p"/>
          </m:rPr>
          <w:rPr>
            <w:rFonts w:ascii="Cambria Math" w:eastAsiaTheme="minorEastAsia" w:hAnsi="Cambria Math" w:cs="Arial"/>
          </w:rPr>
          <m:t>0.68+0.26*ln(50)</m:t>
        </m:r>
      </m:oMath>
      <w:r w:rsidRPr="00B438E4">
        <w:rPr>
          <w:rFonts w:ascii="Arial" w:eastAsiaTheme="minorEastAsia" w:hAnsi="Arial" w:cs="Arial"/>
          <w:iCs/>
        </w:rPr>
        <w:t>. Using this specification explains 17% of the previously unexplained variation below $2.15, leaving an R</w:t>
      </w:r>
      <w:r w:rsidRPr="00B438E4">
        <w:rPr>
          <w:rFonts w:ascii="Arial" w:eastAsiaTheme="minorEastAsia" w:hAnsi="Arial" w:cs="Arial"/>
          <w:iCs/>
          <w:vertAlign w:val="superscript"/>
        </w:rPr>
        <w:t>2</w:t>
      </w:r>
      <w:r w:rsidRPr="00B438E4">
        <w:rPr>
          <w:rFonts w:ascii="Arial" w:eastAsiaTheme="minorEastAsia" w:hAnsi="Arial" w:cs="Arial"/>
          <w:iCs/>
        </w:rPr>
        <w:t xml:space="preserve"> for this subset of 0.887.  This is the final specification we use. We also tried to let the first parameter, </w:t>
      </w:r>
      <m:oMath>
        <m:f>
          <m:fPr>
            <m:ctrlPr>
              <w:rPr>
                <w:rFonts w:ascii="Cambria Math" w:hAnsi="Cambria Math" w:cs="Arial"/>
                <w:i/>
                <w:iCs/>
              </w:rPr>
            </m:ctrlPr>
          </m:fPr>
          <m:num>
            <m:sSub>
              <m:sSubPr>
                <m:ctrlPr>
                  <w:rPr>
                    <w:rFonts w:ascii="Cambria Math" w:hAnsi="Cambria Math" w:cs="Arial"/>
                    <w:i/>
                    <w:iCs/>
                  </w:rPr>
                </m:ctrlPr>
              </m:sSubPr>
              <m:e>
                <m:r>
                  <w:rPr>
                    <w:rFonts w:ascii="Cambria Math" w:hAnsi="Cambria Math" w:cs="Arial"/>
                  </w:rPr>
                  <m:t>σ</m:t>
                </m:r>
              </m:e>
              <m:sub>
                <m:r>
                  <w:rPr>
                    <w:rFonts w:ascii="Cambria Math" w:hAnsi="Cambria Math" w:cs="Arial"/>
                  </w:rPr>
                  <m:t>con</m:t>
                </m:r>
              </m:sub>
            </m:sSub>
          </m:num>
          <m:den>
            <m:sSub>
              <m:sSubPr>
                <m:ctrlPr>
                  <w:rPr>
                    <w:rFonts w:ascii="Cambria Math" w:hAnsi="Cambria Math" w:cs="Arial"/>
                    <w:i/>
                    <w:iCs/>
                  </w:rPr>
                </m:ctrlPr>
              </m:sSubPr>
              <m:e>
                <m:r>
                  <w:rPr>
                    <w:rFonts w:ascii="Cambria Math" w:hAnsi="Cambria Math" w:cs="Arial"/>
                  </w:rPr>
                  <m:t>σ</m:t>
                </m:r>
              </m:e>
              <m:sub>
                <m:r>
                  <w:rPr>
                    <w:rFonts w:ascii="Cambria Math" w:hAnsi="Cambria Math" w:cs="Arial"/>
                  </w:rPr>
                  <m:t>inc</m:t>
                </m:r>
              </m:sub>
            </m:sSub>
          </m:den>
        </m:f>
      </m:oMath>
      <w:r w:rsidRPr="00B438E4">
        <w:rPr>
          <w:rFonts w:ascii="Arial" w:eastAsiaTheme="minorEastAsia" w:hAnsi="Arial" w:cs="Arial"/>
          <w:iCs/>
        </w:rPr>
        <w:t xml:space="preserve"> , be a function of the income level of the country but found that it offered negligible gains in accuracy. </w:t>
      </w:r>
    </w:p>
    <w:p w14:paraId="4028613A" w14:textId="0F8244B1" w:rsidR="00B66AA5" w:rsidRPr="00B438E4" w:rsidRDefault="00B66AA5" w:rsidP="00B66AA5">
      <w:pPr>
        <w:jc w:val="both"/>
        <w:rPr>
          <w:rFonts w:ascii="Arial" w:eastAsiaTheme="minorEastAsia" w:hAnsi="Arial" w:cs="Arial"/>
          <w:iCs/>
        </w:rPr>
      </w:pPr>
      <w:r w:rsidRPr="00CE7CED">
        <w:rPr>
          <w:rFonts w:ascii="Arial" w:eastAsiaTheme="minorEastAsia" w:hAnsi="Arial" w:cs="Arial"/>
          <w:iCs/>
        </w:rPr>
        <w:t>Extended Data Figure 12 shows</w:t>
      </w:r>
      <w:r w:rsidRPr="00B438E4">
        <w:rPr>
          <w:rFonts w:ascii="Arial" w:eastAsiaTheme="minorEastAsia" w:hAnsi="Arial" w:cs="Arial"/>
          <w:iCs/>
        </w:rPr>
        <w:t xml:space="preserve"> the implication of our preferred relationship for estimated poverty rates and Gini coefficients for the countries using income aggregates. Using Colombia as an example, its extreme poverty rate is 9.3% with an income aggregate but estimated to be 4% for a consumption aggregate. Its Gini goes from 0.54 with a consumption aggregate to 0.46 with an income aggregate.</w:t>
      </w:r>
    </w:p>
    <w:p w14:paraId="6826CF2D" w14:textId="77777777" w:rsidR="00B66AA5" w:rsidRPr="00B438E4" w:rsidRDefault="00B66AA5" w:rsidP="00B66AA5">
      <w:pPr>
        <w:jc w:val="both"/>
        <w:rPr>
          <w:rFonts w:ascii="Arial" w:hAnsi="Arial" w:cs="Arial"/>
        </w:rPr>
      </w:pPr>
      <w:r w:rsidRPr="00B438E4">
        <w:rPr>
          <w:rFonts w:ascii="Arial" w:hAnsi="Arial" w:cs="Arial"/>
        </w:rPr>
        <w:t>For about 50 economies home to less than 2% of the world’s population, we have no prior income or consumption data at all. These tend to be small high-income countries that do not share microdata as well as very closed countries, such as Cuba and North Korea. To make the exercise truly global, we impute consumption distributions for these countries by taking the median value of the 1000 consumption quantiles of their respective World Bank income group and region. For region-income group pairs with less than five countries with data, we take the median from the income group of the country with missing data.</w:t>
      </w:r>
    </w:p>
    <w:p w14:paraId="33E6DAC6" w14:textId="77777777" w:rsidR="00B66AA5" w:rsidRPr="00B438E4" w:rsidRDefault="00B66AA5" w:rsidP="00B66AA5">
      <w:pPr>
        <w:jc w:val="both"/>
        <w:rPr>
          <w:rFonts w:ascii="Arial" w:hAnsi="Arial" w:cs="Arial"/>
        </w:rPr>
      </w:pPr>
      <w:r w:rsidRPr="00B438E4">
        <w:rPr>
          <w:rFonts w:ascii="Arial" w:hAnsi="Arial" w:cs="Arial"/>
        </w:rPr>
        <w:lastRenderedPageBreak/>
        <w:t xml:space="preserve">Finally, we </w:t>
      </w:r>
      <w:proofErr w:type="spellStart"/>
      <w:r w:rsidRPr="00B438E4">
        <w:rPr>
          <w:rFonts w:ascii="Arial" w:hAnsi="Arial" w:cs="Arial"/>
        </w:rPr>
        <w:t>winsorize</w:t>
      </w:r>
      <w:proofErr w:type="spellEnd"/>
      <w:r w:rsidRPr="00B438E4">
        <w:rPr>
          <w:rFonts w:ascii="Arial" w:hAnsi="Arial" w:cs="Arial"/>
        </w:rPr>
        <w:t xml:space="preserve"> the consumption distributions at 50 cents per person per day. Consumption levels below that would reflect a daily caloric intake that likely is impossible to sustain over periods of time, and hence likely reflect measurement error. This </w:t>
      </w:r>
      <w:proofErr w:type="spellStart"/>
      <w:r w:rsidRPr="00B438E4">
        <w:rPr>
          <w:rFonts w:ascii="Arial" w:hAnsi="Arial" w:cs="Arial"/>
        </w:rPr>
        <w:t>winsorization</w:t>
      </w:r>
      <w:proofErr w:type="spellEnd"/>
      <w:r w:rsidRPr="00B438E4">
        <w:rPr>
          <w:rFonts w:ascii="Arial" w:hAnsi="Arial" w:cs="Arial"/>
        </w:rPr>
        <w:t xml:space="preserve"> affects 0.4% of the observations. </w:t>
      </w:r>
    </w:p>
    <w:p w14:paraId="3A63A736" w14:textId="283CB7BF" w:rsidR="00B66AA5" w:rsidRPr="00B438E4" w:rsidRDefault="00B66AA5" w:rsidP="00B66AA5">
      <w:pPr>
        <w:jc w:val="both"/>
        <w:rPr>
          <w:rFonts w:ascii="Arial" w:hAnsi="Arial" w:cs="Arial"/>
        </w:rPr>
      </w:pPr>
      <w:r w:rsidRPr="00B438E4">
        <w:rPr>
          <w:rFonts w:ascii="Arial" w:hAnsi="Arial" w:cs="Arial"/>
        </w:rPr>
        <w:t>We are primarily interested in the greenhouse gasses necessary to end extreme poverty, currently measured as falling short of a daily consumption of $2.15 in 2017 purchasing power parity adjusted dollars</w:t>
      </w:r>
      <w:r>
        <w:rPr>
          <w:rFonts w:ascii="Arial" w:hAnsi="Arial" w:cs="Arial"/>
        </w:rPr>
        <w:t>.</w:t>
      </w:r>
      <w:r w:rsidRPr="00B65030">
        <w:rPr>
          <w:rFonts w:ascii="Arial" w:hAnsi="Arial" w:cs="Arial"/>
          <w:szCs w:val="24"/>
          <w:vertAlign w:val="superscript"/>
        </w:rPr>
        <w:t>12</w:t>
      </w:r>
      <w:r w:rsidRPr="00B438E4">
        <w:rPr>
          <w:rFonts w:ascii="Arial" w:hAnsi="Arial" w:cs="Arial"/>
        </w:rPr>
        <w:t xml:space="preserve"> This is the </w:t>
      </w:r>
      <w:r>
        <w:rPr>
          <w:rFonts w:ascii="Arial" w:hAnsi="Arial" w:cs="Arial"/>
        </w:rPr>
        <w:t>international</w:t>
      </w:r>
      <w:r w:rsidRPr="00B438E4">
        <w:rPr>
          <w:rFonts w:ascii="Arial" w:hAnsi="Arial" w:cs="Arial"/>
        </w:rPr>
        <w:t xml:space="preserve"> poverty line used for the first target of the Sustainable Development Goals and the poverty line used for the World Bank’s mission goal. It reflects the typical national poverty line of low-income countries. These low-income countries tend to define their national poverty lines as the expenditure necessary to consume about 2200 calories per day and a small non-food allotment.  </w:t>
      </w:r>
    </w:p>
    <w:p w14:paraId="1C128ED2" w14:textId="5068CDC2" w:rsidR="00B66AA5" w:rsidRPr="00B438E4" w:rsidRDefault="00B66AA5" w:rsidP="00B66AA5">
      <w:pPr>
        <w:jc w:val="both"/>
        <w:rPr>
          <w:rFonts w:ascii="Arial" w:hAnsi="Arial" w:cs="Arial"/>
        </w:rPr>
      </w:pPr>
      <w:r w:rsidRPr="00B438E4">
        <w:rPr>
          <w:rFonts w:ascii="Arial" w:hAnsi="Arial" w:cs="Arial"/>
        </w:rPr>
        <w:t>The $2.15 line is very frugal and individuals with a daily consumption above this threshold may still live in what would ordinarily be considered poverty. To measure the greenhouse gasses needed to end poverty at higher thresholds, we also look at the poverty lines typical of lower-middle income countries ($3.65) and of upper-middle income countries ($6.85)</w:t>
      </w:r>
      <w:r>
        <w:rPr>
          <w:rFonts w:ascii="Arial" w:hAnsi="Arial" w:cs="Arial"/>
        </w:rPr>
        <w:t>.</w:t>
      </w:r>
      <w:r w:rsidRPr="00B65030">
        <w:rPr>
          <w:rFonts w:ascii="Arial" w:hAnsi="Arial" w:cs="Arial"/>
          <w:szCs w:val="24"/>
          <w:vertAlign w:val="superscript"/>
        </w:rPr>
        <w:t>12</w:t>
      </w:r>
      <w:r w:rsidRPr="00B438E4">
        <w:rPr>
          <w:rFonts w:ascii="Arial" w:hAnsi="Arial" w:cs="Arial"/>
        </w:rPr>
        <w:t xml:space="preserve"> </w:t>
      </w:r>
    </w:p>
    <w:p w14:paraId="0EFDDDB7" w14:textId="3847FFAD" w:rsidR="00B66AA5" w:rsidRDefault="00B66AA5" w:rsidP="00B66AA5">
      <w:pPr>
        <w:jc w:val="both"/>
        <w:rPr>
          <w:rFonts w:ascii="Arial" w:hAnsi="Arial" w:cs="Arial"/>
        </w:rPr>
      </w:pPr>
      <w:r w:rsidRPr="00B438E4">
        <w:rPr>
          <w:rFonts w:ascii="Arial" w:hAnsi="Arial" w:cs="Arial"/>
        </w:rPr>
        <w:t>We could use national poverty lines directly, meaning that each country would have its own threshold. However, since national poverty lines often are explicitly or effectively relative in the sense that they get updated every now and then</w:t>
      </w:r>
      <w:r w:rsidRPr="00B65030">
        <w:rPr>
          <w:rFonts w:ascii="Arial" w:hAnsi="Arial" w:cs="Arial"/>
          <w:szCs w:val="24"/>
          <w:vertAlign w:val="superscript"/>
        </w:rPr>
        <w:t>40,41</w:t>
      </w:r>
      <w:r>
        <w:rPr>
          <w:rFonts w:ascii="Arial" w:hAnsi="Arial" w:cs="Arial"/>
        </w:rPr>
        <w:t>,</w:t>
      </w:r>
      <w:r w:rsidRPr="00B438E4">
        <w:rPr>
          <w:rFonts w:ascii="Arial" w:hAnsi="Arial" w:cs="Arial"/>
        </w:rPr>
        <w:t xml:space="preserve"> there is no reason to believe that poverty according to national standards will ever be eliminated. Even the wealthiest countries today have poverty according to their national definitions. In the European Union, for example, people </w:t>
      </w:r>
      <w:proofErr w:type="gramStart"/>
      <w:r w:rsidRPr="00B438E4">
        <w:rPr>
          <w:rFonts w:ascii="Arial" w:hAnsi="Arial" w:cs="Arial"/>
        </w:rPr>
        <w:t>are considered to be</w:t>
      </w:r>
      <w:proofErr w:type="gramEnd"/>
      <w:r w:rsidRPr="00B438E4">
        <w:rPr>
          <w:rFonts w:ascii="Arial" w:hAnsi="Arial" w:cs="Arial"/>
        </w:rPr>
        <w:t xml:space="preserve"> at risk of poverty if they have a disposable income below 60% of the national median disposable income. Consequently, as European economies grow and median incomes increase, the threshold designating risk of poverty grows in tandem. For that reason, we restrict our analysis to global poverty lines.</w:t>
      </w:r>
    </w:p>
    <w:p w14:paraId="3C2F7DA3" w14:textId="30E2FBCF" w:rsidR="00B66AA5" w:rsidRPr="00DD7E01" w:rsidRDefault="00B66AA5" w:rsidP="00B66AA5">
      <w:pPr>
        <w:jc w:val="both"/>
        <w:rPr>
          <w:rFonts w:ascii="Arial" w:hAnsi="Arial" w:cs="Arial"/>
        </w:rPr>
      </w:pPr>
      <w:r>
        <w:rPr>
          <w:rFonts w:ascii="Arial" w:hAnsi="Arial" w:cs="Arial"/>
        </w:rPr>
        <w:t xml:space="preserve">For the three poverty lines we will use, we estimate the growth needed to reach a poverty rate of at most 3% -- the current global target at the international poverty of $2.15. This target acknowledges that getting to 0% is very likely not feasible due to possible measurement error in the very bottom of distributions. </w:t>
      </w:r>
    </w:p>
    <w:p w14:paraId="04F3ACFC" w14:textId="17BFB72D" w:rsidR="00B66AA5" w:rsidRDefault="00B66AA5" w:rsidP="00B66AA5">
      <w:pPr>
        <w:jc w:val="both"/>
        <w:rPr>
          <w:rFonts w:ascii="Arial" w:hAnsi="Arial" w:cs="Arial"/>
        </w:rPr>
      </w:pPr>
      <w:r>
        <w:rPr>
          <w:rFonts w:ascii="Arial" w:hAnsi="Arial" w:cs="Arial"/>
        </w:rPr>
        <w:t xml:space="preserve"> shows the countries which have already met the 3% target at the three main poverty lines used in the paper. </w:t>
      </w:r>
    </w:p>
    <w:p w14:paraId="13400010" w14:textId="77777777" w:rsidR="00B66AA5" w:rsidRPr="00B438E4" w:rsidRDefault="00B66AA5" w:rsidP="00B66AA5">
      <w:pPr>
        <w:jc w:val="both"/>
        <w:rPr>
          <w:rStyle w:val="Hyperlink"/>
          <w:rFonts w:ascii="Arial" w:eastAsiaTheme="minorEastAsia" w:hAnsi="Arial" w:cs="Arial"/>
          <w:iCs/>
        </w:rPr>
      </w:pPr>
    </w:p>
    <w:p w14:paraId="194F285A" w14:textId="77777777" w:rsidR="00B66AA5" w:rsidRDefault="00B66AA5" w:rsidP="00B66AA5">
      <w:pPr>
        <w:rPr>
          <w:rFonts w:ascii="Arial" w:hAnsi="Arial" w:cs="Arial"/>
          <w:b/>
          <w:bCs/>
        </w:rPr>
      </w:pPr>
      <w:r>
        <w:rPr>
          <w:rFonts w:ascii="Arial" w:hAnsi="Arial" w:cs="Arial"/>
          <w:b/>
          <w:bCs/>
        </w:rPr>
        <w:t xml:space="preserve">A.2 </w:t>
      </w:r>
      <w:proofErr w:type="gramStart"/>
      <w:r w:rsidRPr="00990FBD">
        <w:rPr>
          <w:rFonts w:ascii="Arial" w:hAnsi="Arial" w:cs="Arial"/>
          <w:b/>
          <w:bCs/>
        </w:rPr>
        <w:t>Non-energy</w:t>
      </w:r>
      <w:proofErr w:type="gramEnd"/>
      <w:r w:rsidRPr="00990FBD">
        <w:rPr>
          <w:rFonts w:ascii="Arial" w:hAnsi="Arial" w:cs="Arial"/>
          <w:b/>
          <w:bCs/>
        </w:rPr>
        <w:t xml:space="preserve"> greenhouse gases and GDP per capita growth</w:t>
      </w:r>
    </w:p>
    <w:p w14:paraId="0CCBC390" w14:textId="489503CD" w:rsidR="00B66AA5" w:rsidRPr="00651D84" w:rsidRDefault="00B66AA5" w:rsidP="00B66AA5">
      <w:pPr>
        <w:jc w:val="both"/>
        <w:rPr>
          <w:rFonts w:ascii="Arial" w:hAnsi="Arial" w:cs="Arial"/>
        </w:rPr>
      </w:pPr>
      <w:r w:rsidRPr="00B438E4">
        <w:rPr>
          <w:rFonts w:ascii="Arial" w:hAnsi="Arial" w:cs="Arial"/>
        </w:rPr>
        <w:t xml:space="preserve">In contrast to greenhouse gasses from energy, greenhouse gasses from other sources have no systematic relationship with GDP/capita across countries, nor has there been any changes to this over the past 20 </w:t>
      </w:r>
      <w:r w:rsidRPr="00DF6211">
        <w:rPr>
          <w:rFonts w:ascii="Arial" w:hAnsi="Arial" w:cs="Arial"/>
        </w:rPr>
        <w:t>years (</w:t>
      </w:r>
      <w:r>
        <w:rPr>
          <w:rFonts w:ascii="Arial" w:hAnsi="Arial" w:cs="Arial"/>
        </w:rPr>
        <w:t>Extended Data Figure 13</w:t>
      </w:r>
      <w:r w:rsidRPr="00DF6211">
        <w:rPr>
          <w:rFonts w:ascii="Arial" w:hAnsi="Arial" w:cs="Arial"/>
        </w:rPr>
        <w:t>).</w:t>
      </w:r>
      <w:r w:rsidRPr="00651D84">
        <w:rPr>
          <w:rFonts w:ascii="Arial" w:hAnsi="Arial" w:cs="Arial"/>
        </w:rPr>
        <w:t xml:space="preserve">  </w:t>
      </w:r>
    </w:p>
    <w:p w14:paraId="001A2E01" w14:textId="5DE4930D" w:rsidR="00B66AA5" w:rsidRPr="00651D84" w:rsidRDefault="00B66AA5" w:rsidP="00B66AA5">
      <w:pPr>
        <w:jc w:val="both"/>
        <w:rPr>
          <w:rFonts w:ascii="Arial" w:hAnsi="Arial" w:cs="Arial"/>
        </w:rPr>
      </w:pPr>
      <w:r w:rsidRPr="00651D84">
        <w:rPr>
          <w:rFonts w:ascii="Arial" w:hAnsi="Arial" w:cs="Arial"/>
        </w:rPr>
        <w:t>Taken at face value, this means that based on historical data, we should not expect non-energy greenhouse gasses per capita to increase as a country’s economy grows. While there may be exceptions to this pattern, such as countries where non-energy greenhouse gasses have increased systematically as a country developed due to deforestation or for other reasons</w:t>
      </w:r>
      <w:r>
        <w:rPr>
          <w:rFonts w:ascii="Arial" w:hAnsi="Arial" w:cs="Arial"/>
        </w:rPr>
        <w:t>.</w:t>
      </w:r>
      <w:r w:rsidRPr="00651D84">
        <w:rPr>
          <w:rFonts w:ascii="Arial" w:hAnsi="Arial" w:cs="Arial"/>
        </w:rPr>
        <w:t xml:space="preserve">  suggests that for any country where this happened, there is another country where the reverse happened. </w:t>
      </w:r>
    </w:p>
    <w:p w14:paraId="076382CE" w14:textId="77777777" w:rsidR="00B66AA5" w:rsidRDefault="00B66AA5" w:rsidP="00B66AA5">
      <w:pPr>
        <w:jc w:val="both"/>
        <w:rPr>
          <w:rFonts w:ascii="Arial" w:hAnsi="Arial" w:cs="Arial"/>
        </w:rPr>
      </w:pPr>
      <w:r w:rsidRPr="00B438E4">
        <w:rPr>
          <w:rFonts w:ascii="Arial" w:hAnsi="Arial" w:cs="Arial"/>
        </w:rPr>
        <w:lastRenderedPageBreak/>
        <w:t xml:space="preserve">When we test </w:t>
      </w:r>
      <w:r>
        <w:rPr>
          <w:rFonts w:ascii="Arial" w:hAnsi="Arial" w:cs="Arial"/>
        </w:rPr>
        <w:t>this</w:t>
      </w:r>
      <w:r w:rsidRPr="00B438E4">
        <w:rPr>
          <w:rFonts w:ascii="Arial" w:hAnsi="Arial" w:cs="Arial"/>
        </w:rPr>
        <w:t xml:space="preserve"> more formally using the same random slope model we have used so far, the impact of growth in GDP per capita on non-energy emissions is not statistically different from zero. For that reason, we exclude non-energy greenhouse gasses from the analysis.</w:t>
      </w:r>
    </w:p>
    <w:p w14:paraId="0F9DD349" w14:textId="77777777" w:rsidR="00B66AA5" w:rsidRPr="00F9338F" w:rsidRDefault="00B66AA5" w:rsidP="00B66AA5">
      <w:pPr>
        <w:jc w:val="both"/>
        <w:rPr>
          <w:rFonts w:ascii="Arial" w:eastAsiaTheme="minorEastAsia" w:hAnsi="Arial" w:cs="Arial"/>
          <w:iCs/>
        </w:rPr>
      </w:pPr>
    </w:p>
    <w:p w14:paraId="34BF4D16" w14:textId="77777777" w:rsidR="00B66AA5" w:rsidRDefault="00B66AA5" w:rsidP="00B66AA5">
      <w:pPr>
        <w:rPr>
          <w:rFonts w:ascii="Arial" w:hAnsi="Arial" w:cs="Arial"/>
          <w:b/>
          <w:bCs/>
        </w:rPr>
      </w:pPr>
      <w:r>
        <w:rPr>
          <w:rFonts w:ascii="Arial" w:hAnsi="Arial" w:cs="Arial"/>
          <w:b/>
          <w:bCs/>
        </w:rPr>
        <w:t xml:space="preserve">B Supplementary Discussion </w:t>
      </w:r>
    </w:p>
    <w:p w14:paraId="29FD0AB7" w14:textId="77777777" w:rsidR="00B66AA5" w:rsidRDefault="00B66AA5" w:rsidP="00B66AA5">
      <w:pPr>
        <w:rPr>
          <w:rFonts w:ascii="Arial" w:hAnsi="Arial" w:cs="Arial"/>
          <w:b/>
          <w:bCs/>
        </w:rPr>
      </w:pPr>
      <w:r>
        <w:rPr>
          <w:rFonts w:ascii="Arial" w:hAnsi="Arial" w:cs="Arial"/>
          <w:b/>
          <w:bCs/>
        </w:rPr>
        <w:t>B.1 CO2e emissions at different poverty targets, poverty lines, and target years</w:t>
      </w:r>
    </w:p>
    <w:p w14:paraId="6B90D5C6" w14:textId="726567C8" w:rsidR="00B66AA5" w:rsidRPr="005C0FF9" w:rsidRDefault="00B66AA5" w:rsidP="00B66AA5">
      <w:pPr>
        <w:jc w:val="both"/>
        <w:rPr>
          <w:rFonts w:ascii="Arial" w:hAnsi="Arial" w:cs="Arial"/>
        </w:rPr>
      </w:pPr>
      <w:r w:rsidRPr="00E23BB3">
        <w:rPr>
          <w:rFonts w:ascii="Arial" w:hAnsi="Arial" w:cs="Arial"/>
        </w:rPr>
        <w:t>The greenhouse gasses needed would increase notably if a lower target poverty rate is chosen, and vice versa (</w:t>
      </w:r>
      <w:r w:rsidRPr="007E21AF">
        <w:rPr>
          <w:rFonts w:ascii="Arial" w:hAnsi="Arial" w:cs="Arial"/>
        </w:rPr>
        <w:t>Extended Data Figure 5, Panel A). The path of additional greenhouse gasses needed would likewise change if we used another year than 2050 as the year in which all poor countries have reached the poverty target. Extended Data Figure 5, Panel B shows the path if we assume all countries will reach the GDP per capita needed to end poverty</w:t>
      </w:r>
      <w:r>
        <w:rPr>
          <w:rFonts w:ascii="Arial" w:hAnsi="Arial" w:cs="Arial"/>
        </w:rPr>
        <w:t xml:space="preserve"> in 2023 and then maintain that level onwards to 2050. All the intermediate points on this path are equivalent to the greenhouse gasses needed if all countries end poverty by that year. The estimates are increasing over time due to population growth in poor countries – every year there are more and more people to lift out or maintain out of poverty. This population effect dominates the effect from countries every year being more energy efficient and less carbon intensive. </w:t>
      </w:r>
    </w:p>
    <w:p w14:paraId="2E65F378" w14:textId="77777777" w:rsidR="00B66AA5" w:rsidRDefault="00B66AA5" w:rsidP="00B66AA5">
      <w:pPr>
        <w:rPr>
          <w:rFonts w:ascii="Arial" w:hAnsi="Arial" w:cs="Arial"/>
          <w:b/>
          <w:bCs/>
        </w:rPr>
      </w:pPr>
    </w:p>
    <w:p w14:paraId="183A1F6F" w14:textId="77777777" w:rsidR="00B66AA5" w:rsidRPr="005C0FF9" w:rsidRDefault="00B66AA5" w:rsidP="00B66AA5">
      <w:pPr>
        <w:pStyle w:val="ListParagraph"/>
        <w:ind w:left="0"/>
        <w:jc w:val="both"/>
        <w:rPr>
          <w:rFonts w:ascii="Arial" w:hAnsi="Arial" w:cs="Arial"/>
          <w:b/>
          <w:bCs/>
        </w:rPr>
      </w:pPr>
      <w:r>
        <w:rPr>
          <w:rFonts w:ascii="Arial" w:hAnsi="Arial" w:cs="Arial"/>
          <w:b/>
          <w:bCs/>
        </w:rPr>
        <w:t>B.2 Offsetting the emissions of poverty eradication in poor and non-poor countries</w:t>
      </w:r>
    </w:p>
    <w:p w14:paraId="08D49AD4" w14:textId="77777777" w:rsidR="00B66AA5" w:rsidRPr="00B934A8" w:rsidRDefault="00B66AA5" w:rsidP="00B66AA5">
      <w:pPr>
        <w:jc w:val="both"/>
        <w:rPr>
          <w:rFonts w:ascii="Arial" w:eastAsiaTheme="minorEastAsia" w:hAnsi="Arial" w:cs="Arial"/>
          <w:iCs/>
        </w:rPr>
      </w:pPr>
      <w:r>
        <w:rPr>
          <w:rFonts w:ascii="Arial" w:eastAsiaTheme="minorEastAsia" w:hAnsi="Arial" w:cs="Arial"/>
          <w:iCs/>
        </w:rPr>
        <w:t>To calculate the decarbonization rate necessary to fully offset the additional greenhouse gasses needed to end poverty, we first calculate the sum of additional greenhouse gasses needed to end poverty until 2050:</w:t>
      </w:r>
    </w:p>
    <w:p w14:paraId="5F445EA7" w14:textId="77777777" w:rsidR="00B66AA5" w:rsidRDefault="00B66AA5" w:rsidP="00B66AA5">
      <w:pPr>
        <w:ind w:firstLine="720"/>
        <w:jc w:val="both"/>
        <w:rPr>
          <w:rFonts w:ascii="Arial" w:eastAsiaTheme="minorEastAsia" w:hAnsi="Arial" w:cs="Arial"/>
          <w:iCs/>
        </w:rPr>
      </w:pPr>
      <m:oMath>
        <m:sSub>
          <m:sSubPr>
            <m:ctrlPr>
              <w:rPr>
                <w:rFonts w:ascii="Cambria Math" w:eastAsiaTheme="minorEastAsia" w:hAnsi="Cambria Math" w:cs="Arial"/>
                <w:i/>
                <w:iCs/>
              </w:rPr>
            </m:ctrlPr>
          </m:sSubPr>
          <m:e>
            <m:r>
              <w:rPr>
                <w:rFonts w:ascii="Cambria Math" w:eastAsiaTheme="minorEastAsia" w:hAnsi="Cambria Math" w:cs="Arial"/>
              </w:rPr>
              <m:t>ghgneeded</m:t>
            </m:r>
          </m:e>
          <m:sub>
            <m:r>
              <w:rPr>
                <w:rFonts w:ascii="Cambria Math" w:eastAsiaTheme="minorEastAsia" w:hAnsi="Cambria Math" w:cs="Arial"/>
              </w:rPr>
              <m:t>world,total</m:t>
            </m:r>
          </m:sub>
        </m:sSub>
        <m:r>
          <w:rPr>
            <w:rFonts w:ascii="Cambria Math" w:eastAsiaTheme="minorEastAsia" w:hAnsi="Cambria Math" w:cs="Arial"/>
          </w:rPr>
          <m:t>=</m:t>
        </m:r>
        <m:nary>
          <m:naryPr>
            <m:chr m:val="∑"/>
            <m:limLoc m:val="subSup"/>
            <m:supHide m:val="1"/>
            <m:ctrlPr>
              <w:rPr>
                <w:rFonts w:ascii="Cambria Math" w:eastAsiaTheme="minorEastAsia" w:hAnsi="Cambria Math" w:cs="Arial"/>
                <w:i/>
              </w:rPr>
            </m:ctrlPr>
          </m:naryPr>
          <m:sub>
            <m:r>
              <w:rPr>
                <w:rFonts w:ascii="Cambria Math" w:eastAsiaTheme="minorEastAsia" w:hAnsi="Cambria Math" w:cs="Arial"/>
              </w:rPr>
              <m:t>y=2022,.,..,2050</m:t>
            </m:r>
          </m:sub>
          <m:sup/>
          <m:e>
            <m:d>
              <m:dPr>
                <m:ctrlPr>
                  <w:rPr>
                    <w:rFonts w:ascii="Cambria Math" w:eastAsiaTheme="minorEastAsia" w:hAnsi="Cambria Math" w:cs="Arial"/>
                    <w:i/>
                    <w:iCs/>
                  </w:rPr>
                </m:ctrlPr>
              </m:dPr>
              <m:e>
                <m:nary>
                  <m:naryPr>
                    <m:chr m:val="∑"/>
                    <m:limLoc m:val="undOvr"/>
                    <m:supHide m:val="1"/>
                    <m:ctrlPr>
                      <w:rPr>
                        <w:rFonts w:ascii="Cambria Math" w:eastAsiaTheme="minorEastAsia" w:hAnsi="Cambria Math" w:cs="Arial"/>
                        <w:i/>
                        <w:iCs/>
                      </w:rPr>
                    </m:ctrlPr>
                  </m:naryPr>
                  <m:sub>
                    <m:r>
                      <w:rPr>
                        <w:rFonts w:ascii="Cambria Math" w:eastAsiaTheme="minorEastAsia" w:hAnsi="Cambria Math" w:cs="Arial"/>
                      </w:rPr>
                      <m:t>c∈</m:t>
                    </m:r>
                    <m:sSub>
                      <m:sSubPr>
                        <m:ctrlPr>
                          <w:rPr>
                            <w:rFonts w:ascii="Cambria Math" w:eastAsiaTheme="minorEastAsia" w:hAnsi="Cambria Math" w:cs="Arial"/>
                            <w:i/>
                            <w:iCs/>
                          </w:rPr>
                        </m:ctrlPr>
                      </m:sSubPr>
                      <m:e>
                        <m:r>
                          <w:rPr>
                            <w:rFonts w:ascii="Cambria Math" w:eastAsiaTheme="minorEastAsia" w:hAnsi="Cambria Math" w:cs="Arial"/>
                          </w:rPr>
                          <m:t>C</m:t>
                        </m:r>
                      </m:e>
                      <m:sub>
                        <m:r>
                          <w:rPr>
                            <w:rFonts w:ascii="Cambria Math" w:eastAsiaTheme="minorEastAsia" w:hAnsi="Cambria Math" w:cs="Arial"/>
                          </w:rPr>
                          <m:t>poor</m:t>
                        </m:r>
                      </m:sub>
                    </m:sSub>
                  </m:sub>
                  <m:sup/>
                  <m:e>
                    <m:sSub>
                      <m:sSubPr>
                        <m:ctrlPr>
                          <w:rPr>
                            <w:rFonts w:ascii="Cambria Math" w:eastAsiaTheme="minorEastAsia" w:hAnsi="Cambria Math" w:cs="Arial"/>
                            <w:i/>
                            <w:iCs/>
                          </w:rPr>
                        </m:ctrlPr>
                      </m:sSubPr>
                      <m:e>
                        <m:r>
                          <w:rPr>
                            <w:rFonts w:ascii="Cambria Math" w:eastAsiaTheme="minorEastAsia" w:hAnsi="Cambria Math" w:cs="Arial"/>
                          </w:rPr>
                          <m:t>ghgneeded</m:t>
                        </m:r>
                      </m:e>
                      <m:sub>
                        <m:r>
                          <w:rPr>
                            <w:rFonts w:ascii="Cambria Math" w:eastAsiaTheme="minorEastAsia" w:hAnsi="Cambria Math" w:cs="Arial"/>
                          </w:rPr>
                          <m:t>c,y</m:t>
                        </m:r>
                      </m:sub>
                    </m:sSub>
                  </m:e>
                </m:nary>
              </m:e>
            </m:d>
          </m:e>
        </m:nary>
      </m:oMath>
      <w:r>
        <w:rPr>
          <w:rFonts w:ascii="Arial" w:eastAsiaTheme="minorEastAsia" w:hAnsi="Arial" w:cs="Arial"/>
        </w:rPr>
        <w:t xml:space="preserve"> </w:t>
      </w:r>
      <w:r>
        <w:rPr>
          <w:rFonts w:ascii="Arial" w:eastAsiaTheme="minorEastAsia" w:hAnsi="Arial" w:cs="Arial"/>
        </w:rPr>
        <w:tab/>
      </w:r>
      <w:r>
        <w:rPr>
          <w:rFonts w:ascii="Arial" w:eastAsiaTheme="minorEastAsia" w:hAnsi="Arial" w:cs="Arial"/>
        </w:rPr>
        <w:tab/>
      </w:r>
      <w:r>
        <w:rPr>
          <w:rFonts w:ascii="Arial" w:eastAsiaTheme="minorEastAsia" w:hAnsi="Arial" w:cs="Arial"/>
          <w:iCs/>
        </w:rPr>
        <w:tab/>
      </w:r>
    </w:p>
    <w:p w14:paraId="5CF009E1" w14:textId="77777777" w:rsidR="00B66AA5" w:rsidRDefault="00B66AA5" w:rsidP="00B66AA5">
      <w:pPr>
        <w:jc w:val="both"/>
        <w:rPr>
          <w:rFonts w:ascii="Arial" w:eastAsiaTheme="minorEastAsia" w:hAnsi="Arial" w:cs="Arial"/>
          <w:iCs/>
        </w:rPr>
      </w:pPr>
      <w:r>
        <w:rPr>
          <w:rFonts w:ascii="Arial" w:eastAsiaTheme="minorEastAsia" w:hAnsi="Arial" w:cs="Arial"/>
          <w:iCs/>
        </w:rPr>
        <w:t>Next, we calculate the greenhouse gasses for poor or rich countries each year if they become x% more carbon intensive annually (shown only for rich countries below):</w:t>
      </w:r>
    </w:p>
    <w:p w14:paraId="7FB7D513" w14:textId="77777777" w:rsidR="00B66AA5" w:rsidRPr="000643D5" w:rsidRDefault="00B66AA5" w:rsidP="00B66AA5">
      <w:pPr>
        <w:ind w:firstLine="720"/>
        <w:jc w:val="both"/>
        <w:rPr>
          <w:rFonts w:ascii="Arial" w:eastAsiaTheme="minorEastAsia" w:hAnsi="Arial" w:cs="Arial"/>
          <w:iCs/>
        </w:rPr>
      </w:pPr>
      <m:oMath>
        <m:sSub>
          <m:sSubPr>
            <m:ctrlPr>
              <w:rPr>
                <w:rFonts w:ascii="Cambria Math" w:eastAsiaTheme="minorEastAsia" w:hAnsi="Cambria Math" w:cs="Arial"/>
                <w:i/>
                <w:iCs/>
              </w:rPr>
            </m:ctrlPr>
          </m:sSubPr>
          <m:e>
            <m:r>
              <w:rPr>
                <w:rFonts w:ascii="Cambria Math" w:eastAsiaTheme="minorEastAsia" w:hAnsi="Cambria Math" w:cs="Arial"/>
              </w:rPr>
              <m:t>ghgsavings</m:t>
            </m:r>
          </m:e>
          <m:sub>
            <m:r>
              <w:rPr>
                <w:rFonts w:ascii="Cambria Math" w:eastAsiaTheme="minorEastAsia" w:hAnsi="Cambria Math" w:cs="Arial"/>
              </w:rPr>
              <m:t>rich</m:t>
            </m:r>
          </m:sub>
        </m:sSub>
        <m:d>
          <m:dPr>
            <m:ctrlPr>
              <w:rPr>
                <w:rFonts w:ascii="Cambria Math" w:eastAsiaTheme="minorEastAsia" w:hAnsi="Cambria Math" w:cs="Arial"/>
                <w:i/>
              </w:rPr>
            </m:ctrlPr>
          </m:dPr>
          <m:e>
            <m:r>
              <w:rPr>
                <w:rFonts w:ascii="Cambria Math" w:eastAsiaTheme="minorEastAsia" w:hAnsi="Cambria Math" w:cs="Arial"/>
              </w:rPr>
              <m:t>x</m:t>
            </m:r>
          </m:e>
        </m:d>
        <m:r>
          <w:rPr>
            <w:rFonts w:ascii="Cambria Math" w:eastAsiaTheme="minorEastAsia" w:hAnsi="Cambria Math" w:cs="Arial"/>
          </w:rPr>
          <m:t>=</m:t>
        </m:r>
        <m:nary>
          <m:naryPr>
            <m:chr m:val="∑"/>
            <m:limLoc m:val="subSup"/>
            <m:supHide m:val="1"/>
            <m:ctrlPr>
              <w:rPr>
                <w:rFonts w:ascii="Cambria Math" w:eastAsiaTheme="minorEastAsia" w:hAnsi="Cambria Math" w:cs="Arial"/>
                <w:i/>
              </w:rPr>
            </m:ctrlPr>
          </m:naryPr>
          <m:sub>
            <m:r>
              <w:rPr>
                <w:rFonts w:ascii="Cambria Math" w:eastAsiaTheme="minorEastAsia" w:hAnsi="Cambria Math" w:cs="Arial"/>
              </w:rPr>
              <m:t>y=2022,.,..,2050</m:t>
            </m:r>
          </m:sub>
          <m:sup/>
          <m:e>
            <m:d>
              <m:dPr>
                <m:begChr m:val="["/>
                <m:endChr m:val="]"/>
                <m:ctrlPr>
                  <w:rPr>
                    <w:rFonts w:ascii="Cambria Math" w:eastAsiaTheme="minorEastAsia" w:hAnsi="Cambria Math" w:cs="Arial"/>
                    <w:i/>
                    <w:iCs/>
                  </w:rPr>
                </m:ctrlPr>
              </m:dPr>
              <m:e>
                <m:sSub>
                  <m:sSubPr>
                    <m:ctrlPr>
                      <w:rPr>
                        <w:rFonts w:ascii="Cambria Math" w:eastAsiaTheme="minorEastAsia" w:hAnsi="Cambria Math" w:cs="Arial"/>
                        <w:i/>
                        <w:iCs/>
                      </w:rPr>
                    </m:ctrlPr>
                  </m:sSubPr>
                  <m:e>
                    <m:r>
                      <w:rPr>
                        <w:rFonts w:ascii="Cambria Math" w:eastAsiaTheme="minorEastAsia" w:hAnsi="Cambria Math" w:cs="Arial"/>
                      </w:rPr>
                      <m:t>ghg</m:t>
                    </m:r>
                  </m:e>
                  <m:sub>
                    <m:r>
                      <w:rPr>
                        <w:rFonts w:ascii="Cambria Math" w:eastAsiaTheme="minorEastAsia" w:hAnsi="Cambria Math" w:cs="Arial"/>
                      </w:rPr>
                      <m:t>rich,y</m:t>
                    </m:r>
                  </m:sub>
                </m:sSub>
                <m:r>
                  <w:rPr>
                    <w:rFonts w:ascii="Cambria Math" w:eastAsiaTheme="minorEastAsia" w:hAnsi="Cambria Math" w:cs="Arial"/>
                  </w:rPr>
                  <m:t>*</m:t>
                </m:r>
                <m:sSup>
                  <m:sSupPr>
                    <m:ctrlPr>
                      <w:rPr>
                        <w:rFonts w:ascii="Cambria Math" w:eastAsiaTheme="minorEastAsia" w:hAnsi="Cambria Math" w:cs="Arial"/>
                        <w:i/>
                        <w:iCs/>
                      </w:rPr>
                    </m:ctrlPr>
                  </m:sSupPr>
                  <m:e>
                    <m:d>
                      <m:dPr>
                        <m:ctrlPr>
                          <w:rPr>
                            <w:rFonts w:ascii="Cambria Math" w:eastAsiaTheme="minorEastAsia" w:hAnsi="Cambria Math" w:cs="Arial"/>
                            <w:i/>
                            <w:iCs/>
                          </w:rPr>
                        </m:ctrlPr>
                      </m:dPr>
                      <m:e>
                        <m:r>
                          <w:rPr>
                            <w:rFonts w:ascii="Cambria Math" w:eastAsiaTheme="minorEastAsia" w:hAnsi="Cambria Math" w:cs="Arial"/>
                          </w:rPr>
                          <m:t>1-x</m:t>
                        </m:r>
                      </m:e>
                    </m:d>
                  </m:e>
                  <m:sup>
                    <m:r>
                      <w:rPr>
                        <w:rFonts w:ascii="Cambria Math" w:eastAsiaTheme="minorEastAsia" w:hAnsi="Cambria Math" w:cs="Arial"/>
                      </w:rPr>
                      <m:t>y-2022</m:t>
                    </m:r>
                  </m:sup>
                </m:sSup>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ghg</m:t>
                    </m:r>
                  </m:e>
                  <m:sub>
                    <m:r>
                      <w:rPr>
                        <w:rFonts w:ascii="Cambria Math" w:eastAsiaTheme="minorEastAsia" w:hAnsi="Cambria Math" w:cs="Arial"/>
                      </w:rPr>
                      <m:t>rich,y</m:t>
                    </m:r>
                  </m:sub>
                </m:sSub>
              </m:e>
            </m:d>
          </m:e>
        </m:nary>
      </m:oMath>
      <w:r>
        <w:rPr>
          <w:rFonts w:ascii="Arial" w:eastAsiaTheme="minorEastAsia" w:hAnsi="Arial" w:cs="Arial"/>
          <w:iCs/>
        </w:rPr>
        <w:t xml:space="preserve"> </w:t>
      </w:r>
      <w:r>
        <w:rPr>
          <w:rFonts w:ascii="Arial" w:eastAsiaTheme="minorEastAsia" w:hAnsi="Arial" w:cs="Arial"/>
          <w:iCs/>
        </w:rPr>
        <w:tab/>
      </w:r>
    </w:p>
    <w:p w14:paraId="4A764006" w14:textId="77777777" w:rsidR="00B66AA5" w:rsidRPr="00D15E8A" w:rsidRDefault="00B66AA5" w:rsidP="00B66AA5">
      <w:pPr>
        <w:jc w:val="both"/>
        <w:rPr>
          <w:rFonts w:ascii="Arial" w:eastAsiaTheme="minorEastAsia" w:hAnsi="Arial" w:cs="Arial"/>
        </w:rPr>
      </w:pPr>
    </w:p>
    <w:p w14:paraId="3583056A" w14:textId="77777777" w:rsidR="00B66AA5" w:rsidRDefault="00B66AA5" w:rsidP="00B66AA5">
      <w:pPr>
        <w:jc w:val="both"/>
        <w:rPr>
          <w:rFonts w:ascii="Arial" w:eastAsiaTheme="minorEastAsia" w:hAnsi="Arial" w:cs="Arial"/>
        </w:rPr>
      </w:pPr>
      <w:r>
        <w:rPr>
          <w:rFonts w:ascii="Arial" w:eastAsiaTheme="minorEastAsia" w:hAnsi="Arial" w:cs="Arial"/>
        </w:rPr>
        <w:t xml:space="preserve">Finally, we set </w:t>
      </w:r>
      <m:oMath>
        <m:sSub>
          <m:sSubPr>
            <m:ctrlPr>
              <w:rPr>
                <w:rFonts w:ascii="Cambria Math" w:eastAsiaTheme="minorEastAsia" w:hAnsi="Cambria Math" w:cs="Arial"/>
                <w:i/>
                <w:iCs/>
              </w:rPr>
            </m:ctrlPr>
          </m:sSubPr>
          <m:e>
            <m:r>
              <w:rPr>
                <w:rFonts w:ascii="Cambria Math" w:eastAsiaTheme="minorEastAsia" w:hAnsi="Cambria Math" w:cs="Arial"/>
              </w:rPr>
              <m:t>ghgneeded</m:t>
            </m:r>
          </m:e>
          <m:sub>
            <m:r>
              <w:rPr>
                <w:rFonts w:ascii="Cambria Math" w:eastAsiaTheme="minorEastAsia" w:hAnsi="Cambria Math" w:cs="Arial"/>
              </w:rPr>
              <m:t>world,total</m:t>
            </m:r>
          </m:sub>
        </m:sSub>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ghgsavings</m:t>
            </m:r>
          </m:e>
          <m:sub>
            <m:r>
              <w:rPr>
                <w:rFonts w:ascii="Cambria Math" w:eastAsiaTheme="minorEastAsia" w:hAnsi="Cambria Math" w:cs="Arial"/>
              </w:rPr>
              <m:t>rich</m:t>
            </m:r>
          </m:sub>
        </m:sSub>
        <m:d>
          <m:dPr>
            <m:ctrlPr>
              <w:rPr>
                <w:rFonts w:ascii="Cambria Math" w:eastAsiaTheme="minorEastAsia" w:hAnsi="Cambria Math" w:cs="Arial"/>
                <w:i/>
              </w:rPr>
            </m:ctrlPr>
          </m:dPr>
          <m:e>
            <m:r>
              <w:rPr>
                <w:rFonts w:ascii="Cambria Math" w:eastAsiaTheme="minorEastAsia" w:hAnsi="Cambria Math" w:cs="Arial"/>
              </w:rPr>
              <m:t>x</m:t>
            </m:r>
          </m:e>
        </m:d>
      </m:oMath>
      <w:r>
        <w:rPr>
          <w:rFonts w:ascii="Arial" w:eastAsiaTheme="minorEastAsia" w:hAnsi="Arial" w:cs="Arial"/>
        </w:rPr>
        <w:t xml:space="preserve"> and solve for </w:t>
      </w:r>
      <m:oMath>
        <m:r>
          <w:rPr>
            <w:rFonts w:ascii="Cambria Math" w:eastAsiaTheme="minorEastAsia" w:hAnsi="Cambria Math" w:cs="Arial"/>
          </w:rPr>
          <m:t>x</m:t>
        </m:r>
      </m:oMath>
      <w:r>
        <w:rPr>
          <w:rFonts w:ascii="Arial" w:eastAsiaTheme="minorEastAsia" w:hAnsi="Arial" w:cs="Arial"/>
        </w:rPr>
        <w:t>. We do the same using poor countries instead of rich cou</w:t>
      </w:r>
      <w:proofErr w:type="spellStart"/>
      <w:r>
        <w:rPr>
          <w:rFonts w:ascii="Arial" w:eastAsiaTheme="minorEastAsia" w:hAnsi="Arial" w:cs="Arial"/>
        </w:rPr>
        <w:t>ntries</w:t>
      </w:r>
      <w:proofErr w:type="spellEnd"/>
      <w:r>
        <w:rPr>
          <w:rFonts w:ascii="Arial" w:eastAsiaTheme="minorEastAsia" w:hAnsi="Arial" w:cs="Arial"/>
        </w:rPr>
        <w:t xml:space="preserve"> and at various poverty lines.</w:t>
      </w:r>
    </w:p>
    <w:p w14:paraId="7E73882C" w14:textId="091070DD" w:rsidR="00B66AA5" w:rsidRDefault="00B66AA5" w:rsidP="00B66AA5">
      <w:pPr>
        <w:pStyle w:val="ListParagraph"/>
        <w:ind w:left="0"/>
        <w:jc w:val="both"/>
        <w:rPr>
          <w:rFonts w:ascii="Arial" w:hAnsi="Arial" w:cs="Arial"/>
        </w:rPr>
      </w:pPr>
      <w:r w:rsidRPr="00B438E4">
        <w:rPr>
          <w:rFonts w:ascii="Arial" w:hAnsi="Arial" w:cs="Arial"/>
        </w:rPr>
        <w:t>We</w:t>
      </w:r>
      <w:r>
        <w:rPr>
          <w:rFonts w:ascii="Arial" w:hAnsi="Arial" w:cs="Arial"/>
        </w:rPr>
        <w:t xml:space="preserve"> can</w:t>
      </w:r>
      <w:r w:rsidRPr="00B438E4">
        <w:rPr>
          <w:rFonts w:ascii="Arial" w:hAnsi="Arial" w:cs="Arial"/>
        </w:rPr>
        <w:t xml:space="preserve"> </w:t>
      </w:r>
      <w:r>
        <w:rPr>
          <w:rFonts w:ascii="Arial" w:hAnsi="Arial" w:cs="Arial"/>
        </w:rPr>
        <w:t>illustrate</w:t>
      </w:r>
      <w:r w:rsidRPr="00B438E4">
        <w:rPr>
          <w:rFonts w:ascii="Arial" w:hAnsi="Arial" w:cs="Arial"/>
        </w:rPr>
        <w:t xml:space="preserve"> the relative efficacy of decarbonization in poor and non-poor countries using ISO-GHG curves </w:t>
      </w:r>
      <w:r w:rsidRPr="00C74AA3">
        <w:rPr>
          <w:rFonts w:ascii="Arial" w:hAnsi="Arial" w:cs="Arial"/>
        </w:rPr>
        <w:t>(</w:t>
      </w:r>
      <w:r w:rsidRPr="00C74AA3">
        <w:rPr>
          <w:rFonts w:ascii="Arial" w:hAnsi="Arial" w:cs="Arial"/>
          <w:noProof/>
        </w:rPr>
        <w:t>Extended Data Figure 16</w:t>
      </w:r>
      <w:r w:rsidRPr="00C74AA3">
        <w:rPr>
          <w:rFonts w:ascii="Arial" w:hAnsi="Arial" w:cs="Arial"/>
        </w:rPr>
        <w:t>).</w:t>
      </w:r>
      <w:r w:rsidRPr="00B438E4">
        <w:rPr>
          <w:rFonts w:ascii="Arial" w:hAnsi="Arial" w:cs="Arial"/>
        </w:rPr>
        <w:t xml:space="preserve"> The ISO-GHG curves show all combinations of reductions in carbon intensity in poor and non-poor countries that would offset entirely or in part the emissions from poverty eradication. The intersection with the vertical axis (y-axis) is the reduction in rich countries equivalent to the reduction in poor countries at the intersection with the horizontal axis (x-axis). </w:t>
      </w:r>
    </w:p>
    <w:p w14:paraId="313C09EE" w14:textId="77777777" w:rsidR="00B66AA5" w:rsidRDefault="00B66AA5" w:rsidP="00B66AA5">
      <w:pPr>
        <w:pStyle w:val="ListParagraph"/>
        <w:ind w:left="0"/>
        <w:jc w:val="both"/>
        <w:rPr>
          <w:rFonts w:ascii="Arial" w:hAnsi="Arial" w:cs="Arial"/>
        </w:rPr>
      </w:pPr>
    </w:p>
    <w:p w14:paraId="6755B25F" w14:textId="77777777" w:rsidR="00B66AA5" w:rsidRPr="00B438E4" w:rsidRDefault="00B66AA5" w:rsidP="00B66AA5">
      <w:pPr>
        <w:pStyle w:val="ListParagraph"/>
        <w:ind w:left="0"/>
        <w:jc w:val="both"/>
        <w:rPr>
          <w:rFonts w:ascii="Arial" w:hAnsi="Arial" w:cs="Arial"/>
        </w:rPr>
      </w:pPr>
      <w:r w:rsidRPr="00B438E4">
        <w:rPr>
          <w:rFonts w:ascii="Arial" w:hAnsi="Arial" w:cs="Arial"/>
        </w:rPr>
        <w:t xml:space="preserve">To compensate for the additional emissions of ending extreme poverty in our baseline model, non-poor countries would need to decarbonize energy consumption at an average rate of 0.28% per year above and beyond the business-as-usual baseline scenario. In poor countries, an average </w:t>
      </w:r>
      <w:r>
        <w:rPr>
          <w:rFonts w:ascii="Arial" w:hAnsi="Arial" w:cs="Arial"/>
        </w:rPr>
        <w:t xml:space="preserve">additional </w:t>
      </w:r>
      <w:r w:rsidRPr="00B438E4">
        <w:rPr>
          <w:rFonts w:ascii="Arial" w:hAnsi="Arial" w:cs="Arial"/>
        </w:rPr>
        <w:t>decarbonization rate of 0.9</w:t>
      </w:r>
      <w:r>
        <w:rPr>
          <w:rFonts w:ascii="Arial" w:hAnsi="Arial" w:cs="Arial"/>
        </w:rPr>
        <w:t>0</w:t>
      </w:r>
      <w:r w:rsidRPr="00B438E4">
        <w:rPr>
          <w:rFonts w:ascii="Arial" w:hAnsi="Arial" w:cs="Arial"/>
        </w:rPr>
        <w:t xml:space="preserve">% would be required to offset the additional </w:t>
      </w:r>
      <w:r w:rsidRPr="00B438E4">
        <w:rPr>
          <w:rFonts w:ascii="Arial" w:hAnsi="Arial" w:cs="Arial"/>
        </w:rPr>
        <w:lastRenderedPageBreak/>
        <w:t xml:space="preserve">emissions. In this scenario, any 1% reduction in carbon intensity in non-poor countries has the same effect on the emissions of poverty alleviation as a 3.2% reduction in carbon intensity in poor countries, reflecting the fact that most emissions accrue in non-poor countries. </w:t>
      </w:r>
    </w:p>
    <w:p w14:paraId="5DA8C837" w14:textId="77777777" w:rsidR="00B66AA5" w:rsidRPr="00B438E4" w:rsidRDefault="00B66AA5" w:rsidP="00B66AA5">
      <w:pPr>
        <w:spacing w:line="240" w:lineRule="auto"/>
        <w:jc w:val="both"/>
        <w:rPr>
          <w:rFonts w:ascii="Arial" w:hAnsi="Arial" w:cs="Arial"/>
        </w:rPr>
      </w:pPr>
      <w:r>
        <w:rPr>
          <w:rFonts w:ascii="Arial" w:hAnsi="Arial" w:cs="Arial"/>
        </w:rPr>
        <w:t>At</w:t>
      </w:r>
      <w:r w:rsidRPr="00B438E4">
        <w:rPr>
          <w:rFonts w:ascii="Arial" w:hAnsi="Arial" w:cs="Arial"/>
        </w:rPr>
        <w:t xml:space="preserve"> the lower-middle-income poverty line of $3.65 per day</w:t>
      </w:r>
      <w:r>
        <w:rPr>
          <w:rFonts w:ascii="Arial" w:hAnsi="Arial" w:cs="Arial"/>
        </w:rPr>
        <w:t>, d</w:t>
      </w:r>
      <w:r w:rsidRPr="00B438E4">
        <w:rPr>
          <w:rFonts w:ascii="Arial" w:hAnsi="Arial" w:cs="Arial"/>
        </w:rPr>
        <w:t>ecarbonization at a rate of 1% in non-poor countries and 2.15% in poor countries above the current trends would offset the additional emissions from poverty alleviation. Any 1% carbon intensity reduction in non-poor countries is equivalent a 2.2% reduction in poor countries.</w:t>
      </w:r>
    </w:p>
    <w:p w14:paraId="2F15E0CA" w14:textId="76AF611D" w:rsidR="00B66AA5" w:rsidRPr="00B438E4" w:rsidRDefault="00B66AA5" w:rsidP="00B66AA5">
      <w:pPr>
        <w:pStyle w:val="ListParagraph"/>
        <w:ind w:left="0"/>
        <w:jc w:val="both"/>
        <w:rPr>
          <w:rFonts w:ascii="Arial" w:hAnsi="Arial" w:cs="Arial"/>
        </w:rPr>
      </w:pPr>
      <w:r w:rsidRPr="00B438E4">
        <w:rPr>
          <w:rFonts w:ascii="Arial" w:hAnsi="Arial" w:cs="Arial"/>
        </w:rPr>
        <w:t xml:space="preserve">To offset the emissions of poverty eradication </w:t>
      </w:r>
      <w:r>
        <w:rPr>
          <w:rFonts w:ascii="Arial" w:hAnsi="Arial" w:cs="Arial"/>
        </w:rPr>
        <w:t xml:space="preserve">at </w:t>
      </w:r>
      <w:r w:rsidRPr="00B438E4">
        <w:rPr>
          <w:rFonts w:ascii="Arial" w:hAnsi="Arial" w:cs="Arial"/>
        </w:rPr>
        <w:t>the upper-middle-income poverty line of $6.85 per day, non-poor countries would need to decarbonize at a rate of 9.3% per year. This rate substantially exceeds decarbonization rates consistent with 1.5C or 2C warming trajectories, at 5.9% and 2.4% per year, respectively.</w:t>
      </w:r>
      <w:r>
        <w:rPr>
          <w:rFonts w:ascii="Arial" w:hAnsi="Arial" w:cs="Arial"/>
        </w:rPr>
        <w:t xml:space="preserve"> </w:t>
      </w:r>
      <w:r w:rsidRPr="00B438E4">
        <w:rPr>
          <w:rFonts w:ascii="Arial" w:hAnsi="Arial" w:cs="Arial"/>
        </w:rPr>
        <w:t>In comparison, poor countries (relative to the $6.85 per day poverty line) would need to decarbonize at a rate of 2.6% above business-as-usual. Any 1% emissions reductions in poor countries have the same effect as a 3.6% reduction in non-poor countries. When using the $6.85 poverty line, many more countries are considered poor than when using the extreme poverty line (</w:t>
      </w:r>
      <w:r w:rsidRPr="00C17EE9">
        <w:rPr>
          <w:rFonts w:ascii="Arial" w:hAnsi="Arial" w:cs="Arial"/>
        </w:rPr>
        <w:t xml:space="preserve">Extended Data Figure </w:t>
      </w:r>
      <w:r w:rsidRPr="00C17EE9">
        <w:rPr>
          <w:rFonts w:ascii="Arial" w:hAnsi="Arial" w:cs="Arial"/>
          <w:noProof/>
        </w:rPr>
        <w:t>2</w:t>
      </w:r>
      <w:r w:rsidRPr="00B438E4">
        <w:rPr>
          <w:rFonts w:ascii="Arial" w:hAnsi="Arial" w:cs="Arial"/>
        </w:rPr>
        <w:t xml:space="preserve">), and those countries emit most of the global emissions. </w:t>
      </w:r>
    </w:p>
    <w:p w14:paraId="755D740E" w14:textId="77777777" w:rsidR="00B66AA5" w:rsidRDefault="00B66AA5" w:rsidP="00B66AA5">
      <w:pPr>
        <w:rPr>
          <w:rFonts w:ascii="Arial" w:hAnsi="Arial" w:cs="Arial"/>
          <w:b/>
          <w:bCs/>
        </w:rPr>
      </w:pPr>
      <w:r>
        <w:rPr>
          <w:rFonts w:ascii="Arial" w:hAnsi="Arial" w:cs="Arial"/>
          <w:b/>
          <w:bCs/>
        </w:rPr>
        <w:t>B.3 Scenario analysis</w:t>
      </w:r>
    </w:p>
    <w:p w14:paraId="1D3A32A7" w14:textId="00B9CE1F" w:rsidR="00B66AA5" w:rsidRDefault="00B66AA5" w:rsidP="00B66AA5">
      <w:pPr>
        <w:jc w:val="both"/>
        <w:rPr>
          <w:rFonts w:ascii="Arial" w:eastAsiaTheme="minorEastAsia" w:hAnsi="Arial" w:cs="Arial"/>
        </w:rPr>
      </w:pPr>
      <w:r>
        <w:rPr>
          <w:rFonts w:ascii="Arial" w:eastAsiaTheme="minorEastAsia" w:hAnsi="Arial" w:cs="Arial"/>
        </w:rPr>
        <w:t xml:space="preserve">In the main text, we estimate emissions increases for several different scenarios in which inequality, energy intensity of GDP, and carbon intensity of energy consumption improve at best historical rates. Here, we expand the scenario analysis by looking at different combinations of inequality changes and energy and carbon intensity, and we further vary other key modelling parameters: </w:t>
      </w:r>
      <w:r w:rsidRPr="00B438E4">
        <w:rPr>
          <w:rFonts w:ascii="Arial" w:eastAsiaTheme="minorEastAsia" w:hAnsi="Arial" w:cs="Arial"/>
        </w:rPr>
        <w:t>the population growth forecasts</w:t>
      </w:r>
      <w:r>
        <w:rPr>
          <w:rFonts w:ascii="Arial" w:eastAsiaTheme="minorEastAsia" w:hAnsi="Arial" w:cs="Arial"/>
        </w:rPr>
        <w:t xml:space="preserve"> until 2050 and</w:t>
      </w:r>
      <w:r w:rsidRPr="00B438E4">
        <w:rPr>
          <w:rFonts w:ascii="Arial" w:eastAsiaTheme="minorEastAsia" w:hAnsi="Arial" w:cs="Arial"/>
        </w:rPr>
        <w:t xml:space="preserve"> passthrough rates from GDP growth to consumption growth</w:t>
      </w:r>
      <w:r>
        <w:rPr>
          <w:rFonts w:ascii="Arial" w:eastAsiaTheme="minorEastAsia" w:hAnsi="Arial" w:cs="Arial"/>
        </w:rPr>
        <w:t xml:space="preserve">. </w:t>
      </w:r>
      <w:r w:rsidRPr="00B438E4">
        <w:rPr>
          <w:rFonts w:ascii="Arial" w:eastAsiaTheme="minorEastAsia" w:hAnsi="Arial" w:cs="Arial"/>
        </w:rPr>
        <w:t xml:space="preserve">Population scenarios are based on the low, medium, and high variant of the UN’s Population Prospects (United Nation 2022). </w:t>
      </w:r>
      <w:r>
        <w:rPr>
          <w:rFonts w:ascii="Arial" w:eastAsiaTheme="minorEastAsia" w:hAnsi="Arial" w:cs="Arial"/>
        </w:rPr>
        <w:t xml:space="preserve">For the </w:t>
      </w:r>
      <w:r w:rsidRPr="00B438E4">
        <w:rPr>
          <w:rFonts w:ascii="Arial" w:eastAsiaTheme="minorEastAsia" w:hAnsi="Arial" w:cs="Arial"/>
        </w:rPr>
        <w:t>passthrough rates from GDP growth to consumption growth</w:t>
      </w:r>
      <w:r>
        <w:rPr>
          <w:rFonts w:ascii="Arial" w:eastAsiaTheme="minorEastAsia" w:hAnsi="Arial" w:cs="Arial"/>
        </w:rPr>
        <w:t xml:space="preserve">, we </w:t>
      </w:r>
      <w:r w:rsidRPr="00B438E4">
        <w:rPr>
          <w:rFonts w:ascii="Arial" w:eastAsiaTheme="minorEastAsia" w:hAnsi="Arial" w:cs="Arial"/>
        </w:rPr>
        <w:t>use the 10</w:t>
      </w:r>
      <w:r w:rsidRPr="00B438E4">
        <w:rPr>
          <w:rFonts w:ascii="Arial" w:eastAsiaTheme="minorEastAsia" w:hAnsi="Arial" w:cs="Arial"/>
          <w:vertAlign w:val="superscript"/>
        </w:rPr>
        <w:t>th</w:t>
      </w:r>
      <w:r w:rsidRPr="00B438E4">
        <w:rPr>
          <w:rFonts w:ascii="Arial" w:eastAsiaTheme="minorEastAsia" w:hAnsi="Arial" w:cs="Arial"/>
        </w:rPr>
        <w:t xml:space="preserve"> and 90</w:t>
      </w:r>
      <w:r w:rsidRPr="00B438E4">
        <w:rPr>
          <w:rFonts w:ascii="Arial" w:eastAsiaTheme="minorEastAsia" w:hAnsi="Arial" w:cs="Arial"/>
          <w:vertAlign w:val="superscript"/>
        </w:rPr>
        <w:t>th</w:t>
      </w:r>
      <w:r w:rsidRPr="00B438E4">
        <w:rPr>
          <w:rFonts w:ascii="Arial" w:eastAsiaTheme="minorEastAsia" w:hAnsi="Arial" w:cs="Arial"/>
        </w:rPr>
        <w:t xml:space="preserve"> percentile of the distribution from Extended </w:t>
      </w:r>
      <w:r>
        <w:rPr>
          <w:rFonts w:ascii="Arial" w:eastAsiaTheme="minorEastAsia" w:hAnsi="Arial" w:cs="Arial"/>
        </w:rPr>
        <w:t xml:space="preserve">Data </w:t>
      </w:r>
      <w:r w:rsidRPr="00B438E4">
        <w:rPr>
          <w:rFonts w:ascii="Arial" w:eastAsiaTheme="minorEastAsia" w:hAnsi="Arial" w:cs="Arial"/>
        </w:rPr>
        <w:t xml:space="preserve">Figure </w:t>
      </w:r>
      <w:r>
        <w:rPr>
          <w:rFonts w:ascii="Arial" w:eastAsiaTheme="minorEastAsia" w:hAnsi="Arial" w:cs="Arial"/>
        </w:rPr>
        <w:t>4, Panel A</w:t>
      </w:r>
      <w:r w:rsidRPr="00B438E4">
        <w:rPr>
          <w:rFonts w:ascii="Arial" w:eastAsiaTheme="minorEastAsia" w:hAnsi="Arial" w:cs="Arial"/>
        </w:rPr>
        <w:t xml:space="preserve"> for all countries. </w:t>
      </w:r>
      <w:r>
        <w:rPr>
          <w:rFonts w:ascii="Arial" w:eastAsiaTheme="minorEastAsia" w:hAnsi="Arial" w:cs="Arial"/>
        </w:rPr>
        <w:t>In total, w</w:t>
      </w:r>
      <w:r w:rsidRPr="00B438E4">
        <w:rPr>
          <w:rFonts w:ascii="Arial" w:eastAsiaTheme="minorEastAsia" w:hAnsi="Arial" w:cs="Arial"/>
        </w:rPr>
        <w:t>e analyze 243 scenarios</w:t>
      </w:r>
      <w:r>
        <w:rPr>
          <w:rFonts w:ascii="Arial" w:eastAsiaTheme="minorEastAsia" w:hAnsi="Arial" w:cs="Arial"/>
        </w:rPr>
        <w:t xml:space="preserve">, which </w:t>
      </w:r>
      <w:r w:rsidRPr="00B438E4">
        <w:rPr>
          <w:rFonts w:ascii="Arial" w:eastAsiaTheme="minorEastAsia" w:hAnsi="Arial" w:cs="Arial"/>
        </w:rPr>
        <w:t xml:space="preserve">are outlined in </w:t>
      </w:r>
      <w:r w:rsidRPr="005C0FF9">
        <w:rPr>
          <w:rFonts w:ascii="Arial" w:hAnsi="Arial" w:cs="Arial"/>
        </w:rPr>
        <w:t>Table S</w:t>
      </w:r>
      <w:r w:rsidRPr="00DD7E01">
        <w:rPr>
          <w:rFonts w:ascii="Arial" w:hAnsi="Arial" w:cs="Arial"/>
        </w:rPr>
        <w:t>3</w:t>
      </w:r>
      <w:r w:rsidRPr="006B2EC7">
        <w:rPr>
          <w:rFonts w:ascii="Arial" w:eastAsiaTheme="minorEastAsia" w:hAnsi="Arial" w:cs="Arial"/>
        </w:rPr>
        <w:t>.</w:t>
      </w:r>
    </w:p>
    <w:p w14:paraId="5CB5E3FE" w14:textId="77777777" w:rsidR="00B66AA5" w:rsidRPr="00B438E4" w:rsidRDefault="00B66AA5" w:rsidP="00B66AA5">
      <w:pPr>
        <w:tabs>
          <w:tab w:val="center" w:pos="4680"/>
        </w:tabs>
        <w:jc w:val="both"/>
        <w:rPr>
          <w:rFonts w:ascii="Arial" w:eastAsiaTheme="minorEastAsia" w:hAnsi="Arial" w:cs="Arial"/>
        </w:rPr>
      </w:pPr>
      <w:r w:rsidRPr="00B438E4">
        <w:rPr>
          <w:rFonts w:ascii="Arial" w:eastAsiaTheme="minorEastAsia" w:hAnsi="Arial" w:cs="Arial"/>
        </w:rPr>
        <w:t xml:space="preserve">Note that for each of these scenarios, we do not only change the </w:t>
      </w:r>
      <w:r>
        <w:rPr>
          <w:rFonts w:ascii="Arial" w:eastAsiaTheme="minorEastAsia" w:hAnsi="Arial" w:cs="Arial"/>
        </w:rPr>
        <w:t>poverty eradication</w:t>
      </w:r>
      <w:r w:rsidRPr="00B438E4">
        <w:rPr>
          <w:rFonts w:ascii="Arial" w:eastAsiaTheme="minorEastAsia" w:hAnsi="Arial" w:cs="Arial"/>
        </w:rPr>
        <w:t xml:space="preserve"> projection but also the counterfactual projection. This means that when we, for example, switch from the medium variant of population projections to a low variant of population projections, we are looking at the greenhouse gas implications of ending poverty in a world where populations grow slower. We are </w:t>
      </w:r>
      <w:r w:rsidRPr="00B438E4">
        <w:rPr>
          <w:rFonts w:ascii="Arial" w:eastAsiaTheme="minorEastAsia" w:hAnsi="Arial" w:cs="Arial"/>
          <w:i/>
          <w:iCs/>
        </w:rPr>
        <w:t>not</w:t>
      </w:r>
      <w:r w:rsidRPr="00B438E4">
        <w:rPr>
          <w:rFonts w:ascii="Arial" w:eastAsiaTheme="minorEastAsia" w:hAnsi="Arial" w:cs="Arial"/>
        </w:rPr>
        <w:t xml:space="preserve"> looking at the impact of ending poverty in a world with low population growth vis-à-vis a world with no growth and medium population growth. Likewise, in the scenario with strong reductions in energy intensity, we are looking at the greenhouse gas implications of ending poverty in a world where countries reduce their energy intensity at the rate of historical best performers. </w:t>
      </w:r>
    </w:p>
    <w:p w14:paraId="48F8715F" w14:textId="48E865F4" w:rsidR="00B66AA5" w:rsidRPr="005C72C3" w:rsidRDefault="00B66AA5" w:rsidP="00B66AA5">
      <w:pPr>
        <w:pStyle w:val="ListParagraph"/>
        <w:ind w:left="0"/>
        <w:jc w:val="both"/>
        <w:rPr>
          <w:rFonts w:ascii="Arial" w:hAnsi="Arial" w:cs="Arial"/>
        </w:rPr>
      </w:pPr>
      <w:r w:rsidRPr="00B438E4">
        <w:rPr>
          <w:rFonts w:ascii="Arial" w:hAnsi="Arial" w:cs="Arial"/>
        </w:rPr>
        <w:t>This exercise leads to 243 different scenarios for each poverty line representing a wide range of outcomes with vastly different implications for emissions. For the extreme poverty line at $2.15, the emissions increase in 2050 relative to a scenario with no poverty alleviation ranges from 0.42% to 85%; for the $3.65 poverty line between 1.7% and 204%; and for the $6.85 poverty line between 6.12% and 611%.  At all poverty lines, there ar</w:t>
      </w:r>
      <w:r w:rsidRPr="009937E1">
        <w:rPr>
          <w:rFonts w:ascii="Arial" w:hAnsi="Arial" w:cs="Arial"/>
        </w:rPr>
        <w:t xml:space="preserve">e scenarios in which the emissions of poverty eradication are modest </w:t>
      </w:r>
      <w:r w:rsidRPr="005C72C3">
        <w:rPr>
          <w:rFonts w:ascii="Arial" w:hAnsi="Arial" w:cs="Arial"/>
        </w:rPr>
        <w:t xml:space="preserve">(Extended Data Figure 17, </w:t>
      </w:r>
      <w:r w:rsidRPr="00A32FE7">
        <w:rPr>
          <w:rFonts w:ascii="Arial" w:hAnsi="Arial" w:cs="Arial"/>
        </w:rPr>
        <w:t>panel B). At the extreme poverty line, 114 scenarios have estimated emissions increase in 2050</w:t>
      </w:r>
      <w:r w:rsidRPr="00B438E4">
        <w:rPr>
          <w:rFonts w:ascii="Arial" w:hAnsi="Arial" w:cs="Arial"/>
        </w:rPr>
        <w:t xml:space="preserve"> of less than 5%, but there are also 26 scenarios below 5% at the $3.65 poverty line, and even at the $6.85 poverty line, there are 8 </w:t>
      </w:r>
      <w:r w:rsidRPr="00B438E4">
        <w:rPr>
          <w:rFonts w:ascii="Arial" w:hAnsi="Arial" w:cs="Arial"/>
        </w:rPr>
        <w:lastRenderedPageBreak/>
        <w:t>scenarios with emissions increases between 5% and 10%. These optimistic scenarios, however, are contingent on combining low inequality and green growth pathways</w:t>
      </w:r>
      <w:r>
        <w:rPr>
          <w:rFonts w:ascii="Arial" w:hAnsi="Arial" w:cs="Arial"/>
        </w:rPr>
        <w:t xml:space="preserve"> (</w:t>
      </w:r>
      <w:r w:rsidRPr="005C72C3">
        <w:rPr>
          <w:rFonts w:ascii="Arial" w:hAnsi="Arial" w:cs="Arial"/>
        </w:rPr>
        <w:t xml:space="preserve">Extended Data Figure </w:t>
      </w:r>
      <w:r w:rsidRPr="005C72C3">
        <w:rPr>
          <w:rFonts w:ascii="Arial" w:hAnsi="Arial" w:cs="Arial"/>
          <w:noProof/>
        </w:rPr>
        <w:t>17</w:t>
      </w:r>
      <w:r w:rsidRPr="005C72C3">
        <w:rPr>
          <w:rFonts w:ascii="Arial" w:hAnsi="Arial" w:cs="Arial"/>
        </w:rPr>
        <w:t xml:space="preserve">, panel A). </w:t>
      </w:r>
    </w:p>
    <w:p w14:paraId="7E222B24" w14:textId="77777777" w:rsidR="00B66AA5" w:rsidRPr="00B438E4" w:rsidRDefault="00B66AA5" w:rsidP="00B66AA5">
      <w:pPr>
        <w:pStyle w:val="ListParagraph"/>
        <w:ind w:left="0"/>
        <w:jc w:val="both"/>
        <w:rPr>
          <w:rFonts w:ascii="Arial" w:hAnsi="Arial" w:cs="Arial"/>
        </w:rPr>
      </w:pPr>
    </w:p>
    <w:p w14:paraId="7FDDF7EA" w14:textId="7C56E187" w:rsidR="00B66AA5" w:rsidRPr="00B438E4" w:rsidRDefault="00B66AA5" w:rsidP="00B66AA5">
      <w:pPr>
        <w:pStyle w:val="ListParagraph"/>
        <w:ind w:left="0"/>
        <w:jc w:val="both"/>
        <w:rPr>
          <w:rFonts w:ascii="Arial" w:hAnsi="Arial" w:cs="Arial"/>
        </w:rPr>
      </w:pPr>
      <w:r w:rsidRPr="00B438E4">
        <w:rPr>
          <w:rFonts w:ascii="Arial" w:hAnsi="Arial" w:cs="Arial"/>
        </w:rPr>
        <w:t>On the flipside, there are scenarios with very significant emissions increases even for extreme poverty eradication, which are combinations of rising inequality, increasing energy intensity of GDP, and increasing carbon intensity of energy. The average emissions of all extreme poverty scenarios with rising inequality are 18.7%, 15.4</w:t>
      </w:r>
      <w:r w:rsidRPr="005C72C3">
        <w:rPr>
          <w:rFonts w:ascii="Arial" w:hAnsi="Arial" w:cs="Arial"/>
        </w:rPr>
        <w:t xml:space="preserve">% with increasing energy intensity of GDP, and 17.0% with increasing carbon intensity of energy (Extended Data Figure </w:t>
      </w:r>
      <w:r w:rsidRPr="005C72C3">
        <w:rPr>
          <w:rFonts w:ascii="Arial" w:hAnsi="Arial" w:cs="Arial"/>
          <w:noProof/>
        </w:rPr>
        <w:t>17</w:t>
      </w:r>
      <w:r w:rsidRPr="005C72C3">
        <w:rPr>
          <w:rFonts w:ascii="Arial" w:hAnsi="Arial" w:cs="Arial"/>
        </w:rPr>
        <w:t>, panel B).</w:t>
      </w:r>
      <w:r w:rsidRPr="00B438E4">
        <w:rPr>
          <w:rFonts w:ascii="Arial" w:hAnsi="Arial" w:cs="Arial"/>
        </w:rPr>
        <w:t xml:space="preserve"> </w:t>
      </w:r>
    </w:p>
    <w:p w14:paraId="017CC552" w14:textId="77777777" w:rsidR="00B66AA5" w:rsidRPr="00B438E4" w:rsidRDefault="00B66AA5" w:rsidP="00B66AA5">
      <w:pPr>
        <w:pStyle w:val="ListParagraph"/>
        <w:ind w:left="0"/>
        <w:jc w:val="both"/>
        <w:rPr>
          <w:rFonts w:ascii="Arial" w:hAnsi="Arial" w:cs="Arial"/>
        </w:rPr>
      </w:pPr>
    </w:p>
    <w:p w14:paraId="2AAA9143" w14:textId="77777777" w:rsidR="00B66AA5" w:rsidRDefault="00B66AA5" w:rsidP="00B66AA5">
      <w:pPr>
        <w:rPr>
          <w:rFonts w:ascii="Arial" w:hAnsi="Arial" w:cs="Arial"/>
          <w:b/>
          <w:bCs/>
        </w:rPr>
      </w:pPr>
    </w:p>
    <w:p w14:paraId="6C939333" w14:textId="77777777" w:rsidR="00B66AA5" w:rsidRDefault="00B66AA5" w:rsidP="00B66AA5">
      <w:pPr>
        <w:rPr>
          <w:rFonts w:ascii="Arial" w:hAnsi="Arial" w:cs="Arial"/>
          <w:b/>
          <w:bCs/>
        </w:rPr>
      </w:pPr>
      <w:r>
        <w:rPr>
          <w:rFonts w:ascii="Arial" w:hAnsi="Arial" w:cs="Arial"/>
          <w:b/>
          <w:bCs/>
        </w:rPr>
        <w:t xml:space="preserve">C </w:t>
      </w:r>
      <w:r w:rsidRPr="001C0CB0">
        <w:rPr>
          <w:rFonts w:ascii="Arial" w:hAnsi="Arial" w:cs="Arial"/>
          <w:b/>
          <w:bCs/>
        </w:rPr>
        <w:t xml:space="preserve">Supplementary Tables and Figures </w:t>
      </w:r>
    </w:p>
    <w:p w14:paraId="74830B64" w14:textId="77777777" w:rsidR="00B66AA5" w:rsidRDefault="00B66AA5" w:rsidP="00B66AA5">
      <w:pPr>
        <w:rPr>
          <w:rFonts w:ascii="Arial" w:hAnsi="Arial" w:cs="Arial"/>
          <w:b/>
          <w:bCs/>
        </w:rPr>
      </w:pPr>
      <w:r>
        <w:rPr>
          <w:rFonts w:ascii="Arial" w:hAnsi="Arial" w:cs="Arial"/>
          <w:b/>
          <w:bCs/>
        </w:rPr>
        <w:t xml:space="preserve">C.1 Supplementary Tables </w:t>
      </w:r>
    </w:p>
    <w:p w14:paraId="6258E74C" w14:textId="77777777" w:rsidR="00B66AA5" w:rsidRDefault="00B66AA5" w:rsidP="00B66AA5">
      <w:pPr>
        <w:rPr>
          <w:rFonts w:ascii="Arial" w:hAnsi="Arial" w:cs="Arial"/>
          <w:b/>
          <w:bCs/>
        </w:rPr>
      </w:pPr>
    </w:p>
    <w:p w14:paraId="07AE4513" w14:textId="187B67C8" w:rsidR="00B66AA5" w:rsidRPr="005C0FF9" w:rsidRDefault="00B66AA5" w:rsidP="00B66AA5">
      <w:pPr>
        <w:spacing w:after="0"/>
        <w:jc w:val="center"/>
        <w:rPr>
          <w:rFonts w:ascii="Arial" w:eastAsiaTheme="minorEastAsia" w:hAnsi="Arial" w:cs="Arial"/>
          <w:b/>
          <w:bCs/>
        </w:rPr>
      </w:pPr>
      <w:r w:rsidRPr="005C0FF9">
        <w:rPr>
          <w:rFonts w:ascii="Arial" w:eastAsiaTheme="minorEastAsia" w:hAnsi="Arial" w:cs="Arial"/>
          <w:b/>
          <w:bCs/>
        </w:rPr>
        <w:t>Table S</w:t>
      </w:r>
      <w:r>
        <w:rPr>
          <w:rFonts w:ascii="Arial" w:eastAsiaTheme="minorEastAsia" w:hAnsi="Arial" w:cs="Arial"/>
          <w:b/>
          <w:bCs/>
          <w:noProof/>
        </w:rPr>
        <w:t>1</w:t>
      </w:r>
      <w:r w:rsidRPr="005C0FF9">
        <w:rPr>
          <w:rFonts w:ascii="Arial" w:eastAsiaTheme="minorEastAsia" w:hAnsi="Arial" w:cs="Arial"/>
          <w:b/>
          <w:bCs/>
        </w:rPr>
        <w:t xml:space="preserve">: </w:t>
      </w:r>
      <w:r w:rsidRPr="00B438E4">
        <w:rPr>
          <w:rFonts w:ascii="Arial" w:eastAsiaTheme="minorEastAsia" w:hAnsi="Arial" w:cs="Arial"/>
          <w:b/>
          <w:bCs/>
        </w:rPr>
        <w:t>Country-years with income and consumption aggregates</w:t>
      </w:r>
    </w:p>
    <w:tbl>
      <w:tblPr>
        <w:tblW w:w="5992" w:type="dxa"/>
        <w:jc w:val="center"/>
        <w:tblCellMar>
          <w:left w:w="0" w:type="dxa"/>
          <w:right w:w="0" w:type="dxa"/>
        </w:tblCellMar>
        <w:tblLook w:val="0600" w:firstRow="0" w:lastRow="0" w:firstColumn="0" w:lastColumn="0" w:noHBand="1" w:noVBand="1"/>
      </w:tblPr>
      <w:tblGrid>
        <w:gridCol w:w="2108"/>
        <w:gridCol w:w="3884"/>
      </w:tblGrid>
      <w:tr w:rsidR="00B66AA5" w:rsidRPr="00B438E4" w14:paraId="32D68B4E" w14:textId="77777777" w:rsidTr="000C4813">
        <w:trPr>
          <w:trHeight w:val="254"/>
          <w:jc w:val="center"/>
        </w:trPr>
        <w:tc>
          <w:tcPr>
            <w:tcW w:w="2108" w:type="dxa"/>
            <w:tcBorders>
              <w:top w:val="single" w:sz="4" w:space="0" w:color="auto"/>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39CA40C"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Albania</w:t>
            </w:r>
          </w:p>
        </w:tc>
        <w:tc>
          <w:tcPr>
            <w:tcW w:w="3884" w:type="dxa"/>
            <w:tcBorders>
              <w:top w:val="single" w:sz="4" w:space="0" w:color="auto"/>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B4E3866"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2016</w:t>
            </w:r>
            <w:r>
              <w:rPr>
                <w:rFonts w:ascii="Arial" w:hAnsi="Arial" w:cs="Arial"/>
                <w:sz w:val="20"/>
                <w:szCs w:val="20"/>
              </w:rPr>
              <w:t>-2018</w:t>
            </w:r>
          </w:p>
        </w:tc>
      </w:tr>
      <w:tr w:rsidR="00B66AA5" w:rsidRPr="00B438E4" w14:paraId="19F4FA6A" w14:textId="77777777" w:rsidTr="000C4813">
        <w:trPr>
          <w:trHeight w:val="244"/>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BAAF8B0"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Bulgaria</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9137179"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2007</w:t>
            </w:r>
          </w:p>
        </w:tc>
      </w:tr>
      <w:tr w:rsidR="00B66AA5" w:rsidRPr="00B438E4" w14:paraId="1DBDA0A8" w14:textId="77777777" w:rsidTr="000C4813">
        <w:trPr>
          <w:trHeight w:val="244"/>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637649C"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Croatia</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61BA609"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2009, 2010</w:t>
            </w:r>
          </w:p>
        </w:tc>
      </w:tr>
      <w:tr w:rsidR="00B66AA5" w:rsidRPr="00B438E4" w14:paraId="1E528684" w14:textId="77777777" w:rsidTr="000C4813">
        <w:trPr>
          <w:trHeight w:val="244"/>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EC90A67"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Estonia</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1A0BBD4"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2003, 2004</w:t>
            </w:r>
          </w:p>
        </w:tc>
      </w:tr>
      <w:tr w:rsidR="00B66AA5" w:rsidRPr="00B438E4" w14:paraId="58E76501" w14:textId="77777777" w:rsidTr="000C4813">
        <w:trPr>
          <w:trHeight w:val="244"/>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EFF28E7"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Haiti</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DD11389"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2012</w:t>
            </w:r>
          </w:p>
        </w:tc>
      </w:tr>
      <w:tr w:rsidR="00B66AA5" w:rsidRPr="00B438E4" w14:paraId="2A871747" w14:textId="77777777" w:rsidTr="000C4813">
        <w:trPr>
          <w:trHeight w:val="244"/>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01AC97B"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Hungary</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EB03FA9"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1999, 2004</w:t>
            </w:r>
            <w:r>
              <w:rPr>
                <w:rFonts w:ascii="Arial" w:hAnsi="Arial" w:cs="Arial"/>
                <w:sz w:val="20"/>
                <w:szCs w:val="20"/>
              </w:rPr>
              <w:t>-2007</w:t>
            </w:r>
          </w:p>
        </w:tc>
      </w:tr>
      <w:tr w:rsidR="00B66AA5" w:rsidRPr="00B438E4" w14:paraId="16F8DFD6" w14:textId="77777777" w:rsidTr="000C4813">
        <w:trPr>
          <w:trHeight w:val="244"/>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B94D351"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Latvia</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77B79B5"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2004, 2007</w:t>
            </w:r>
            <w:r>
              <w:rPr>
                <w:rFonts w:ascii="Arial" w:hAnsi="Arial" w:cs="Arial"/>
                <w:sz w:val="20"/>
                <w:szCs w:val="20"/>
              </w:rPr>
              <w:t>-</w:t>
            </w:r>
            <w:r w:rsidRPr="00EB4254">
              <w:rPr>
                <w:rFonts w:ascii="Arial" w:hAnsi="Arial" w:cs="Arial"/>
                <w:sz w:val="20"/>
                <w:szCs w:val="20"/>
              </w:rPr>
              <w:t>2009</w:t>
            </w:r>
          </w:p>
        </w:tc>
      </w:tr>
      <w:tr w:rsidR="00B66AA5" w:rsidRPr="00B438E4" w14:paraId="00FEECA1" w14:textId="77777777" w:rsidTr="000C4813">
        <w:trPr>
          <w:trHeight w:val="244"/>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4AFC85E"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Lithuania</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6A69DC2"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2004, 2008</w:t>
            </w:r>
          </w:p>
        </w:tc>
      </w:tr>
      <w:tr w:rsidR="00B66AA5" w:rsidRPr="00B438E4" w14:paraId="09FE0221" w14:textId="77777777" w:rsidTr="000C4813">
        <w:trPr>
          <w:trHeight w:val="244"/>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EC88519"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Montenegro</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DA6FB27"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2012</w:t>
            </w:r>
            <w:r>
              <w:rPr>
                <w:rFonts w:ascii="Arial" w:hAnsi="Arial" w:cs="Arial"/>
                <w:sz w:val="20"/>
                <w:szCs w:val="20"/>
              </w:rPr>
              <w:t>-2014</w:t>
            </w:r>
          </w:p>
        </w:tc>
      </w:tr>
      <w:tr w:rsidR="00B66AA5" w:rsidRPr="00B438E4" w14:paraId="0C9B1428" w14:textId="77777777" w:rsidTr="000C4813">
        <w:trPr>
          <w:trHeight w:val="244"/>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0A4624F"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Nicaragua</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D5C64FC"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1993, 1998, 2001, 2005</w:t>
            </w:r>
          </w:p>
        </w:tc>
      </w:tr>
      <w:tr w:rsidR="00B66AA5" w:rsidRPr="00B438E4" w14:paraId="22FA1283" w14:textId="77777777" w:rsidTr="000C4813">
        <w:trPr>
          <w:trHeight w:val="244"/>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460F8B5"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Philippines</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731F7BF"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2000, 2003, 2006, 2009, 2012, 2015, 2018</w:t>
            </w:r>
          </w:p>
        </w:tc>
      </w:tr>
      <w:tr w:rsidR="00B66AA5" w:rsidRPr="00B438E4" w14:paraId="7586958F" w14:textId="77777777" w:rsidTr="000C4813">
        <w:trPr>
          <w:trHeight w:val="221"/>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EA4E0F0"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Poland</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6563D9D"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1999, 2004</w:t>
            </w:r>
            <w:r>
              <w:rPr>
                <w:rFonts w:ascii="Arial" w:hAnsi="Arial" w:cs="Arial"/>
                <w:sz w:val="20"/>
                <w:szCs w:val="20"/>
              </w:rPr>
              <w:t>-2018</w:t>
            </w:r>
          </w:p>
        </w:tc>
      </w:tr>
      <w:tr w:rsidR="00B66AA5" w:rsidRPr="00B438E4" w14:paraId="63AB8C59" w14:textId="77777777" w:rsidTr="000C4813">
        <w:trPr>
          <w:trHeight w:val="271"/>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72493DF"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Romania</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149B4D7"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2006</w:t>
            </w:r>
            <w:r>
              <w:rPr>
                <w:rFonts w:ascii="Arial" w:hAnsi="Arial" w:cs="Arial"/>
                <w:sz w:val="20"/>
                <w:szCs w:val="20"/>
              </w:rPr>
              <w:t>-2013</w:t>
            </w:r>
            <w:r w:rsidRPr="00EB4254">
              <w:rPr>
                <w:rFonts w:ascii="Arial" w:hAnsi="Arial" w:cs="Arial"/>
                <w:sz w:val="20"/>
                <w:szCs w:val="20"/>
              </w:rPr>
              <w:t>, 2016, 2018</w:t>
            </w:r>
          </w:p>
        </w:tc>
      </w:tr>
      <w:tr w:rsidR="00B66AA5" w:rsidRPr="00B438E4" w14:paraId="254345F5" w14:textId="77777777" w:rsidTr="000C4813">
        <w:trPr>
          <w:trHeight w:val="244"/>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7340FEB"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Russian Federation</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3537F31"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2014</w:t>
            </w:r>
            <w:r>
              <w:rPr>
                <w:rFonts w:ascii="Arial" w:hAnsi="Arial" w:cs="Arial"/>
                <w:sz w:val="20"/>
                <w:szCs w:val="20"/>
              </w:rPr>
              <w:t>-2018</w:t>
            </w:r>
          </w:p>
        </w:tc>
      </w:tr>
      <w:tr w:rsidR="00B66AA5" w:rsidRPr="00B438E4" w14:paraId="175C9B10" w14:textId="77777777" w:rsidTr="000C4813">
        <w:trPr>
          <w:trHeight w:val="51"/>
          <w:jc w:val="center"/>
        </w:trPr>
        <w:tc>
          <w:tcPr>
            <w:tcW w:w="210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0DF829A"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Serbia</w:t>
            </w:r>
          </w:p>
        </w:tc>
        <w:tc>
          <w:tcPr>
            <w:tcW w:w="388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9A20312"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2013, 2015, 2018, 2019</w:t>
            </w:r>
          </w:p>
        </w:tc>
      </w:tr>
      <w:tr w:rsidR="00B66AA5" w:rsidRPr="00B438E4" w14:paraId="717C6DFC" w14:textId="77777777" w:rsidTr="000C4813">
        <w:trPr>
          <w:trHeight w:val="61"/>
          <w:jc w:val="center"/>
        </w:trPr>
        <w:tc>
          <w:tcPr>
            <w:tcW w:w="2108" w:type="dxa"/>
            <w:tcBorders>
              <w:top w:val="single" w:sz="8" w:space="0" w:color="FFFFFF"/>
              <w:left w:val="single" w:sz="8" w:space="0" w:color="FFFFFF"/>
              <w:bottom w:val="single" w:sz="4" w:space="0" w:color="auto"/>
              <w:right w:val="single" w:sz="8" w:space="0" w:color="FFFFFF"/>
            </w:tcBorders>
            <w:shd w:val="clear" w:color="auto" w:fill="auto"/>
            <w:tcMar>
              <w:top w:w="15" w:type="dxa"/>
              <w:left w:w="15" w:type="dxa"/>
              <w:bottom w:w="0" w:type="dxa"/>
              <w:right w:w="15" w:type="dxa"/>
            </w:tcMar>
            <w:vAlign w:val="bottom"/>
            <w:hideMark/>
          </w:tcPr>
          <w:p w14:paraId="56B58044"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Slovak Republic</w:t>
            </w:r>
          </w:p>
        </w:tc>
        <w:tc>
          <w:tcPr>
            <w:tcW w:w="3884" w:type="dxa"/>
            <w:tcBorders>
              <w:top w:val="single" w:sz="8" w:space="0" w:color="FFFFFF"/>
              <w:left w:val="single" w:sz="8" w:space="0" w:color="FFFFFF"/>
              <w:bottom w:val="single" w:sz="4" w:space="0" w:color="auto"/>
              <w:right w:val="single" w:sz="8" w:space="0" w:color="FFFFFF"/>
            </w:tcBorders>
            <w:shd w:val="clear" w:color="auto" w:fill="auto"/>
            <w:tcMar>
              <w:top w:w="15" w:type="dxa"/>
              <w:left w:w="15" w:type="dxa"/>
              <w:bottom w:w="0" w:type="dxa"/>
              <w:right w:w="15" w:type="dxa"/>
            </w:tcMar>
            <w:vAlign w:val="bottom"/>
            <w:hideMark/>
          </w:tcPr>
          <w:p w14:paraId="0C06872D" w14:textId="77777777" w:rsidR="00B66AA5" w:rsidRPr="00EB4254" w:rsidRDefault="00B66AA5" w:rsidP="000C4813">
            <w:pPr>
              <w:spacing w:after="0" w:line="240" w:lineRule="auto"/>
              <w:jc w:val="both"/>
              <w:rPr>
                <w:rFonts w:ascii="Arial" w:hAnsi="Arial" w:cs="Arial"/>
                <w:sz w:val="20"/>
                <w:szCs w:val="20"/>
              </w:rPr>
            </w:pPr>
            <w:r w:rsidRPr="00EB4254">
              <w:rPr>
                <w:rFonts w:ascii="Arial" w:hAnsi="Arial" w:cs="Arial"/>
                <w:sz w:val="20"/>
                <w:szCs w:val="20"/>
              </w:rPr>
              <w:t>2004</w:t>
            </w:r>
            <w:r>
              <w:rPr>
                <w:rFonts w:ascii="Arial" w:hAnsi="Arial" w:cs="Arial"/>
                <w:sz w:val="20"/>
                <w:szCs w:val="20"/>
              </w:rPr>
              <w:t>-2009</w:t>
            </w:r>
          </w:p>
        </w:tc>
      </w:tr>
    </w:tbl>
    <w:p w14:paraId="4D9455EE" w14:textId="77777777" w:rsidR="00B66AA5" w:rsidRPr="00EB4254" w:rsidRDefault="00B66AA5" w:rsidP="00B66AA5">
      <w:pPr>
        <w:spacing w:after="0"/>
        <w:ind w:left="1584" w:right="1584"/>
        <w:jc w:val="both"/>
        <w:rPr>
          <w:rFonts w:ascii="Arial" w:hAnsi="Arial" w:cs="Arial"/>
          <w:sz w:val="18"/>
          <w:szCs w:val="18"/>
        </w:rPr>
      </w:pPr>
      <w:r w:rsidRPr="00EB4254">
        <w:rPr>
          <w:rFonts w:ascii="Arial" w:hAnsi="Arial" w:cs="Arial"/>
          <w:i/>
          <w:sz w:val="18"/>
          <w:szCs w:val="18"/>
        </w:rPr>
        <w:t>Source</w:t>
      </w:r>
      <w:r w:rsidRPr="00EB4254">
        <w:rPr>
          <w:rFonts w:ascii="Arial" w:hAnsi="Arial" w:cs="Arial"/>
          <w:sz w:val="18"/>
          <w:szCs w:val="18"/>
        </w:rPr>
        <w:t>: World Bank’s Poverty and Inequality Platform.</w:t>
      </w:r>
    </w:p>
    <w:p w14:paraId="4EB16F31" w14:textId="77777777" w:rsidR="00B66AA5" w:rsidRPr="00476AE7" w:rsidRDefault="00B66AA5" w:rsidP="00B66AA5">
      <w:pPr>
        <w:spacing w:after="0"/>
        <w:rPr>
          <w:rFonts w:ascii="Arial" w:eastAsiaTheme="minorEastAsia" w:hAnsi="Arial" w:cs="Arial"/>
          <w:b/>
          <w:bCs/>
        </w:rPr>
      </w:pPr>
    </w:p>
    <w:p w14:paraId="08037B94" w14:textId="77777777" w:rsidR="00B66AA5" w:rsidRDefault="00B66AA5" w:rsidP="00B66AA5">
      <w:pPr>
        <w:rPr>
          <w:rFonts w:ascii="Arial" w:hAnsi="Arial" w:cs="Arial"/>
          <w:b/>
        </w:rPr>
      </w:pPr>
      <w:bookmarkStart w:id="0" w:name="_Ref126785176"/>
      <w:r>
        <w:rPr>
          <w:rFonts w:ascii="Arial" w:hAnsi="Arial" w:cs="Arial"/>
          <w:b/>
        </w:rPr>
        <w:br w:type="page"/>
      </w:r>
    </w:p>
    <w:p w14:paraId="08A888E7" w14:textId="75E6FD3D" w:rsidR="00B66AA5" w:rsidRPr="005C0FF9" w:rsidRDefault="00B66AA5" w:rsidP="00B66AA5">
      <w:pPr>
        <w:jc w:val="center"/>
        <w:rPr>
          <w:rFonts w:ascii="Arial" w:hAnsi="Arial" w:cs="Arial"/>
          <w:b/>
        </w:rPr>
      </w:pPr>
      <w:r w:rsidRPr="005C0FF9">
        <w:rPr>
          <w:rFonts w:ascii="Arial" w:hAnsi="Arial" w:cs="Arial"/>
          <w:b/>
        </w:rPr>
        <w:lastRenderedPageBreak/>
        <w:t>Table S</w:t>
      </w:r>
      <w:r>
        <w:rPr>
          <w:rFonts w:ascii="Arial" w:hAnsi="Arial" w:cs="Arial"/>
          <w:b/>
          <w:noProof/>
        </w:rPr>
        <w:t>2</w:t>
      </w:r>
      <w:bookmarkEnd w:id="0"/>
      <w:r w:rsidRPr="005C0FF9">
        <w:rPr>
          <w:rFonts w:ascii="Arial" w:hAnsi="Arial" w:cs="Arial"/>
          <w:b/>
        </w:rPr>
        <w:t xml:space="preserve">: </w:t>
      </w:r>
      <w:r w:rsidRPr="00A3054E">
        <w:rPr>
          <w:rFonts w:ascii="Arial" w:hAnsi="Arial" w:cs="Arial"/>
          <w:b/>
          <w:bCs/>
        </w:rPr>
        <w:t>Parameters in different model scenarios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080"/>
        <w:gridCol w:w="3060"/>
        <w:gridCol w:w="2515"/>
      </w:tblGrid>
      <w:tr w:rsidR="00B66AA5" w:rsidRPr="00A3054E" w14:paraId="71289127" w14:textId="77777777" w:rsidTr="000C4813">
        <w:tc>
          <w:tcPr>
            <w:tcW w:w="3775" w:type="dxa"/>
            <w:gridSpan w:val="2"/>
            <w:tcBorders>
              <w:bottom w:val="single" w:sz="4" w:space="0" w:color="auto"/>
            </w:tcBorders>
          </w:tcPr>
          <w:p w14:paraId="4498B8DF" w14:textId="77777777" w:rsidR="00B66AA5" w:rsidRPr="00A3054E" w:rsidRDefault="00B66AA5" w:rsidP="000C4813">
            <w:pPr>
              <w:jc w:val="both"/>
              <w:rPr>
                <w:rFonts w:ascii="Arial" w:hAnsi="Arial" w:cs="Arial"/>
                <w:b/>
                <w:bCs/>
                <w:sz w:val="20"/>
                <w:szCs w:val="20"/>
              </w:rPr>
            </w:pPr>
            <w:r w:rsidRPr="00A3054E">
              <w:rPr>
                <w:rFonts w:ascii="Arial" w:hAnsi="Arial" w:cs="Arial"/>
                <w:b/>
                <w:bCs/>
                <w:sz w:val="20"/>
                <w:szCs w:val="20"/>
              </w:rPr>
              <w:t>Parameter</w:t>
            </w:r>
          </w:p>
        </w:tc>
        <w:tc>
          <w:tcPr>
            <w:tcW w:w="3060" w:type="dxa"/>
            <w:tcBorders>
              <w:bottom w:val="single" w:sz="4" w:space="0" w:color="auto"/>
            </w:tcBorders>
          </w:tcPr>
          <w:p w14:paraId="31F90A45" w14:textId="77777777" w:rsidR="00B66AA5" w:rsidRPr="00A3054E" w:rsidRDefault="00B66AA5" w:rsidP="000C4813">
            <w:pPr>
              <w:jc w:val="both"/>
              <w:rPr>
                <w:rFonts w:ascii="Arial" w:hAnsi="Arial" w:cs="Arial"/>
                <w:b/>
                <w:bCs/>
                <w:sz w:val="20"/>
                <w:szCs w:val="20"/>
              </w:rPr>
            </w:pPr>
            <w:r w:rsidRPr="00A3054E">
              <w:rPr>
                <w:rFonts w:ascii="Arial" w:hAnsi="Arial" w:cs="Arial"/>
                <w:b/>
                <w:bCs/>
                <w:sz w:val="20"/>
                <w:szCs w:val="20"/>
              </w:rPr>
              <w:t xml:space="preserve">Interpretation </w:t>
            </w:r>
          </w:p>
        </w:tc>
        <w:tc>
          <w:tcPr>
            <w:tcW w:w="2515" w:type="dxa"/>
            <w:tcBorders>
              <w:bottom w:val="single" w:sz="4" w:space="0" w:color="auto"/>
            </w:tcBorders>
          </w:tcPr>
          <w:p w14:paraId="3A0BC8F1" w14:textId="77777777" w:rsidR="00B66AA5" w:rsidRPr="00A3054E" w:rsidRDefault="00B66AA5" w:rsidP="000C4813">
            <w:pPr>
              <w:jc w:val="both"/>
              <w:rPr>
                <w:rFonts w:ascii="Arial" w:hAnsi="Arial" w:cs="Arial"/>
                <w:b/>
                <w:bCs/>
                <w:sz w:val="20"/>
                <w:szCs w:val="20"/>
              </w:rPr>
            </w:pPr>
            <w:r w:rsidRPr="00A3054E">
              <w:rPr>
                <w:rFonts w:ascii="Arial" w:hAnsi="Arial" w:cs="Arial"/>
                <w:b/>
                <w:bCs/>
                <w:sz w:val="20"/>
                <w:szCs w:val="20"/>
              </w:rPr>
              <w:t>Value</w:t>
            </w:r>
          </w:p>
        </w:tc>
      </w:tr>
      <w:tr w:rsidR="00B66AA5" w:rsidRPr="00A3054E" w14:paraId="73174C5B" w14:textId="77777777" w:rsidTr="000C4813">
        <w:tc>
          <w:tcPr>
            <w:tcW w:w="2695" w:type="dxa"/>
            <w:vMerge w:val="restart"/>
            <w:tcBorders>
              <w:top w:val="single" w:sz="4" w:space="0" w:color="auto"/>
            </w:tcBorders>
            <w:vAlign w:val="center"/>
          </w:tcPr>
          <w:p w14:paraId="3C556993"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Inequality</w:t>
            </w:r>
          </w:p>
        </w:tc>
        <w:tc>
          <w:tcPr>
            <w:tcW w:w="1080" w:type="dxa"/>
            <w:tcBorders>
              <w:top w:val="single" w:sz="4" w:space="0" w:color="auto"/>
            </w:tcBorders>
            <w:vAlign w:val="center"/>
          </w:tcPr>
          <w:p w14:paraId="33BFEF2A"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 xml:space="preserve">High </w:t>
            </w:r>
          </w:p>
        </w:tc>
        <w:tc>
          <w:tcPr>
            <w:tcW w:w="3060" w:type="dxa"/>
            <w:tcBorders>
              <w:top w:val="single" w:sz="4" w:space="0" w:color="auto"/>
            </w:tcBorders>
            <w:vAlign w:val="center"/>
          </w:tcPr>
          <w:p w14:paraId="6546F207"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90</w:t>
            </w:r>
            <w:r w:rsidRPr="00A3054E">
              <w:rPr>
                <w:rFonts w:ascii="Arial" w:hAnsi="Arial" w:cs="Arial"/>
                <w:sz w:val="20"/>
                <w:szCs w:val="20"/>
                <w:vertAlign w:val="superscript"/>
              </w:rPr>
              <w:t>th</w:t>
            </w:r>
            <w:r w:rsidRPr="00A3054E">
              <w:rPr>
                <w:rFonts w:ascii="Arial" w:hAnsi="Arial" w:cs="Arial"/>
                <w:sz w:val="20"/>
                <w:szCs w:val="20"/>
              </w:rPr>
              <w:t xml:space="preserve"> percentile of changes in inequality (increase)</w:t>
            </w:r>
          </w:p>
        </w:tc>
        <w:tc>
          <w:tcPr>
            <w:tcW w:w="2515" w:type="dxa"/>
            <w:tcBorders>
              <w:top w:val="single" w:sz="4" w:space="0" w:color="auto"/>
            </w:tcBorders>
            <w:vAlign w:val="center"/>
          </w:tcPr>
          <w:p w14:paraId="6DBFD33A"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+13% in Gini in 2050</w:t>
            </w:r>
          </w:p>
        </w:tc>
      </w:tr>
      <w:tr w:rsidR="00B66AA5" w:rsidRPr="00A3054E" w14:paraId="6028D7E3" w14:textId="77777777" w:rsidTr="000C4813">
        <w:tc>
          <w:tcPr>
            <w:tcW w:w="2695" w:type="dxa"/>
            <w:vMerge/>
            <w:vAlign w:val="center"/>
          </w:tcPr>
          <w:p w14:paraId="5FD93BAA" w14:textId="77777777" w:rsidR="00B66AA5" w:rsidRPr="00A3054E" w:rsidRDefault="00B66AA5" w:rsidP="000C4813">
            <w:pPr>
              <w:jc w:val="both"/>
              <w:rPr>
                <w:rFonts w:ascii="Arial" w:hAnsi="Arial" w:cs="Arial"/>
                <w:sz w:val="20"/>
                <w:szCs w:val="20"/>
              </w:rPr>
            </w:pPr>
          </w:p>
        </w:tc>
        <w:tc>
          <w:tcPr>
            <w:tcW w:w="1080" w:type="dxa"/>
            <w:vAlign w:val="center"/>
          </w:tcPr>
          <w:p w14:paraId="2BD2C54C"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Baseline</w:t>
            </w:r>
          </w:p>
        </w:tc>
        <w:tc>
          <w:tcPr>
            <w:tcW w:w="3060" w:type="dxa"/>
            <w:vAlign w:val="center"/>
          </w:tcPr>
          <w:p w14:paraId="4FE7B499"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No change</w:t>
            </w:r>
          </w:p>
        </w:tc>
        <w:tc>
          <w:tcPr>
            <w:tcW w:w="2515" w:type="dxa"/>
            <w:vAlign w:val="center"/>
          </w:tcPr>
          <w:p w14:paraId="07083012"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 xml:space="preserve">0% </w:t>
            </w:r>
          </w:p>
        </w:tc>
      </w:tr>
      <w:tr w:rsidR="00B66AA5" w:rsidRPr="00A3054E" w14:paraId="6D09A65C" w14:textId="77777777" w:rsidTr="000C4813">
        <w:tc>
          <w:tcPr>
            <w:tcW w:w="2695" w:type="dxa"/>
            <w:vMerge/>
            <w:tcBorders>
              <w:bottom w:val="single" w:sz="4" w:space="0" w:color="auto"/>
            </w:tcBorders>
            <w:vAlign w:val="center"/>
          </w:tcPr>
          <w:p w14:paraId="19EF05E5" w14:textId="77777777" w:rsidR="00B66AA5" w:rsidRPr="00A3054E" w:rsidRDefault="00B66AA5" w:rsidP="000C4813">
            <w:pPr>
              <w:jc w:val="both"/>
              <w:rPr>
                <w:rFonts w:ascii="Arial" w:hAnsi="Arial" w:cs="Arial"/>
                <w:sz w:val="20"/>
                <w:szCs w:val="20"/>
              </w:rPr>
            </w:pPr>
          </w:p>
        </w:tc>
        <w:tc>
          <w:tcPr>
            <w:tcW w:w="1080" w:type="dxa"/>
            <w:tcBorders>
              <w:bottom w:val="single" w:sz="4" w:space="0" w:color="auto"/>
            </w:tcBorders>
            <w:vAlign w:val="center"/>
          </w:tcPr>
          <w:p w14:paraId="01C1E149"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 xml:space="preserve">Low </w:t>
            </w:r>
          </w:p>
        </w:tc>
        <w:tc>
          <w:tcPr>
            <w:tcW w:w="3060" w:type="dxa"/>
            <w:tcBorders>
              <w:bottom w:val="single" w:sz="4" w:space="0" w:color="auto"/>
            </w:tcBorders>
            <w:vAlign w:val="center"/>
          </w:tcPr>
          <w:p w14:paraId="05EC5EC0"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10</w:t>
            </w:r>
            <w:r w:rsidRPr="00A3054E">
              <w:rPr>
                <w:rFonts w:ascii="Arial" w:hAnsi="Arial" w:cs="Arial"/>
                <w:sz w:val="20"/>
                <w:szCs w:val="20"/>
                <w:vertAlign w:val="superscript"/>
              </w:rPr>
              <w:t>th</w:t>
            </w:r>
            <w:r w:rsidRPr="00A3054E">
              <w:rPr>
                <w:rFonts w:ascii="Arial" w:hAnsi="Arial" w:cs="Arial"/>
                <w:sz w:val="20"/>
                <w:szCs w:val="20"/>
              </w:rPr>
              <w:t xml:space="preserve"> percentile of changes in inequality (decline)</w:t>
            </w:r>
          </w:p>
        </w:tc>
        <w:tc>
          <w:tcPr>
            <w:tcW w:w="2515" w:type="dxa"/>
            <w:tcBorders>
              <w:bottom w:val="single" w:sz="4" w:space="0" w:color="auto"/>
            </w:tcBorders>
            <w:vAlign w:val="center"/>
          </w:tcPr>
          <w:p w14:paraId="57FBAC31"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-17% in Gini in 2050</w:t>
            </w:r>
          </w:p>
        </w:tc>
      </w:tr>
      <w:tr w:rsidR="00B66AA5" w:rsidRPr="00A3054E" w14:paraId="5D5219FC" w14:textId="77777777" w:rsidTr="000C4813">
        <w:tc>
          <w:tcPr>
            <w:tcW w:w="2695" w:type="dxa"/>
            <w:vMerge w:val="restart"/>
            <w:tcBorders>
              <w:top w:val="single" w:sz="4" w:space="0" w:color="auto"/>
            </w:tcBorders>
            <w:vAlign w:val="center"/>
          </w:tcPr>
          <w:p w14:paraId="26400EC9"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Passthrough rate of GDP growth to consumption</w:t>
            </w:r>
          </w:p>
        </w:tc>
        <w:tc>
          <w:tcPr>
            <w:tcW w:w="1080" w:type="dxa"/>
            <w:tcBorders>
              <w:top w:val="single" w:sz="4" w:space="0" w:color="auto"/>
            </w:tcBorders>
            <w:vAlign w:val="center"/>
          </w:tcPr>
          <w:p w14:paraId="0283F623"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High</w:t>
            </w:r>
          </w:p>
        </w:tc>
        <w:tc>
          <w:tcPr>
            <w:tcW w:w="3060" w:type="dxa"/>
            <w:tcBorders>
              <w:top w:val="single" w:sz="4" w:space="0" w:color="auto"/>
            </w:tcBorders>
            <w:vAlign w:val="center"/>
          </w:tcPr>
          <w:p w14:paraId="1B864A46"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Less growth passes through to consumption</w:t>
            </w:r>
          </w:p>
        </w:tc>
        <w:tc>
          <w:tcPr>
            <w:tcW w:w="2515" w:type="dxa"/>
            <w:tcBorders>
              <w:top w:val="single" w:sz="4" w:space="0" w:color="auto"/>
            </w:tcBorders>
            <w:vAlign w:val="center"/>
          </w:tcPr>
          <w:p w14:paraId="09DC23B2"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0.4</w:t>
            </w:r>
            <w:r>
              <w:rPr>
                <w:rFonts w:ascii="Arial" w:hAnsi="Arial" w:cs="Arial"/>
                <w:sz w:val="20"/>
                <w:szCs w:val="20"/>
              </w:rPr>
              <w:t>4</w:t>
            </w:r>
            <w:r w:rsidRPr="00A3054E">
              <w:rPr>
                <w:rFonts w:ascii="Arial" w:hAnsi="Arial" w:cs="Arial"/>
                <w:sz w:val="20"/>
                <w:szCs w:val="20"/>
              </w:rPr>
              <w:t>% increase in consumption for 1% growth</w:t>
            </w:r>
            <w:r>
              <w:rPr>
                <w:rFonts w:ascii="Arial" w:hAnsi="Arial" w:cs="Arial"/>
                <w:sz w:val="20"/>
                <w:szCs w:val="20"/>
              </w:rPr>
              <w:t xml:space="preserve"> in GDP</w:t>
            </w:r>
          </w:p>
        </w:tc>
      </w:tr>
      <w:tr w:rsidR="00B66AA5" w:rsidRPr="00A3054E" w14:paraId="28FFBFC7" w14:textId="77777777" w:rsidTr="000C4813">
        <w:tc>
          <w:tcPr>
            <w:tcW w:w="2695" w:type="dxa"/>
            <w:vMerge/>
            <w:vAlign w:val="center"/>
          </w:tcPr>
          <w:p w14:paraId="31BBCCD6" w14:textId="77777777" w:rsidR="00B66AA5" w:rsidRPr="00A3054E" w:rsidRDefault="00B66AA5" w:rsidP="000C4813">
            <w:pPr>
              <w:jc w:val="both"/>
              <w:rPr>
                <w:rFonts w:ascii="Arial" w:hAnsi="Arial" w:cs="Arial"/>
                <w:sz w:val="20"/>
                <w:szCs w:val="20"/>
              </w:rPr>
            </w:pPr>
          </w:p>
        </w:tc>
        <w:tc>
          <w:tcPr>
            <w:tcW w:w="1080" w:type="dxa"/>
            <w:vAlign w:val="center"/>
          </w:tcPr>
          <w:p w14:paraId="0CAE03FD"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Baseline</w:t>
            </w:r>
          </w:p>
        </w:tc>
        <w:tc>
          <w:tcPr>
            <w:tcW w:w="3060" w:type="dxa"/>
            <w:vAlign w:val="center"/>
          </w:tcPr>
          <w:p w14:paraId="0ADBB703"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Country-specific estimate of passthrough rate</w:t>
            </w:r>
          </w:p>
        </w:tc>
        <w:tc>
          <w:tcPr>
            <w:tcW w:w="2515" w:type="dxa"/>
            <w:vAlign w:val="center"/>
          </w:tcPr>
          <w:p w14:paraId="2A08A71D"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On average, 0.7% increase in consumption for 1% growth</w:t>
            </w:r>
            <w:r>
              <w:rPr>
                <w:rFonts w:ascii="Arial" w:hAnsi="Arial" w:cs="Arial"/>
                <w:sz w:val="20"/>
                <w:szCs w:val="20"/>
              </w:rPr>
              <w:t xml:space="preserve"> in GDP</w:t>
            </w:r>
          </w:p>
        </w:tc>
      </w:tr>
      <w:tr w:rsidR="00B66AA5" w:rsidRPr="00A3054E" w14:paraId="36D1FE9E" w14:textId="77777777" w:rsidTr="000C4813">
        <w:tc>
          <w:tcPr>
            <w:tcW w:w="2695" w:type="dxa"/>
            <w:vMerge/>
            <w:tcBorders>
              <w:bottom w:val="single" w:sz="4" w:space="0" w:color="auto"/>
            </w:tcBorders>
            <w:vAlign w:val="center"/>
          </w:tcPr>
          <w:p w14:paraId="766D10A1" w14:textId="77777777" w:rsidR="00B66AA5" w:rsidRPr="00A3054E" w:rsidRDefault="00B66AA5" w:rsidP="000C4813">
            <w:pPr>
              <w:jc w:val="both"/>
              <w:rPr>
                <w:rFonts w:ascii="Arial" w:hAnsi="Arial" w:cs="Arial"/>
                <w:sz w:val="20"/>
                <w:szCs w:val="20"/>
              </w:rPr>
            </w:pPr>
          </w:p>
        </w:tc>
        <w:tc>
          <w:tcPr>
            <w:tcW w:w="1080" w:type="dxa"/>
            <w:tcBorders>
              <w:bottom w:val="single" w:sz="4" w:space="0" w:color="auto"/>
            </w:tcBorders>
            <w:vAlign w:val="center"/>
          </w:tcPr>
          <w:p w14:paraId="5123DA70"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Low</w:t>
            </w:r>
          </w:p>
        </w:tc>
        <w:tc>
          <w:tcPr>
            <w:tcW w:w="3060" w:type="dxa"/>
            <w:tcBorders>
              <w:bottom w:val="single" w:sz="4" w:space="0" w:color="auto"/>
            </w:tcBorders>
            <w:vAlign w:val="center"/>
          </w:tcPr>
          <w:p w14:paraId="677FCE88"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More growth passes through to consumption</w:t>
            </w:r>
          </w:p>
        </w:tc>
        <w:tc>
          <w:tcPr>
            <w:tcW w:w="2515" w:type="dxa"/>
            <w:tcBorders>
              <w:bottom w:val="single" w:sz="4" w:space="0" w:color="auto"/>
            </w:tcBorders>
            <w:vAlign w:val="center"/>
          </w:tcPr>
          <w:p w14:paraId="2D231B10" w14:textId="77777777" w:rsidR="00B66AA5" w:rsidRPr="00A3054E" w:rsidRDefault="00B66AA5" w:rsidP="000C4813">
            <w:pPr>
              <w:jc w:val="both"/>
              <w:rPr>
                <w:rFonts w:ascii="Arial" w:hAnsi="Arial" w:cs="Arial"/>
                <w:sz w:val="20"/>
                <w:szCs w:val="20"/>
              </w:rPr>
            </w:pPr>
            <w:r>
              <w:rPr>
                <w:rFonts w:ascii="Arial" w:hAnsi="Arial" w:cs="Arial"/>
                <w:sz w:val="20"/>
                <w:szCs w:val="20"/>
              </w:rPr>
              <w:t>0.98</w:t>
            </w:r>
            <w:r w:rsidRPr="00A3054E">
              <w:rPr>
                <w:rFonts w:ascii="Arial" w:hAnsi="Arial" w:cs="Arial"/>
                <w:sz w:val="20"/>
                <w:szCs w:val="20"/>
              </w:rPr>
              <w:t>% increase in consumption for 1% growth</w:t>
            </w:r>
            <w:r>
              <w:rPr>
                <w:rFonts w:ascii="Arial" w:hAnsi="Arial" w:cs="Arial"/>
                <w:sz w:val="20"/>
                <w:szCs w:val="20"/>
              </w:rPr>
              <w:t xml:space="preserve"> in GDP</w:t>
            </w:r>
          </w:p>
        </w:tc>
      </w:tr>
      <w:tr w:rsidR="00B66AA5" w:rsidRPr="00A3054E" w14:paraId="37A1FB60" w14:textId="77777777" w:rsidTr="000C4813">
        <w:tc>
          <w:tcPr>
            <w:tcW w:w="2695" w:type="dxa"/>
            <w:vMerge w:val="restart"/>
            <w:tcBorders>
              <w:top w:val="single" w:sz="4" w:space="0" w:color="auto"/>
            </w:tcBorders>
            <w:vAlign w:val="center"/>
          </w:tcPr>
          <w:p w14:paraId="3121CA04"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 xml:space="preserve">Energy consumption per GDP </w:t>
            </w:r>
          </w:p>
        </w:tc>
        <w:tc>
          <w:tcPr>
            <w:tcW w:w="1080" w:type="dxa"/>
            <w:tcBorders>
              <w:top w:val="single" w:sz="4" w:space="0" w:color="auto"/>
            </w:tcBorders>
            <w:vAlign w:val="center"/>
          </w:tcPr>
          <w:p w14:paraId="784FD464"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High</w:t>
            </w:r>
          </w:p>
        </w:tc>
        <w:tc>
          <w:tcPr>
            <w:tcW w:w="3060" w:type="dxa"/>
            <w:tcBorders>
              <w:top w:val="single" w:sz="4" w:space="0" w:color="auto"/>
            </w:tcBorders>
            <w:vAlign w:val="center"/>
          </w:tcPr>
          <w:p w14:paraId="2993F179"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90</w:t>
            </w:r>
            <w:r w:rsidRPr="00A3054E">
              <w:rPr>
                <w:rFonts w:ascii="Arial" w:hAnsi="Arial" w:cs="Arial"/>
                <w:sz w:val="20"/>
                <w:szCs w:val="20"/>
                <w:vertAlign w:val="superscript"/>
              </w:rPr>
              <w:t>th</w:t>
            </w:r>
            <w:r w:rsidRPr="00A3054E">
              <w:rPr>
                <w:rFonts w:ascii="Arial" w:hAnsi="Arial" w:cs="Arial"/>
                <w:sz w:val="20"/>
                <w:szCs w:val="20"/>
              </w:rPr>
              <w:t xml:space="preserve"> percentile of annual improvements in energy efficiency </w:t>
            </w:r>
          </w:p>
        </w:tc>
        <w:tc>
          <w:tcPr>
            <w:tcW w:w="2515" w:type="dxa"/>
            <w:tcBorders>
              <w:top w:val="single" w:sz="4" w:space="0" w:color="auto"/>
            </w:tcBorders>
            <w:vAlign w:val="center"/>
          </w:tcPr>
          <w:p w14:paraId="2BA36D39"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Deteriorations in energy efficiency of 2.</w:t>
            </w:r>
            <w:r>
              <w:rPr>
                <w:rFonts w:ascii="Arial" w:hAnsi="Arial" w:cs="Arial"/>
                <w:sz w:val="20"/>
                <w:szCs w:val="20"/>
              </w:rPr>
              <w:t>1</w:t>
            </w:r>
            <w:r w:rsidRPr="00A3054E">
              <w:rPr>
                <w:rFonts w:ascii="Arial" w:hAnsi="Arial" w:cs="Arial"/>
                <w:sz w:val="20"/>
                <w:szCs w:val="20"/>
              </w:rPr>
              <w:t>% per year</w:t>
            </w:r>
          </w:p>
        </w:tc>
      </w:tr>
      <w:tr w:rsidR="00B66AA5" w:rsidRPr="00A3054E" w14:paraId="0218EB55" w14:textId="77777777" w:rsidTr="000C4813">
        <w:tc>
          <w:tcPr>
            <w:tcW w:w="2695" w:type="dxa"/>
            <w:vMerge/>
            <w:vAlign w:val="center"/>
          </w:tcPr>
          <w:p w14:paraId="5C355948" w14:textId="77777777" w:rsidR="00B66AA5" w:rsidRPr="00A3054E" w:rsidRDefault="00B66AA5" w:rsidP="000C4813">
            <w:pPr>
              <w:jc w:val="both"/>
              <w:rPr>
                <w:rFonts w:ascii="Arial" w:hAnsi="Arial" w:cs="Arial"/>
                <w:sz w:val="20"/>
                <w:szCs w:val="20"/>
              </w:rPr>
            </w:pPr>
          </w:p>
        </w:tc>
        <w:tc>
          <w:tcPr>
            <w:tcW w:w="1080" w:type="dxa"/>
            <w:vAlign w:val="center"/>
          </w:tcPr>
          <w:p w14:paraId="05AEFCF8"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Baseline</w:t>
            </w:r>
          </w:p>
        </w:tc>
        <w:tc>
          <w:tcPr>
            <w:tcW w:w="3060" w:type="dxa"/>
            <w:vAlign w:val="center"/>
          </w:tcPr>
          <w:p w14:paraId="252B7975"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Country-specific estimate of annual improvements in energy efficiency</w:t>
            </w:r>
          </w:p>
        </w:tc>
        <w:tc>
          <w:tcPr>
            <w:tcW w:w="2515" w:type="dxa"/>
            <w:vAlign w:val="center"/>
          </w:tcPr>
          <w:p w14:paraId="0FDF3C4C"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On average, improvement in energy efficiency of 0.9% per year</w:t>
            </w:r>
          </w:p>
        </w:tc>
      </w:tr>
      <w:tr w:rsidR="00B66AA5" w:rsidRPr="00A3054E" w14:paraId="5E801483" w14:textId="77777777" w:rsidTr="000C4813">
        <w:tc>
          <w:tcPr>
            <w:tcW w:w="2695" w:type="dxa"/>
            <w:vMerge/>
            <w:tcBorders>
              <w:bottom w:val="single" w:sz="4" w:space="0" w:color="auto"/>
            </w:tcBorders>
            <w:vAlign w:val="center"/>
          </w:tcPr>
          <w:p w14:paraId="1108C671" w14:textId="77777777" w:rsidR="00B66AA5" w:rsidRPr="00A3054E" w:rsidRDefault="00B66AA5" w:rsidP="000C4813">
            <w:pPr>
              <w:jc w:val="both"/>
              <w:rPr>
                <w:rFonts w:ascii="Arial" w:hAnsi="Arial" w:cs="Arial"/>
                <w:sz w:val="20"/>
                <w:szCs w:val="20"/>
              </w:rPr>
            </w:pPr>
          </w:p>
        </w:tc>
        <w:tc>
          <w:tcPr>
            <w:tcW w:w="1080" w:type="dxa"/>
            <w:tcBorders>
              <w:bottom w:val="single" w:sz="4" w:space="0" w:color="auto"/>
            </w:tcBorders>
            <w:vAlign w:val="center"/>
          </w:tcPr>
          <w:p w14:paraId="18B19720"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Low</w:t>
            </w:r>
          </w:p>
        </w:tc>
        <w:tc>
          <w:tcPr>
            <w:tcW w:w="3060" w:type="dxa"/>
            <w:tcBorders>
              <w:bottom w:val="single" w:sz="4" w:space="0" w:color="auto"/>
            </w:tcBorders>
            <w:vAlign w:val="center"/>
          </w:tcPr>
          <w:p w14:paraId="6FFF6856"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10</w:t>
            </w:r>
            <w:r w:rsidRPr="00A3054E">
              <w:rPr>
                <w:rFonts w:ascii="Arial" w:hAnsi="Arial" w:cs="Arial"/>
                <w:sz w:val="20"/>
                <w:szCs w:val="20"/>
                <w:vertAlign w:val="superscript"/>
              </w:rPr>
              <w:t>th</w:t>
            </w:r>
            <w:r w:rsidRPr="00A3054E">
              <w:rPr>
                <w:rFonts w:ascii="Arial" w:hAnsi="Arial" w:cs="Arial"/>
                <w:sz w:val="20"/>
                <w:szCs w:val="20"/>
              </w:rPr>
              <w:t xml:space="preserve"> percentile of annual improvements in energy efficiency </w:t>
            </w:r>
          </w:p>
        </w:tc>
        <w:tc>
          <w:tcPr>
            <w:tcW w:w="2515" w:type="dxa"/>
            <w:tcBorders>
              <w:bottom w:val="single" w:sz="4" w:space="0" w:color="auto"/>
            </w:tcBorders>
            <w:vAlign w:val="center"/>
          </w:tcPr>
          <w:p w14:paraId="3452908C"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 xml:space="preserve">Improvement in energy efficiency of 3.2% per year </w:t>
            </w:r>
          </w:p>
        </w:tc>
      </w:tr>
      <w:tr w:rsidR="00B66AA5" w:rsidRPr="00A3054E" w14:paraId="319C38B1" w14:textId="77777777" w:rsidTr="000C4813">
        <w:tc>
          <w:tcPr>
            <w:tcW w:w="2695" w:type="dxa"/>
            <w:vMerge w:val="restart"/>
            <w:tcBorders>
              <w:top w:val="single" w:sz="4" w:space="0" w:color="auto"/>
            </w:tcBorders>
            <w:vAlign w:val="center"/>
          </w:tcPr>
          <w:p w14:paraId="729FD4A1"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GHG emissions of energy consumption</w:t>
            </w:r>
          </w:p>
        </w:tc>
        <w:tc>
          <w:tcPr>
            <w:tcW w:w="1080" w:type="dxa"/>
            <w:tcBorders>
              <w:top w:val="single" w:sz="4" w:space="0" w:color="auto"/>
            </w:tcBorders>
            <w:vAlign w:val="center"/>
          </w:tcPr>
          <w:p w14:paraId="78AD2C08"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 xml:space="preserve">High </w:t>
            </w:r>
          </w:p>
        </w:tc>
        <w:tc>
          <w:tcPr>
            <w:tcW w:w="3060" w:type="dxa"/>
            <w:tcBorders>
              <w:top w:val="single" w:sz="4" w:space="0" w:color="auto"/>
            </w:tcBorders>
            <w:vAlign w:val="center"/>
          </w:tcPr>
          <w:p w14:paraId="267F1F60"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90</w:t>
            </w:r>
            <w:r w:rsidRPr="00A3054E">
              <w:rPr>
                <w:rFonts w:ascii="Arial" w:hAnsi="Arial" w:cs="Arial"/>
                <w:sz w:val="20"/>
                <w:szCs w:val="20"/>
                <w:vertAlign w:val="superscript"/>
              </w:rPr>
              <w:t>th</w:t>
            </w:r>
            <w:r w:rsidRPr="00A3054E">
              <w:rPr>
                <w:rFonts w:ascii="Arial" w:hAnsi="Arial" w:cs="Arial"/>
                <w:sz w:val="20"/>
                <w:szCs w:val="20"/>
              </w:rPr>
              <w:t xml:space="preserve"> percentile of annual improvement in GHG emissions of energy consumption (increase)</w:t>
            </w:r>
          </w:p>
        </w:tc>
        <w:tc>
          <w:tcPr>
            <w:tcW w:w="2515" w:type="dxa"/>
            <w:tcBorders>
              <w:top w:val="single" w:sz="4" w:space="0" w:color="auto"/>
            </w:tcBorders>
            <w:vAlign w:val="center"/>
          </w:tcPr>
          <w:p w14:paraId="75E37213"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Increase in carbon intensity of energy of 2.5% per year</w:t>
            </w:r>
          </w:p>
        </w:tc>
      </w:tr>
      <w:tr w:rsidR="00B66AA5" w:rsidRPr="00A3054E" w14:paraId="34219502" w14:textId="77777777" w:rsidTr="000C4813">
        <w:tc>
          <w:tcPr>
            <w:tcW w:w="2695" w:type="dxa"/>
            <w:vMerge/>
            <w:vAlign w:val="center"/>
          </w:tcPr>
          <w:p w14:paraId="5137A675" w14:textId="77777777" w:rsidR="00B66AA5" w:rsidRPr="00A3054E" w:rsidRDefault="00B66AA5" w:rsidP="000C4813">
            <w:pPr>
              <w:jc w:val="both"/>
              <w:rPr>
                <w:rFonts w:ascii="Arial" w:hAnsi="Arial" w:cs="Arial"/>
                <w:sz w:val="20"/>
                <w:szCs w:val="20"/>
              </w:rPr>
            </w:pPr>
          </w:p>
        </w:tc>
        <w:tc>
          <w:tcPr>
            <w:tcW w:w="1080" w:type="dxa"/>
            <w:vAlign w:val="center"/>
          </w:tcPr>
          <w:p w14:paraId="5EF9AD45"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Baseline</w:t>
            </w:r>
          </w:p>
        </w:tc>
        <w:tc>
          <w:tcPr>
            <w:tcW w:w="3060" w:type="dxa"/>
            <w:vAlign w:val="center"/>
          </w:tcPr>
          <w:p w14:paraId="2B7916F2"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Country-specific estimate of annual improvement in energy intensity of GDP</w:t>
            </w:r>
          </w:p>
        </w:tc>
        <w:tc>
          <w:tcPr>
            <w:tcW w:w="2515" w:type="dxa"/>
            <w:vAlign w:val="center"/>
          </w:tcPr>
          <w:p w14:paraId="5F720473"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 xml:space="preserve">On average, </w:t>
            </w:r>
            <w:r>
              <w:rPr>
                <w:rFonts w:ascii="Arial" w:hAnsi="Arial" w:cs="Arial"/>
                <w:sz w:val="20"/>
                <w:szCs w:val="20"/>
              </w:rPr>
              <w:t>no change in c</w:t>
            </w:r>
            <w:r w:rsidRPr="00A3054E">
              <w:rPr>
                <w:rFonts w:ascii="Arial" w:hAnsi="Arial" w:cs="Arial"/>
                <w:sz w:val="20"/>
                <w:szCs w:val="20"/>
              </w:rPr>
              <w:t>arbon intensity of energy of 0.1% per year</w:t>
            </w:r>
          </w:p>
        </w:tc>
      </w:tr>
      <w:tr w:rsidR="00B66AA5" w:rsidRPr="00A3054E" w14:paraId="65941E0E" w14:textId="77777777" w:rsidTr="000C4813">
        <w:tc>
          <w:tcPr>
            <w:tcW w:w="2695" w:type="dxa"/>
            <w:vMerge/>
            <w:tcBorders>
              <w:bottom w:val="single" w:sz="4" w:space="0" w:color="auto"/>
            </w:tcBorders>
            <w:vAlign w:val="center"/>
          </w:tcPr>
          <w:p w14:paraId="075E306B" w14:textId="77777777" w:rsidR="00B66AA5" w:rsidRPr="00A3054E" w:rsidRDefault="00B66AA5" w:rsidP="000C4813">
            <w:pPr>
              <w:jc w:val="both"/>
              <w:rPr>
                <w:rFonts w:ascii="Arial" w:hAnsi="Arial" w:cs="Arial"/>
                <w:sz w:val="20"/>
                <w:szCs w:val="20"/>
              </w:rPr>
            </w:pPr>
          </w:p>
        </w:tc>
        <w:tc>
          <w:tcPr>
            <w:tcW w:w="1080" w:type="dxa"/>
            <w:tcBorders>
              <w:bottom w:val="single" w:sz="4" w:space="0" w:color="auto"/>
            </w:tcBorders>
            <w:vAlign w:val="center"/>
          </w:tcPr>
          <w:p w14:paraId="43741F4F"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Low</w:t>
            </w:r>
          </w:p>
        </w:tc>
        <w:tc>
          <w:tcPr>
            <w:tcW w:w="3060" w:type="dxa"/>
            <w:tcBorders>
              <w:bottom w:val="single" w:sz="4" w:space="0" w:color="auto"/>
            </w:tcBorders>
            <w:vAlign w:val="center"/>
          </w:tcPr>
          <w:p w14:paraId="58E1FA81"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10</w:t>
            </w:r>
            <w:r w:rsidRPr="00A3054E">
              <w:rPr>
                <w:rFonts w:ascii="Arial" w:hAnsi="Arial" w:cs="Arial"/>
                <w:sz w:val="20"/>
                <w:szCs w:val="20"/>
                <w:vertAlign w:val="superscript"/>
              </w:rPr>
              <w:t>th</w:t>
            </w:r>
            <w:r w:rsidRPr="00A3054E">
              <w:rPr>
                <w:rFonts w:ascii="Arial" w:hAnsi="Arial" w:cs="Arial"/>
                <w:sz w:val="20"/>
                <w:szCs w:val="20"/>
              </w:rPr>
              <w:t xml:space="preserve"> percentile of annual improvement in energy intensity of GDP (decarbonization)</w:t>
            </w:r>
          </w:p>
        </w:tc>
        <w:tc>
          <w:tcPr>
            <w:tcW w:w="2515" w:type="dxa"/>
            <w:tcBorders>
              <w:bottom w:val="single" w:sz="4" w:space="0" w:color="auto"/>
            </w:tcBorders>
            <w:vAlign w:val="center"/>
          </w:tcPr>
          <w:p w14:paraId="70541AC6"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Reduction in carbon intensity of energy of 2.2% per year</w:t>
            </w:r>
          </w:p>
        </w:tc>
      </w:tr>
      <w:tr w:rsidR="00B66AA5" w:rsidRPr="00A3054E" w14:paraId="6C211217" w14:textId="77777777" w:rsidTr="000C4813">
        <w:tc>
          <w:tcPr>
            <w:tcW w:w="2695" w:type="dxa"/>
            <w:vMerge w:val="restart"/>
            <w:tcBorders>
              <w:top w:val="single" w:sz="4" w:space="0" w:color="auto"/>
            </w:tcBorders>
            <w:vAlign w:val="center"/>
          </w:tcPr>
          <w:p w14:paraId="7E51F04D"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Population growth</w:t>
            </w:r>
          </w:p>
        </w:tc>
        <w:tc>
          <w:tcPr>
            <w:tcW w:w="1080" w:type="dxa"/>
            <w:tcBorders>
              <w:top w:val="single" w:sz="4" w:space="0" w:color="auto"/>
            </w:tcBorders>
            <w:vAlign w:val="center"/>
          </w:tcPr>
          <w:p w14:paraId="287CA56C"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 xml:space="preserve">High </w:t>
            </w:r>
          </w:p>
        </w:tc>
        <w:tc>
          <w:tcPr>
            <w:tcW w:w="3060" w:type="dxa"/>
            <w:tcBorders>
              <w:top w:val="single" w:sz="4" w:space="0" w:color="auto"/>
            </w:tcBorders>
            <w:vAlign w:val="center"/>
          </w:tcPr>
          <w:p w14:paraId="50E2E5FE"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High variant of UN’s population projections</w:t>
            </w:r>
          </w:p>
        </w:tc>
        <w:tc>
          <w:tcPr>
            <w:tcW w:w="2515" w:type="dxa"/>
            <w:tcBorders>
              <w:top w:val="single" w:sz="4" w:space="0" w:color="auto"/>
            </w:tcBorders>
            <w:vAlign w:val="center"/>
          </w:tcPr>
          <w:p w14:paraId="2B9E1F3C"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Country-specific growth rate</w:t>
            </w:r>
          </w:p>
        </w:tc>
      </w:tr>
      <w:tr w:rsidR="00B66AA5" w:rsidRPr="00A3054E" w14:paraId="07D186A7" w14:textId="77777777" w:rsidTr="000C4813">
        <w:tc>
          <w:tcPr>
            <w:tcW w:w="2695" w:type="dxa"/>
            <w:vMerge/>
            <w:vAlign w:val="center"/>
          </w:tcPr>
          <w:p w14:paraId="4BBFFFA1" w14:textId="77777777" w:rsidR="00B66AA5" w:rsidRPr="00A3054E" w:rsidRDefault="00B66AA5" w:rsidP="000C4813">
            <w:pPr>
              <w:jc w:val="both"/>
              <w:rPr>
                <w:rFonts w:ascii="Arial" w:hAnsi="Arial" w:cs="Arial"/>
                <w:sz w:val="20"/>
                <w:szCs w:val="20"/>
              </w:rPr>
            </w:pPr>
          </w:p>
        </w:tc>
        <w:tc>
          <w:tcPr>
            <w:tcW w:w="1080" w:type="dxa"/>
            <w:vAlign w:val="center"/>
          </w:tcPr>
          <w:p w14:paraId="1FBEA652"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Baseline</w:t>
            </w:r>
          </w:p>
        </w:tc>
        <w:tc>
          <w:tcPr>
            <w:tcW w:w="3060" w:type="dxa"/>
            <w:vAlign w:val="center"/>
          </w:tcPr>
          <w:p w14:paraId="6FFF61AA"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Medium variant of UN’s population projections</w:t>
            </w:r>
          </w:p>
        </w:tc>
        <w:tc>
          <w:tcPr>
            <w:tcW w:w="2515" w:type="dxa"/>
            <w:vAlign w:val="center"/>
          </w:tcPr>
          <w:p w14:paraId="3352BAB5"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Country-specific growth rate</w:t>
            </w:r>
          </w:p>
        </w:tc>
      </w:tr>
      <w:tr w:rsidR="00B66AA5" w:rsidRPr="00A3054E" w14:paraId="4BD090E6" w14:textId="77777777" w:rsidTr="000C4813">
        <w:tc>
          <w:tcPr>
            <w:tcW w:w="2695" w:type="dxa"/>
            <w:vMerge/>
            <w:tcBorders>
              <w:bottom w:val="single" w:sz="4" w:space="0" w:color="auto"/>
            </w:tcBorders>
            <w:vAlign w:val="center"/>
          </w:tcPr>
          <w:p w14:paraId="0C27606E" w14:textId="77777777" w:rsidR="00B66AA5" w:rsidRPr="00A3054E" w:rsidRDefault="00B66AA5" w:rsidP="000C4813">
            <w:pPr>
              <w:jc w:val="both"/>
              <w:rPr>
                <w:rFonts w:ascii="Arial" w:hAnsi="Arial" w:cs="Arial"/>
                <w:sz w:val="20"/>
                <w:szCs w:val="20"/>
              </w:rPr>
            </w:pPr>
          </w:p>
        </w:tc>
        <w:tc>
          <w:tcPr>
            <w:tcW w:w="1080" w:type="dxa"/>
            <w:tcBorders>
              <w:bottom w:val="single" w:sz="4" w:space="0" w:color="auto"/>
            </w:tcBorders>
            <w:vAlign w:val="center"/>
          </w:tcPr>
          <w:p w14:paraId="5DAB126F"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Low</w:t>
            </w:r>
          </w:p>
        </w:tc>
        <w:tc>
          <w:tcPr>
            <w:tcW w:w="3060" w:type="dxa"/>
            <w:tcBorders>
              <w:bottom w:val="single" w:sz="4" w:space="0" w:color="auto"/>
            </w:tcBorders>
            <w:vAlign w:val="center"/>
          </w:tcPr>
          <w:p w14:paraId="06EF0831"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Low variant of UN’s population projections</w:t>
            </w:r>
          </w:p>
        </w:tc>
        <w:tc>
          <w:tcPr>
            <w:tcW w:w="2515" w:type="dxa"/>
            <w:tcBorders>
              <w:bottom w:val="single" w:sz="4" w:space="0" w:color="auto"/>
            </w:tcBorders>
            <w:vAlign w:val="center"/>
          </w:tcPr>
          <w:p w14:paraId="1B19E771" w14:textId="77777777" w:rsidR="00B66AA5" w:rsidRPr="00A3054E" w:rsidRDefault="00B66AA5" w:rsidP="000C4813">
            <w:pPr>
              <w:jc w:val="both"/>
              <w:rPr>
                <w:rFonts w:ascii="Arial" w:hAnsi="Arial" w:cs="Arial"/>
                <w:sz w:val="20"/>
                <w:szCs w:val="20"/>
              </w:rPr>
            </w:pPr>
            <w:r w:rsidRPr="00A3054E">
              <w:rPr>
                <w:rFonts w:ascii="Arial" w:hAnsi="Arial" w:cs="Arial"/>
                <w:sz w:val="20"/>
                <w:szCs w:val="20"/>
              </w:rPr>
              <w:t>Country-specific growth rate</w:t>
            </w:r>
          </w:p>
        </w:tc>
      </w:tr>
    </w:tbl>
    <w:p w14:paraId="1B539FE6" w14:textId="77777777" w:rsidR="00B66AA5" w:rsidRDefault="00B66AA5" w:rsidP="00B66AA5">
      <w:pPr>
        <w:rPr>
          <w:rFonts w:ascii="Arial" w:hAnsi="Arial" w:cs="Arial"/>
          <w:b/>
          <w:bCs/>
        </w:rPr>
      </w:pPr>
    </w:p>
    <w:p w14:paraId="7229F3F2" w14:textId="77777777" w:rsidR="00B66AA5" w:rsidRPr="005C0FF9" w:rsidRDefault="00B66AA5" w:rsidP="00B66AA5">
      <w:pPr>
        <w:rPr>
          <w:rFonts w:ascii="Arial" w:hAnsi="Arial" w:cs="Arial"/>
          <w:b/>
        </w:rPr>
      </w:pPr>
    </w:p>
    <w:p w14:paraId="212ACD5C" w14:textId="77777777" w:rsidR="00D87B75" w:rsidRPr="00B66AA5" w:rsidRDefault="00D87B75" w:rsidP="00B66AA5"/>
    <w:sectPr w:rsidR="00D87B75" w:rsidRPr="00B66AA5" w:rsidSect="00B66A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B02FE" w14:textId="77777777" w:rsidR="004B25DE" w:rsidRDefault="004B25DE">
      <w:pPr>
        <w:spacing w:after="0" w:line="240" w:lineRule="auto"/>
      </w:pPr>
      <w:r>
        <w:separator/>
      </w:r>
    </w:p>
  </w:endnote>
  <w:endnote w:type="continuationSeparator" w:id="0">
    <w:p w14:paraId="3727ACD3" w14:textId="77777777" w:rsidR="004B25DE" w:rsidRDefault="004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AFA7D" w14:textId="77777777" w:rsidR="004B25DE" w:rsidRDefault="004B25DE">
      <w:pPr>
        <w:spacing w:after="0" w:line="240" w:lineRule="auto"/>
      </w:pPr>
      <w:r>
        <w:separator/>
      </w:r>
    </w:p>
  </w:footnote>
  <w:footnote w:type="continuationSeparator" w:id="0">
    <w:p w14:paraId="4054C6A9" w14:textId="77777777" w:rsidR="004B25DE" w:rsidRDefault="004B25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4248"/>
    <w:multiLevelType w:val="hybridMultilevel"/>
    <w:tmpl w:val="42C4BC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BC3F4E"/>
    <w:multiLevelType w:val="hybridMultilevel"/>
    <w:tmpl w:val="363E79A6"/>
    <w:lvl w:ilvl="0" w:tplc="4642DBE2">
      <w:start w:val="1"/>
      <w:numFmt w:val="upp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A343B2"/>
    <w:multiLevelType w:val="hybridMultilevel"/>
    <w:tmpl w:val="50264792"/>
    <w:lvl w:ilvl="0" w:tplc="00BEE4D6">
      <w:start w:val="1"/>
      <w:numFmt w:val="upperLetter"/>
      <w:lvlText w:val="%1."/>
      <w:lvlJc w:val="left"/>
      <w:pPr>
        <w:ind w:left="360" w:hanging="360"/>
      </w:pPr>
      <w:rPr>
        <w:rFonts w:ascii="Arial" w:eastAsiaTheme="minorEastAsia"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A2B66BB"/>
    <w:multiLevelType w:val="hybridMultilevel"/>
    <w:tmpl w:val="E9A2A7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012AF5"/>
    <w:multiLevelType w:val="hybridMultilevel"/>
    <w:tmpl w:val="4CF004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E7453D"/>
    <w:multiLevelType w:val="hybridMultilevel"/>
    <w:tmpl w:val="4CF0041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44E"/>
    <w:rsid w:val="00440DC5"/>
    <w:rsid w:val="004B25DE"/>
    <w:rsid w:val="005C0C69"/>
    <w:rsid w:val="0084344E"/>
    <w:rsid w:val="00951051"/>
    <w:rsid w:val="00A52E99"/>
    <w:rsid w:val="00B66AA5"/>
    <w:rsid w:val="00C279CA"/>
    <w:rsid w:val="00CD5416"/>
    <w:rsid w:val="00D8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29A"/>
  <w15:chartTrackingRefBased/>
  <w15:docId w15:val="{E5603770-49B9-4A7C-B93E-AEC027A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A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3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344E"/>
    <w:pPr>
      <w:ind w:left="720"/>
      <w:contextualSpacing/>
    </w:pPr>
  </w:style>
  <w:style w:type="paragraph" w:styleId="Caption">
    <w:name w:val="caption"/>
    <w:basedOn w:val="Normal"/>
    <w:next w:val="Normal"/>
    <w:uiPriority w:val="35"/>
    <w:unhideWhenUsed/>
    <w:qFormat/>
    <w:rsid w:val="0084344E"/>
    <w:pPr>
      <w:spacing w:after="200" w:line="240" w:lineRule="auto"/>
    </w:pPr>
    <w:rPr>
      <w:i/>
      <w:iCs/>
      <w:color w:val="44546A" w:themeColor="text2"/>
      <w:sz w:val="18"/>
      <w:szCs w:val="18"/>
    </w:rPr>
  </w:style>
  <w:style w:type="character" w:styleId="Hyperlink">
    <w:name w:val="Hyperlink"/>
    <w:basedOn w:val="DefaultParagraphFont"/>
    <w:uiPriority w:val="99"/>
    <w:unhideWhenUsed/>
    <w:rsid w:val="0084344E"/>
    <w:rPr>
      <w:color w:val="0563C1" w:themeColor="hyperlink"/>
      <w:u w:val="single"/>
    </w:rPr>
  </w:style>
  <w:style w:type="character" w:styleId="CommentReference">
    <w:name w:val="annotation reference"/>
    <w:basedOn w:val="DefaultParagraphFont"/>
    <w:uiPriority w:val="99"/>
    <w:semiHidden/>
    <w:unhideWhenUsed/>
    <w:rsid w:val="005C0C69"/>
    <w:rPr>
      <w:sz w:val="16"/>
      <w:szCs w:val="16"/>
    </w:rPr>
  </w:style>
  <w:style w:type="paragraph" w:styleId="CommentText">
    <w:name w:val="annotation text"/>
    <w:basedOn w:val="Normal"/>
    <w:link w:val="CommentTextChar"/>
    <w:uiPriority w:val="99"/>
    <w:semiHidden/>
    <w:unhideWhenUsed/>
    <w:rsid w:val="005C0C69"/>
    <w:pPr>
      <w:spacing w:line="240" w:lineRule="auto"/>
    </w:pPr>
    <w:rPr>
      <w:sz w:val="20"/>
      <w:szCs w:val="20"/>
    </w:rPr>
  </w:style>
  <w:style w:type="character" w:customStyle="1" w:styleId="CommentTextChar">
    <w:name w:val="Comment Text Char"/>
    <w:basedOn w:val="DefaultParagraphFont"/>
    <w:link w:val="CommentText"/>
    <w:uiPriority w:val="99"/>
    <w:semiHidden/>
    <w:rsid w:val="005C0C69"/>
    <w:rPr>
      <w:sz w:val="20"/>
      <w:szCs w:val="20"/>
    </w:rPr>
  </w:style>
  <w:style w:type="paragraph" w:styleId="CommentSubject">
    <w:name w:val="annotation subject"/>
    <w:basedOn w:val="CommentText"/>
    <w:next w:val="CommentText"/>
    <w:link w:val="CommentSubjectChar"/>
    <w:uiPriority w:val="99"/>
    <w:semiHidden/>
    <w:unhideWhenUsed/>
    <w:rsid w:val="005C0C69"/>
    <w:rPr>
      <w:b/>
      <w:bCs/>
    </w:rPr>
  </w:style>
  <w:style w:type="character" w:customStyle="1" w:styleId="CommentSubjectChar">
    <w:name w:val="Comment Subject Char"/>
    <w:basedOn w:val="CommentTextChar"/>
    <w:link w:val="CommentSubject"/>
    <w:uiPriority w:val="99"/>
    <w:semiHidden/>
    <w:rsid w:val="005C0C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3458</Words>
  <Characters>19713</Characters>
  <Application>Microsoft Office Word</Application>
  <DocSecurity>0</DocSecurity>
  <Lines>164</Lines>
  <Paragraphs>46</Paragraphs>
  <ScaleCrop>false</ScaleCrop>
  <Company/>
  <LinksUpToDate>false</LinksUpToDate>
  <CharactersWithSpaces>23125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Randolph Wollburg</dc:creator>
  <cp:keywords/>
  <dc:description/>
  <cp:lastModifiedBy>Daniel Gerszon Mahler</cp:lastModifiedBy>
  <cp:revision>3</cp:revision>
  <dcterms:created xsi:type="dcterms:W3CDTF">2023-02-08T13:51:00Z</dcterms:created>
  <dcterms:modified xsi:type="dcterms:W3CDTF">2023-02-09T19:32:00Z</dcterms:modified>
</cp:coreProperties>
</file>