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Times New Roman" w:hAnsi="Times New Roman" w:cs="Times New Roman"/>
          <w:b/>
          <w:bCs/>
          <w:sz w:val="30"/>
          <w:szCs w:val="30"/>
        </w:rPr>
      </w:pPr>
      <w:r>
        <w:rPr>
          <w:rFonts w:hint="eastAsia" w:ascii="Times New Roman" w:hAnsi="Times New Roman" w:cs="Times New Roman"/>
          <w:b/>
          <w:bCs/>
          <w:sz w:val="30"/>
          <w:szCs w:val="30"/>
        </w:rPr>
        <w:t>Supporting Information</w:t>
      </w:r>
    </w:p>
    <w:p>
      <w:pPr>
        <w:jc w:val="center"/>
        <w:rPr>
          <w:rFonts w:hint="default" w:ascii="Times New Roman" w:hAnsi="Times New Roman" w:cs="Times New Roman"/>
          <w:b/>
          <w:bCs/>
          <w:sz w:val="30"/>
          <w:szCs w:val="30"/>
        </w:rPr>
      </w:pPr>
      <w:r>
        <w:rPr>
          <w:rFonts w:hint="default" w:ascii="Times New Roman" w:hAnsi="Times New Roman" w:cs="Times New Roman"/>
          <w:b/>
          <w:bCs/>
          <w:sz w:val="30"/>
          <w:szCs w:val="30"/>
        </w:rPr>
        <w:t>The Binding Behaviors between Cyclopentanocucurbit[6]uril and Three Amino Acids in the Solid and the Solution Phases</w:t>
      </w:r>
    </w:p>
    <w:p>
      <w:pPr>
        <w:widowControl/>
        <w:spacing w:line="288" w:lineRule="auto"/>
        <w:rPr>
          <w:rFonts w:hint="eastAsia" w:ascii="Times New Roman" w:hAnsi="Times New Roman" w:eastAsia="宋体" w:cs="Times New Roman"/>
          <w:bCs/>
          <w:color w:val="auto"/>
          <w:sz w:val="24"/>
          <w:lang w:val="en-US" w:eastAsia="zh-CN"/>
        </w:rPr>
      </w:pPr>
      <w:r>
        <w:rPr>
          <w:rFonts w:ascii="Times New Roman" w:hAnsi="Times New Roman" w:eastAsia="宋体" w:cs="Times New Roman"/>
          <w:bCs/>
          <w:color w:val="auto"/>
          <w:sz w:val="24"/>
        </w:rPr>
        <w:t>Si Yuan Cheng</w:t>
      </w:r>
      <w:r>
        <w:rPr>
          <w:rFonts w:hint="eastAsia" w:ascii="Times New Roman" w:hAnsi="Times New Roman" w:cs="Times New Roman"/>
          <w:bCs/>
          <w:color w:val="auto"/>
          <w:sz w:val="24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bCs/>
          <w:color w:val="auto"/>
          <w:sz w:val="24"/>
          <w:vertAlign w:val="superscript"/>
          <w:lang w:val="en-US" w:eastAsia="zh-CN"/>
        </w:rPr>
        <w:t>a</w:t>
      </w:r>
      <w:r>
        <w:rPr>
          <w:rFonts w:ascii="Times New Roman" w:hAnsi="Times New Roman" w:eastAsia="宋体" w:cs="Times New Roman"/>
          <w:bCs/>
          <w:color w:val="auto"/>
          <w:sz w:val="24"/>
        </w:rPr>
        <w:t xml:space="preserve"> Wei Wei Zhao</w:t>
      </w:r>
      <w:r>
        <w:rPr>
          <w:rFonts w:hint="eastAsia" w:ascii="Times New Roman" w:hAnsi="Times New Roman" w:cs="Times New Roman"/>
          <w:bCs/>
          <w:color w:val="auto"/>
          <w:sz w:val="24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bCs/>
          <w:color w:val="auto"/>
          <w:sz w:val="24"/>
          <w:vertAlign w:val="superscript"/>
          <w:lang w:val="en-US" w:eastAsia="zh-CN"/>
        </w:rPr>
        <w:t>a,</w:t>
      </w:r>
      <w:r>
        <w:rPr>
          <w:rFonts w:hint="eastAsia" w:ascii="Times New Roman" w:hAnsi="Times New Roman" w:cs="Times New Roman"/>
          <w:bCs/>
          <w:color w:val="auto"/>
          <w:sz w:val="24"/>
          <w:vertAlign w:val="superscript"/>
          <w:lang w:val="en-US" w:eastAsia="zh-CN"/>
        </w:rPr>
        <w:t>co</w:t>
      </w:r>
      <w:r>
        <w:rPr>
          <w:rFonts w:ascii="Times New Roman" w:hAnsi="Times New Roman" w:eastAsia="宋体" w:cs="Times New Roman"/>
          <w:bCs/>
          <w:color w:val="auto"/>
          <w:sz w:val="24"/>
        </w:rPr>
        <w:t xml:space="preserve"> Xi Nan Yang</w:t>
      </w:r>
      <w:r>
        <w:rPr>
          <w:rFonts w:hint="eastAsia" w:ascii="Times New Roman" w:hAnsi="Times New Roman" w:cs="Times New Roman"/>
          <w:bCs/>
          <w:color w:val="auto"/>
          <w:sz w:val="24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iCs/>
          <w:color w:val="auto"/>
          <w:sz w:val="24"/>
          <w:vertAlign w:val="superscript"/>
          <w:lang w:val="en-US" w:eastAsia="zh-CN"/>
        </w:rPr>
        <w:t>a</w:t>
      </w:r>
      <w:r>
        <w:rPr>
          <w:rFonts w:ascii="Times New Roman" w:hAnsi="Times New Roman" w:eastAsia="宋体" w:cs="Times New Roman"/>
          <w:bCs/>
          <w:color w:val="auto"/>
          <w:sz w:val="24"/>
        </w:rPr>
        <w:t xml:space="preserve"> Lian Tong Wei</w:t>
      </w:r>
      <w:r>
        <w:rPr>
          <w:rFonts w:hint="eastAsia" w:ascii="Times New Roman" w:hAnsi="Times New Roman" w:cs="Times New Roman"/>
          <w:bCs/>
          <w:color w:val="auto"/>
          <w:sz w:val="24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bCs/>
          <w:color w:val="auto"/>
          <w:sz w:val="24"/>
          <w:vertAlign w:val="superscript"/>
          <w:lang w:val="en-US" w:eastAsia="zh-CN"/>
        </w:rPr>
        <w:t>b</w:t>
      </w:r>
      <w:r>
        <w:rPr>
          <w:rFonts w:ascii="Times New Roman" w:hAnsi="Times New Roman" w:eastAsia="宋体" w:cs="Times New Roman"/>
          <w:iCs/>
          <w:color w:val="auto"/>
          <w:sz w:val="24"/>
        </w:rPr>
        <w:t xml:space="preserve"> </w:t>
      </w:r>
      <w:r>
        <w:rPr>
          <w:rFonts w:ascii="Times New Roman" w:hAnsi="Times New Roman" w:eastAsia="宋体" w:cs="Times New Roman"/>
          <w:bCs/>
          <w:color w:val="auto"/>
          <w:sz w:val="24"/>
        </w:rPr>
        <w:t>Zhu Tao</w:t>
      </w:r>
      <w:r>
        <w:rPr>
          <w:rFonts w:hint="eastAsia" w:ascii="Times New Roman" w:hAnsi="Times New Roman" w:cs="Times New Roman"/>
          <w:bCs/>
          <w:color w:val="auto"/>
          <w:sz w:val="24"/>
          <w:lang w:val="en-US" w:eastAsia="zh-CN"/>
        </w:rPr>
        <w:t>,</w:t>
      </w:r>
      <w:r>
        <w:rPr>
          <w:rFonts w:hint="eastAsia" w:ascii="Times New Roman" w:hAnsi="Times New Roman" w:eastAsia="宋体" w:cs="Times New Roman"/>
          <w:iCs/>
          <w:color w:val="auto"/>
          <w:sz w:val="24"/>
          <w:vertAlign w:val="superscript"/>
          <w:lang w:val="en-US" w:eastAsia="zh-CN"/>
        </w:rPr>
        <w:t>a</w:t>
      </w:r>
      <w:r>
        <w:rPr>
          <w:rFonts w:ascii="Times New Roman" w:hAnsi="Times New Roman" w:eastAsia="宋体" w:cs="Times New Roman"/>
          <w:bCs/>
          <w:color w:val="auto"/>
          <w:sz w:val="24"/>
        </w:rPr>
        <w:t xml:space="preserve"> Pei Hua Ma</w:t>
      </w:r>
      <w:r>
        <w:rPr>
          <w:rFonts w:hint="default" w:ascii="Times New Roman" w:hAnsi="Times New Roman" w:cs="Times New Roman"/>
        </w:rPr>
        <w:t>*</w:t>
      </w:r>
      <w:r>
        <w:rPr>
          <w:rFonts w:hint="default" w:ascii="Times New Roman" w:hAnsi="Times New Roman" w:cs="Times New Roman"/>
          <w:vertAlign w:val="superscript"/>
        </w:rPr>
        <w:t>,</w:t>
      </w:r>
      <w:r>
        <w:rPr>
          <w:rFonts w:hint="default" w:ascii="Times New Roman" w:hAnsi="Times New Roman" w:cs="Times New Roman"/>
          <w:i/>
          <w:iCs/>
          <w:vertAlign w:val="superscript"/>
        </w:rPr>
        <w:t>c</w:t>
      </w:r>
    </w:p>
    <w:p>
      <w:pPr>
        <w:autoSpaceDE w:val="0"/>
        <w:autoSpaceDN w:val="0"/>
        <w:spacing w:line="288" w:lineRule="auto"/>
        <w:rPr>
          <w:rFonts w:ascii="Times New Roman" w:hAnsi="Times New Roman" w:eastAsia="宋体" w:cs="Times New Roman"/>
          <w:i/>
          <w:iCs/>
          <w:color w:val="auto"/>
          <w:sz w:val="24"/>
        </w:rPr>
      </w:pPr>
      <w:r>
        <w:rPr>
          <w:rFonts w:hint="eastAsia" w:ascii="Times New Roman" w:hAnsi="Times New Roman" w:eastAsia="宋体" w:cs="Times New Roman"/>
          <w:i/>
          <w:iCs/>
          <w:color w:val="auto"/>
          <w:sz w:val="24"/>
          <w:vertAlign w:val="superscript"/>
          <w:lang w:val="en-US" w:eastAsia="zh-CN"/>
        </w:rPr>
        <w:t>a</w:t>
      </w:r>
      <w:r>
        <w:rPr>
          <w:rFonts w:ascii="Times New Roman" w:hAnsi="Times New Roman" w:eastAsia="宋体" w:cs="Times New Roman"/>
          <w:i/>
          <w:iCs/>
          <w:color w:val="auto"/>
          <w:sz w:val="24"/>
        </w:rPr>
        <w:t>Key Laboratory of Macrocyclic and Supramolecular Chemistry of Guizhou Province, Guizhou University, Guiyang 550025, China</w:t>
      </w:r>
    </w:p>
    <w:p>
      <w:pPr>
        <w:spacing w:line="288" w:lineRule="auto"/>
        <w:rPr>
          <w:rFonts w:ascii="Times New Roman" w:hAnsi="Times New Roman" w:cs="Times New Roman"/>
          <w:i/>
          <w:iCs/>
          <w:color w:val="auto"/>
        </w:rPr>
      </w:pPr>
      <w:r>
        <w:rPr>
          <w:rFonts w:hint="eastAsia" w:ascii="Times New Roman" w:hAnsi="Times New Roman" w:eastAsia="宋体" w:cs="Times New Roman"/>
          <w:i/>
          <w:iCs/>
          <w:color w:val="auto"/>
          <w:sz w:val="24"/>
          <w:vertAlign w:val="superscript"/>
          <w:lang w:val="en-US" w:eastAsia="zh-CN"/>
        </w:rPr>
        <w:t>b</w:t>
      </w:r>
      <w:r>
        <w:rPr>
          <w:rFonts w:ascii="Times New Roman" w:hAnsi="Times New Roman" w:eastAsia="宋体" w:cs="Times New Roman"/>
          <w:i/>
          <w:iCs/>
          <w:color w:val="auto"/>
          <w:sz w:val="24"/>
        </w:rPr>
        <w:t>Guiyang Bewg Water Co., Ltd., Guiyang, 550001, China</w:t>
      </w:r>
    </w:p>
    <w:p>
      <w:pPr>
        <w:pStyle w:val="4"/>
        <w:spacing w:line="288" w:lineRule="auto"/>
        <w:jc w:val="both"/>
        <w:rPr>
          <w:rFonts w:hint="eastAsia" w:ascii="Times New Roman" w:hAnsi="Times New Roman" w:cs="Times New Roman"/>
          <w:i/>
          <w:iCs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i/>
          <w:iCs/>
          <w:color w:val="auto"/>
          <w:vertAlign w:val="superscript"/>
          <w:lang w:val="en-US" w:eastAsia="zh-CN"/>
        </w:rPr>
        <w:t xml:space="preserve">co </w:t>
      </w:r>
      <w:r>
        <w:rPr>
          <w:rFonts w:hint="eastAsia" w:ascii="Times New Roman" w:hAnsi="Times New Roman" w:cs="Times New Roman"/>
          <w:i/>
          <w:iCs/>
          <w:color w:val="auto"/>
          <w:vertAlign w:val="baseline"/>
          <w:lang w:val="en-US" w:eastAsia="zh-CN"/>
        </w:rPr>
        <w:t>Co-First author</w:t>
      </w:r>
      <w:bookmarkStart w:id="0" w:name="_GoBack"/>
      <w:bookmarkEnd w:id="0"/>
    </w:p>
    <w:p>
      <w:pPr>
        <w:autoSpaceDE w:val="0"/>
        <w:autoSpaceDN w:val="0"/>
        <w:spacing w:line="288" w:lineRule="auto"/>
        <w:rPr>
          <w:rFonts w:hint="eastAsia" w:ascii="Times New Roman" w:hAnsi="Times New Roman" w:cs="Times New Roman"/>
          <w:i/>
          <w:iCs/>
          <w:color w:val="auto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vertAlign w:val="superscript"/>
          <w:lang w:val="en-US" w:eastAsia="zh-CN"/>
        </w:rPr>
        <w:t>＊</w:t>
      </w:r>
      <w:r>
        <w:rPr>
          <w:rFonts w:ascii="Times New Roman" w:hAnsi="Times New Roman" w:cs="Times New Roman"/>
          <w:i/>
          <w:iCs/>
          <w:color w:val="auto"/>
          <w:sz w:val="24"/>
          <w:szCs w:val="24"/>
        </w:rPr>
        <w:t>Corresponding author. Email: phma@gzu.edu.cn.</w:t>
      </w:r>
    </w:p>
    <w:p>
      <w:pP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color w:val="auto"/>
          <w:vertAlign w:val="baseline"/>
          <w:lang w:val="en-US" w:eastAsia="zh-CN"/>
        </w:rPr>
        <w:br w:type="page"/>
      </w:r>
    </w:p>
    <w:p>
      <w:pPr>
        <w:pStyle w:val="3"/>
        <w:jc w:val="both"/>
        <w:rPr>
          <w:sz w:val="21"/>
          <w:szCs w:val="21"/>
        </w:rPr>
      </w:pPr>
      <w:r>
        <w:rPr>
          <w:sz w:val="21"/>
          <w:szCs w:val="21"/>
        </w:rPr>
        <w:t>T</w:t>
      </w:r>
      <w:r>
        <w:rPr>
          <w:rFonts w:hint="eastAsia"/>
          <w:sz w:val="21"/>
          <w:szCs w:val="21"/>
        </w:rPr>
        <w:t xml:space="preserve">able S1 </w:t>
      </w:r>
      <w:r>
        <w:rPr>
          <w:sz w:val="21"/>
          <w:szCs w:val="21"/>
        </w:rPr>
        <w:t xml:space="preserve">Crystallographic parameters of complexes </w:t>
      </w:r>
      <w:r>
        <w:rPr>
          <w:b/>
          <w:bCs w:val="0"/>
          <w:sz w:val="21"/>
          <w:szCs w:val="21"/>
        </w:rPr>
        <w:t>1-4</w:t>
      </w:r>
    </w:p>
    <w:tbl>
      <w:tblPr>
        <w:tblStyle w:val="6"/>
        <w:tblW w:w="0" w:type="auto"/>
        <w:tblInd w:w="0" w:type="dxa"/>
        <w:tblBorders>
          <w:top w:val="single" w:color="000000" w:themeColor="text1" w:sz="12" w:space="0"/>
          <w:left w:val="none" w:color="auto" w:sz="0" w:space="0"/>
          <w:bottom w:val="single" w:color="000000" w:themeColor="text1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1"/>
        <w:gridCol w:w="1775"/>
        <w:gridCol w:w="1687"/>
        <w:gridCol w:w="1677"/>
        <w:gridCol w:w="1677"/>
      </w:tblGrid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0" w:type="auto"/>
            <w:tcBorders>
              <w:top w:val="single" w:color="000000" w:themeColor="text1" w:sz="12" w:space="0"/>
              <w:bottom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Empirical formula</w:t>
            </w:r>
          </w:p>
        </w:tc>
        <w:tc>
          <w:tcPr>
            <w:tcW w:w="0" w:type="auto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58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72</w:t>
            </w:r>
            <w:r>
              <w:rPr>
                <w:rFonts w:ascii="Times New Roman" w:hAnsi="Times New Roman" w:cs="Times New Roman"/>
                <w:bCs/>
                <w:sz w:val="24"/>
              </w:rPr>
              <w:t>CdCl</w:t>
            </w:r>
            <w:r>
              <w:rPr>
                <w:rFonts w:ascii="Times New Roman" w:hAnsi="Times New Roman" w:cs="Times New Roman"/>
                <w:bCs/>
                <w:sz w:val="24"/>
                <w:vertAlign w:val="subscript"/>
              </w:rPr>
              <w:t>4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16</w:t>
            </w:r>
          </w:p>
        </w:tc>
        <w:tc>
          <w:tcPr>
            <w:tcW w:w="0" w:type="auto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78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Cd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Cl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26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14</w:t>
            </w:r>
          </w:p>
        </w:tc>
        <w:tc>
          <w:tcPr>
            <w:tcW w:w="0" w:type="auto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74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Cl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17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Zn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single" w:color="000000" w:themeColor="text1" w:sz="12" w:space="0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60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74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Cl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25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Zn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Formula weight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1643.61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1895.88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1760.88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1959.78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Crystal system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triclinic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monoclinic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triclinic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monoclinic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Space group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 -1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 21/c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 1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 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a[Å]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12.263(3)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15.9260(18)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11.9881(10)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27.042(3)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b[Å]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12.710(2)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17.703(2)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12.1637(11)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17.771(3)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c[Å]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24.619(5)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19.055(2)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15.2288(13)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18.421(2)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α[°]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82.780(6)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85.950(2)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β[°]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75.926(6)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125.562(4)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73.241(2)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93.564(5)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γ[°]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82.318(5)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63.402(2)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V[Å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3671.2(13)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4370.3(9)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1896.9(3)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8835.5(18)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Z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D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calcd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.[g cm 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-3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1.487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1.441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1.541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1.473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T[K]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296.15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296.15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296.15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296.15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μ[mm 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-1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 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0.525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0.800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0.926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0.868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Parameters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980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543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983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986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bscript"/>
                <w14:textFill>
                  <w14:solidFill>
                    <w14:schemeClr w14:val="tx1"/>
                  </w14:solidFill>
                </w14:textFill>
              </w:rPr>
              <w:t>int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0.0396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0.0978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0.0862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0.0897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R[I &gt; 2σ(I)]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[a]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0.0547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0.0871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0.0686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0.0665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wR[I &gt; 2σ(I)]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[b]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0.1337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0.2267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0.1690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0.1612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R(all data)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0.0897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0.1033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0.0994</w:t>
            </w:r>
          </w:p>
        </w:tc>
        <w:tc>
          <w:tcPr>
            <w:tcW w:w="0" w:type="auto"/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0.1237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wR(all data)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0.1485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0.2371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0.1860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0.1945</w:t>
            </w:r>
          </w:p>
        </w:tc>
      </w:tr>
      <w:tr>
        <w:tblPrEx>
          <w:tblBorders>
            <w:top w:val="single" w:color="000000" w:themeColor="text1" w:sz="12" w:space="0"/>
            <w:left w:val="none" w:color="auto" w:sz="0" w:space="0"/>
            <w:bottom w:val="single" w:color="000000" w:themeColor="text1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GOF on F</w:t>
            </w: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:vertAlign w:val="superscript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1.029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1.051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1.053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>
            <w:pPr>
              <w:spacing w:line="240" w:lineRule="atLeast"/>
              <w:jc w:val="both"/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1.025</w:t>
            </w:r>
          </w:p>
        </w:tc>
      </w:tr>
    </w:tbl>
    <w:p>
      <w:pPr>
        <w:jc w:val="both"/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</w:pPr>
      <w:r>
        <w:rPr>
          <w:rFonts w:hint="eastAsia"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[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a</w:t>
      </w:r>
      <w:r>
        <w:rPr>
          <w:rFonts w:hint="eastAsia"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]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 xml:space="preserve"> Conventional 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R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 xml:space="preserve"> on F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hkl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: ∑||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F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:vertAlign w:val="subscript"/>
          <w14:textFill>
            <w14:solidFill>
              <w14:schemeClr w14:val="tx1"/>
            </w14:solidFill>
          </w14:textFill>
        </w:rPr>
        <w:t>o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| - |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F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||/∑|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F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:vertAlign w:val="subscript"/>
          <w14:textFill>
            <w14:solidFill>
              <w14:schemeClr w14:val="tx1"/>
            </w14:solidFill>
          </w14:textFill>
        </w:rPr>
        <w:t>o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|.</w:t>
      </w:r>
    </w:p>
    <w:p>
      <w:pPr>
        <w:jc w:val="both"/>
      </w:pPr>
      <w:r>
        <w:rPr>
          <w:rFonts w:hint="eastAsia"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[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b</w:t>
      </w:r>
      <w:r>
        <w:rPr>
          <w:rFonts w:hint="eastAsia"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]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 xml:space="preserve"> Weighted R on |F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hkl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|</w:t>
      </w:r>
      <w:r>
        <w:rPr>
          <w:rFonts w:ascii="Arial" w:hAnsi="Arial" w:eastAsia="宋体" w:cs="Arial"/>
          <w:color w:val="000000" w:themeColor="text1"/>
          <w:sz w:val="14"/>
          <w:szCs w:val="1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: ∑[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w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(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F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:vertAlign w:val="subscript"/>
          <w14:textFill>
            <w14:solidFill>
              <w14:schemeClr w14:val="tx1"/>
            </w14:solidFill>
          </w14:textFill>
        </w:rPr>
        <w:t>o</w:t>
      </w:r>
      <w:r>
        <w:rPr>
          <w:rFonts w:ascii="Arial" w:hAnsi="Arial" w:eastAsia="宋体" w:cs="Arial"/>
          <w:color w:val="000000" w:themeColor="text1"/>
          <w:sz w:val="14"/>
          <w:szCs w:val="1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 xml:space="preserve"> - 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F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:vertAlign w:val="subscript"/>
          <w14:textFill>
            <w14:solidFill>
              <w14:schemeClr w14:val="tx1"/>
            </w14:solidFill>
          </w14:textFill>
        </w:rPr>
        <w:t>c</w:t>
      </w:r>
      <w:r>
        <w:rPr>
          <w:rFonts w:ascii="Arial" w:hAnsi="Arial" w:eastAsia="宋体" w:cs="Arial"/>
          <w:color w:val="000000" w:themeColor="text1"/>
          <w:sz w:val="14"/>
          <w:szCs w:val="1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)</w:t>
      </w:r>
      <w:r>
        <w:rPr>
          <w:rFonts w:ascii="Arial" w:hAnsi="Arial" w:eastAsia="宋体" w:cs="Arial"/>
          <w:color w:val="000000" w:themeColor="text1"/>
          <w:sz w:val="14"/>
          <w:szCs w:val="1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]/∑[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w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(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F</w:t>
      </w:r>
      <w:r>
        <w:rPr>
          <w:rFonts w:ascii="Arial" w:hAnsi="Arial" w:eastAsia="宋体" w:cs="Arial"/>
          <w:i/>
          <w:color w:val="000000" w:themeColor="text1"/>
          <w:sz w:val="14"/>
          <w:szCs w:val="14"/>
          <w:vertAlign w:val="subscript"/>
          <w14:textFill>
            <w14:solidFill>
              <w14:schemeClr w14:val="tx1"/>
            </w14:solidFill>
          </w14:textFill>
        </w:rPr>
        <w:t>o</w:t>
      </w:r>
      <w:r>
        <w:rPr>
          <w:rFonts w:ascii="Arial" w:hAnsi="Arial" w:eastAsia="宋体" w:cs="Arial"/>
          <w:color w:val="000000" w:themeColor="text1"/>
          <w:sz w:val="14"/>
          <w:szCs w:val="1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)</w:t>
      </w:r>
      <w:r>
        <w:rPr>
          <w:rFonts w:ascii="Arial" w:hAnsi="Arial" w:eastAsia="宋体" w:cs="Arial"/>
          <w:color w:val="000000" w:themeColor="text1"/>
          <w:sz w:val="14"/>
          <w:szCs w:val="14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]</w:t>
      </w:r>
      <w:r>
        <w:rPr>
          <w:rFonts w:ascii="Arial" w:hAnsi="Arial" w:eastAsia="宋体" w:cs="Arial"/>
          <w:color w:val="000000" w:themeColor="text1"/>
          <w:sz w:val="14"/>
          <w:szCs w:val="14"/>
          <w:vertAlign w:val="superscript"/>
          <w14:textFill>
            <w14:solidFill>
              <w14:schemeClr w14:val="tx1"/>
            </w14:solidFill>
          </w14:textFill>
        </w:rPr>
        <w:t>1/2</w:t>
      </w:r>
      <w:r>
        <w:rPr>
          <w:rFonts w:ascii="Arial" w:hAnsi="Arial" w:eastAsia="宋体" w:cs="Arial"/>
          <w:color w:val="000000" w:themeColor="text1"/>
          <w:sz w:val="14"/>
          <w:szCs w:val="14"/>
          <w14:textFill>
            <w14:solidFill>
              <w14:schemeClr w14:val="tx1"/>
            </w14:solidFill>
          </w14:textFill>
        </w:rPr>
        <w:t>.</w:t>
      </w:r>
    </w:p>
    <w:p>
      <w:pPr>
        <w:jc w:val="both"/>
      </w:pPr>
    </w:p>
    <w:p>
      <w:pPr>
        <w:pStyle w:val="3"/>
        <w:jc w:val="both"/>
        <w:rPr>
          <w:b w:val="0"/>
          <w:bCs/>
          <w:sz w:val="21"/>
          <w:szCs w:val="21"/>
        </w:rPr>
      </w:pPr>
      <w:r>
        <w:rPr>
          <w:rFonts w:hint="eastAsia"/>
          <w:b w:val="0"/>
          <w:bCs/>
          <w:sz w:val="21"/>
          <w:szCs w:val="21"/>
        </w:rPr>
        <w:t xml:space="preserve">Table S2 </w:t>
      </w:r>
      <w:r>
        <w:rPr>
          <w:b w:val="0"/>
          <w:bCs/>
          <w:sz w:val="21"/>
          <w:szCs w:val="21"/>
        </w:rPr>
        <w:t xml:space="preserve">Hydrogen bonding parameters of compounds </w:t>
      </w:r>
      <w:r>
        <w:rPr>
          <w:b/>
          <w:bCs w:val="0"/>
          <w:sz w:val="21"/>
          <w:szCs w:val="21"/>
        </w:rPr>
        <w:t>1-4</w:t>
      </w:r>
    </w:p>
    <w:tbl>
      <w:tblPr>
        <w:tblStyle w:val="8"/>
        <w:tblW w:w="5000" w:type="pct"/>
        <w:tblInd w:w="0" w:type="dxa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3"/>
        <w:gridCol w:w="2540"/>
        <w:gridCol w:w="948"/>
        <w:gridCol w:w="948"/>
        <w:gridCol w:w="951"/>
        <w:gridCol w:w="1732"/>
      </w:tblGrid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Merge w:val="restart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complexes</w:t>
            </w:r>
          </w:p>
        </w:tc>
        <w:tc>
          <w:tcPr>
            <w:tcW w:w="1490" w:type="pct"/>
            <w:tcBorders>
              <w:top w:val="single" w:color="000000" w:themeColor="text1" w:sz="12" w:space="0"/>
              <w:left w:val="nil"/>
              <w:bottom w:val="single" w:color="000000" w:themeColor="text1" w:sz="6" w:space="0"/>
              <w:right w:val="single" w:color="FFFFFF" w:themeColor="background1" w:sz="4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bond</w:t>
            </w:r>
          </w:p>
        </w:tc>
        <w:tc>
          <w:tcPr>
            <w:tcW w:w="1670" w:type="pct"/>
            <w:gridSpan w:val="3"/>
            <w:tcBorders>
              <w:top w:val="single" w:color="000000" w:themeColor="text1" w:sz="12" w:space="0"/>
              <w:left w:val="single" w:color="FFFFFF" w:themeColor="background1" w:sz="48" w:space="0"/>
              <w:bottom w:val="single" w:color="000000" w:themeColor="text1" w:sz="6" w:space="0"/>
              <w:right w:val="single" w:color="FFFFFF" w:themeColor="background1" w:sz="4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bond length/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Å</w:t>
            </w:r>
          </w:p>
        </w:tc>
        <w:tc>
          <w:tcPr>
            <w:tcW w:w="1016" w:type="pct"/>
            <w:tcBorders>
              <w:top w:val="single" w:color="000000" w:themeColor="text1" w:sz="12" w:space="0"/>
              <w:left w:val="single" w:color="FFFFFF" w:themeColor="background1" w:sz="48" w:space="0"/>
              <w:bottom w:val="single" w:color="000000" w:themeColor="text1" w:sz="6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bond angle/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°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Merge w:val="continue"/>
            <w:tcBorders>
              <w:top w:val="single" w:color="000000" w:themeColor="text1" w:sz="12" w:space="0"/>
              <w:left w:val="nil"/>
              <w:bottom w:val="single" w:color="000000" w:themeColor="text1" w:sz="12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tcBorders>
              <w:top w:val="single" w:color="000000" w:themeColor="text1" w:sz="6" w:space="0"/>
              <w:left w:val="nil"/>
              <w:bottom w:val="single" w:color="000000" w:themeColor="text1" w:sz="12" w:space="0"/>
              <w:right w:val="single" w:color="FFFFFF" w:themeColor="background1" w:sz="4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H···Y</w:t>
            </w:r>
          </w:p>
        </w:tc>
        <w:tc>
          <w:tcPr>
            <w:tcW w:w="556" w:type="pct"/>
            <w:tcBorders>
              <w:top w:val="single" w:color="000000" w:themeColor="text1" w:sz="6" w:space="0"/>
              <w:left w:val="single" w:color="FFFFFF" w:themeColor="background1" w:sz="48" w:space="0"/>
              <w:bottom w:val="single" w:color="000000" w:themeColor="text1" w:sz="12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H</w:t>
            </w:r>
          </w:p>
        </w:tc>
        <w:tc>
          <w:tcPr>
            <w:tcW w:w="556" w:type="pct"/>
            <w:tcBorders>
              <w:top w:val="single" w:color="000000" w:themeColor="text1" w:sz="6" w:space="0"/>
              <w:left w:val="nil"/>
              <w:bottom w:val="single" w:color="000000" w:themeColor="text1" w:sz="12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H···Y</w:t>
            </w:r>
          </w:p>
        </w:tc>
        <w:tc>
          <w:tcPr>
            <w:tcW w:w="556" w:type="pct"/>
            <w:tcBorders>
              <w:top w:val="single" w:color="000000" w:themeColor="text1" w:sz="6" w:space="0"/>
              <w:left w:val="nil"/>
              <w:bottom w:val="single" w:color="000000" w:themeColor="text1" w:sz="12" w:space="0"/>
              <w:right w:val="single" w:color="FFFFFF" w:themeColor="background1" w:sz="48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X···Y</w:t>
            </w:r>
          </w:p>
        </w:tc>
        <w:tc>
          <w:tcPr>
            <w:tcW w:w="1016" w:type="pct"/>
            <w:tcBorders>
              <w:top w:val="single" w:color="000000" w:themeColor="text1" w:sz="6" w:space="0"/>
              <w:left w:val="single" w:color="FFFFFF" w:themeColor="background1" w:sz="48" w:space="0"/>
              <w:bottom w:val="single" w:color="000000" w:themeColor="text1" w:sz="12" w:space="0"/>
              <w:right w:val="nil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X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H···Y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tcBorders>
              <w:top w:val="single" w:color="000000" w:themeColor="text1" w:sz="12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490" w:type="pct"/>
            <w:tcBorders>
              <w:top w:val="single" w:color="000000" w:themeColor="text1" w:sz="12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N26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H26C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···O3</w:t>
            </w:r>
          </w:p>
        </w:tc>
        <w:tc>
          <w:tcPr>
            <w:tcW w:w="556" w:type="pct"/>
            <w:tcBorders>
              <w:top w:val="single" w:color="000000" w:themeColor="text1" w:sz="12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0.8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90</w:t>
            </w:r>
          </w:p>
        </w:tc>
        <w:tc>
          <w:tcPr>
            <w:tcW w:w="556" w:type="pct"/>
            <w:tcBorders>
              <w:top w:val="single" w:color="000000" w:themeColor="text1" w:sz="12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2.100</w:t>
            </w:r>
          </w:p>
        </w:tc>
        <w:tc>
          <w:tcPr>
            <w:tcW w:w="556" w:type="pct"/>
            <w:tcBorders>
              <w:top w:val="single" w:color="000000" w:themeColor="text1" w:sz="12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2.75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016" w:type="pct"/>
            <w:tcBorders>
              <w:top w:val="single" w:color="000000" w:themeColor="text1" w:sz="12" w:space="0"/>
            </w:tcBorders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129.27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N26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H26D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···O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0.8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2.1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3.035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173.38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O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···O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0.8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1.763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2.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576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170.82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N13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H13D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···O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0.890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2.045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2.901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160.91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N13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H13E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···O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0.890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2.044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2.806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143.05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N13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H13C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···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Cl1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0.890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2.356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3.228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166.16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O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16</w:t>
            </w: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-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H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16</w:t>
            </w: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···O</w:t>
            </w: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0.820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1.760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2.572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kern w:val="0"/>
                <w:sz w:val="18"/>
                <w:szCs w:val="18"/>
              </w:rPr>
              <w:t>170.55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H1A···O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2.471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3.062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124.26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693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334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26.40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C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2.672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3.048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106.61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O2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-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H2···O7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820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1.941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2.7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171.41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N2-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H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A···O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2.432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2.952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—H1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0.820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1.818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2.629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169.67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N25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—H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25C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2.509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890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06.88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N25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—H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25D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2.327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851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17.67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N25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—H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25E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2.158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740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22.36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O1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—H1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20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18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602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139.44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N25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—H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25D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0.891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2.131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2.878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14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0.98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N25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—H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25D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91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2.224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2.67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10.86</w:t>
            </w:r>
          </w:p>
        </w:tc>
      </w:tr>
      <w:tr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23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kern w:val="0"/>
                <w:sz w:val="18"/>
                <w:szCs w:val="18"/>
              </w:rPr>
            </w:pPr>
          </w:p>
        </w:tc>
        <w:tc>
          <w:tcPr>
            <w:tcW w:w="1490" w:type="pct"/>
            <w:vAlign w:val="center"/>
          </w:tcPr>
          <w:p>
            <w:pPr>
              <w:jc w:val="both"/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N25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—H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25E</w:t>
            </w: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···O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MS Mincho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0.8</w:t>
            </w: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89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1.969</w:t>
            </w:r>
          </w:p>
        </w:tc>
        <w:tc>
          <w:tcPr>
            <w:tcW w:w="55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2.850</w:t>
            </w:r>
          </w:p>
        </w:tc>
        <w:tc>
          <w:tcPr>
            <w:tcW w:w="1016" w:type="pct"/>
            <w:vAlign w:val="center"/>
          </w:tcPr>
          <w:p>
            <w:pPr>
              <w:jc w:val="both"/>
              <w:rPr>
                <w:rFonts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170.79</w:t>
            </w:r>
          </w:p>
        </w:tc>
      </w:tr>
    </w:tbl>
    <w:p>
      <w:pPr>
        <w:jc w:val="both"/>
      </w:pPr>
    </w:p>
    <w:p>
      <w:pPr>
        <w:jc w:val="center"/>
      </w:pPr>
      <w:r>
        <w:drawing>
          <wp:inline distT="0" distB="0" distL="0" distR="0">
            <wp:extent cx="3435985" cy="1978025"/>
            <wp:effectExtent l="0" t="0" r="12065" b="3175"/>
            <wp:docPr id="14" name="图片 14" descr="F:\小论文\no.2共一作\画图\甘氨酸\椭球图\椭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F:\小论文\no.2共一作\画图\甘氨酸\椭球图\椭球图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5985" cy="197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both"/>
      </w:pPr>
      <w:r>
        <w:rPr>
          <w:rFonts w:hint="eastAsia"/>
          <w:sz w:val="21"/>
          <w:szCs w:val="21"/>
        </w:rPr>
        <w:t>Fig</w:t>
      </w:r>
      <w:r>
        <w:rPr>
          <w:rFonts w:hint="eastAsia"/>
          <w:sz w:val="21"/>
          <w:szCs w:val="21"/>
          <w:lang w:val="en-US" w:eastAsia="zh-CN"/>
        </w:rPr>
        <w:t>.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>S</w:t>
      </w:r>
      <w:r>
        <w:rPr>
          <w:rFonts w:hint="eastAsia"/>
          <w:sz w:val="21"/>
          <w:szCs w:val="21"/>
        </w:rPr>
        <w:t xml:space="preserve">1 </w:t>
      </w:r>
      <w:r>
        <w:rPr>
          <w:sz w:val="21"/>
          <w:szCs w:val="21"/>
        </w:rPr>
        <w:t xml:space="preserve">ORTEP of </w:t>
      </w:r>
      <w:r>
        <w:rPr>
          <w:rFonts w:hint="eastAsia"/>
          <w:sz w:val="21"/>
          <w:szCs w:val="21"/>
        </w:rPr>
        <w:t>the</w:t>
      </w:r>
      <w:r>
        <w:rPr>
          <w:sz w:val="21"/>
          <w:szCs w:val="21"/>
        </w:rPr>
        <w:t xml:space="preserve"> asymmetric unit of compound 1 (30% probability level) </w:t>
      </w:r>
      <w:r>
        <w:rPr>
          <w:rFonts w:hint="eastAsia"/>
          <w:sz w:val="21"/>
          <w:szCs w:val="21"/>
        </w:rPr>
        <w:t>C = Black, H = Gray, O = Red，N = Blue, Cl = Green, Cd = Tan, Zn = Scarlet</w:t>
      </w:r>
    </w:p>
    <w:p>
      <w:pPr>
        <w:jc w:val="center"/>
      </w:pPr>
      <w:r>
        <w:drawing>
          <wp:inline distT="0" distB="0" distL="0" distR="0">
            <wp:extent cx="3074035" cy="1791970"/>
            <wp:effectExtent l="0" t="0" r="12065" b="17780"/>
            <wp:docPr id="15" name="图片 15" descr="F:\小论文\no.2共一作\画图\赖氨酸\椭球图\椭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F:\小论文\no.2共一作\画图\赖氨酸\椭球图\椭球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74035" cy="179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both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cs="Times New Roman"/>
          <w:sz w:val="21"/>
          <w:szCs w:val="21"/>
        </w:rPr>
        <w:t>Fig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.</w:t>
      </w:r>
      <w:r>
        <w:rPr>
          <w:rFonts w:hint="default" w:ascii="Times New Roman" w:hAnsi="Times New Roman" w:cs="Times New Roman"/>
          <w:sz w:val="21"/>
          <w:szCs w:val="21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sz w:val="21"/>
          <w:szCs w:val="21"/>
        </w:rPr>
        <w:t>2 ORTEP of the asymmetric unit of compound 2 (30% probability level) C = Black, H = Gray, O = Red，N = Blue, Cl = Green, Cd = Tan.</w:t>
      </w:r>
    </w:p>
    <w:p>
      <w:pPr>
        <w:jc w:val="center"/>
      </w:pPr>
      <w:r>
        <w:rPr>
          <w:rFonts w:hint="eastAsia"/>
        </w:rPr>
        <w:drawing>
          <wp:inline distT="0" distB="0" distL="0" distR="0">
            <wp:extent cx="3168650" cy="1884680"/>
            <wp:effectExtent l="0" t="0" r="12700" b="1270"/>
            <wp:docPr id="16" name="图片 16" descr="F:\小论文\no.2共一作\画图\liang11 12 15\椭球图\椭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F:\小论文\no.2共一作\画图\liang11 12 15\椭球图\椭球图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68650" cy="1884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both"/>
      </w:pPr>
      <w:r>
        <w:rPr>
          <w:rFonts w:hint="eastAsia"/>
          <w:sz w:val="21"/>
          <w:szCs w:val="21"/>
        </w:rPr>
        <w:t>Fig</w:t>
      </w:r>
      <w:r>
        <w:rPr>
          <w:rFonts w:hint="eastAsia"/>
          <w:sz w:val="21"/>
          <w:szCs w:val="21"/>
          <w:lang w:val="en-US" w:eastAsia="zh-CN"/>
        </w:rPr>
        <w:t>.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>S</w:t>
      </w:r>
      <w:r>
        <w:rPr>
          <w:rFonts w:hint="eastAsia"/>
          <w:sz w:val="21"/>
          <w:szCs w:val="21"/>
        </w:rPr>
        <w:t xml:space="preserve">3 </w:t>
      </w:r>
      <w:r>
        <w:rPr>
          <w:sz w:val="21"/>
          <w:szCs w:val="21"/>
        </w:rPr>
        <w:t>ORTEP of the asymmetric unit of compound 3 (30% probability level)</w:t>
      </w:r>
      <w:r>
        <w:rPr>
          <w:rFonts w:hint="eastAsia"/>
          <w:sz w:val="21"/>
          <w:szCs w:val="21"/>
        </w:rPr>
        <w:t xml:space="preserve"> C = Black, H = Gray, O = Red，N = Blue, Cl = Green, Zn = Scarlet </w:t>
      </w:r>
    </w:p>
    <w:p>
      <w:pPr>
        <w:jc w:val="both"/>
      </w:pPr>
    </w:p>
    <w:p>
      <w:pPr>
        <w:jc w:val="center"/>
      </w:pPr>
      <w:r>
        <w:rPr>
          <w:rFonts w:hint="eastAsia"/>
        </w:rPr>
        <w:drawing>
          <wp:inline distT="0" distB="0" distL="0" distR="0">
            <wp:extent cx="2621280" cy="1883410"/>
            <wp:effectExtent l="0" t="0" r="7620" b="2540"/>
            <wp:docPr id="17" name="图片 17" descr="F:\小论文\no.2共一作\画图\liang17 18 27\椭球图\椭球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F:\小论文\no.2共一作\画图\liang17 18 27\椭球图\椭球图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1280" cy="18834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both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Fig</w:t>
      </w:r>
      <w:r>
        <w:rPr>
          <w:rFonts w:hint="eastAsia"/>
          <w:sz w:val="21"/>
          <w:szCs w:val="21"/>
          <w:lang w:val="en-US" w:eastAsia="zh-CN"/>
        </w:rPr>
        <w:t>.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>S</w:t>
      </w:r>
      <w:r>
        <w:rPr>
          <w:rFonts w:hint="eastAsia"/>
          <w:sz w:val="21"/>
          <w:szCs w:val="21"/>
        </w:rPr>
        <w:t xml:space="preserve">4 </w:t>
      </w:r>
      <w:r>
        <w:rPr>
          <w:sz w:val="21"/>
          <w:szCs w:val="21"/>
        </w:rPr>
        <w:t>ORTEP of the asymmetric unit of compound 4 (30% probability level)</w:t>
      </w:r>
      <w:r>
        <w:rPr>
          <w:rFonts w:hint="eastAsia"/>
          <w:sz w:val="21"/>
          <w:szCs w:val="21"/>
        </w:rPr>
        <w:t xml:space="preserve">C = Black, H = Gray, O = Red，N = Blue, Cl = Green, Zn = Scarlet </w:t>
      </w:r>
    </w:p>
    <w:p/>
    <w:p>
      <w:pPr>
        <w:jc w:val="center"/>
      </w:pPr>
      <w:r>
        <w:rPr>
          <w:rFonts w:hint="eastAsia"/>
        </w:rPr>
        <w:drawing>
          <wp:inline distT="0" distB="0" distL="0" distR="0">
            <wp:extent cx="2849245" cy="2327910"/>
            <wp:effectExtent l="0" t="0" r="8255" b="15240"/>
            <wp:docPr id="18" name="图片 18" descr="F:\小论文\no.2共一作\画图\赖氨酸\次级键\诱导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F:\小论文\no.2共一作\画图\赖氨酸\次级键\诱导剂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49245" cy="2327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Fig</w:t>
      </w:r>
      <w:r>
        <w:rPr>
          <w:rFonts w:hint="eastAsia"/>
          <w:sz w:val="21"/>
          <w:szCs w:val="21"/>
          <w:lang w:val="en-US" w:eastAsia="zh-CN"/>
        </w:rPr>
        <w:t>.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>S</w:t>
      </w:r>
      <w:r>
        <w:rPr>
          <w:rFonts w:hint="eastAsia"/>
          <w:sz w:val="21"/>
          <w:szCs w:val="21"/>
        </w:rPr>
        <w:t xml:space="preserve">5 </w:t>
      </w:r>
      <w:r>
        <w:rPr>
          <w:sz w:val="21"/>
          <w:szCs w:val="21"/>
        </w:rPr>
        <w:t xml:space="preserve">Dipolar interaction between the counter ion and the cucurbituril in complex </w:t>
      </w:r>
      <w:r>
        <w:rPr>
          <w:b/>
          <w:bCs w:val="0"/>
          <w:sz w:val="21"/>
          <w:szCs w:val="21"/>
        </w:rPr>
        <w:t>2</w:t>
      </w:r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pStyle w:val="3"/>
        <w:jc w:val="center"/>
      </w:pPr>
      <w:r>
        <w:drawing>
          <wp:inline distT="0" distB="0" distL="0" distR="0">
            <wp:extent cx="2284095" cy="2251075"/>
            <wp:effectExtent l="0" t="0" r="1905" b="15875"/>
            <wp:docPr id="19" name="图片 19" descr="F:\小论文\no.2共一作\画图\liang11 12 15\作用图\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F:\小论文\no.2共一作\画图\liang11 12 15\作用图\诱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84095" cy="225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>Fig</w:t>
      </w:r>
      <w:r>
        <w:rPr>
          <w:rFonts w:hint="eastAsia"/>
          <w:sz w:val="21"/>
          <w:szCs w:val="21"/>
          <w:lang w:val="en-US" w:eastAsia="zh-CN"/>
        </w:rPr>
        <w:t>.</w:t>
      </w:r>
      <w:r>
        <w:rPr>
          <w:rFonts w:hint="eastAsia"/>
          <w:sz w:val="21"/>
          <w:szCs w:val="21"/>
        </w:rPr>
        <w:t xml:space="preserve"> </w:t>
      </w:r>
      <w:r>
        <w:rPr>
          <w:rFonts w:hint="eastAsia"/>
          <w:sz w:val="21"/>
          <w:szCs w:val="21"/>
          <w:lang w:val="en-US" w:eastAsia="zh-CN"/>
        </w:rPr>
        <w:t>S</w:t>
      </w:r>
      <w:r>
        <w:rPr>
          <w:rFonts w:hint="eastAsia"/>
          <w:sz w:val="21"/>
          <w:szCs w:val="21"/>
        </w:rPr>
        <w:t xml:space="preserve">6 </w:t>
      </w:r>
      <w:r>
        <w:rPr>
          <w:sz w:val="21"/>
          <w:szCs w:val="21"/>
        </w:rPr>
        <w:t xml:space="preserve">Dipolar interaction between the counter ion and the cucurbituril in complex </w:t>
      </w:r>
      <w:r>
        <w:rPr>
          <w:b/>
          <w:bCs w:val="0"/>
          <w:sz w:val="21"/>
          <w:szCs w:val="21"/>
        </w:rPr>
        <w:t>3</w:t>
      </w:r>
    </w:p>
    <w:p>
      <w:pPr>
        <w:jc w:val="both"/>
      </w:pPr>
    </w:p>
    <w:p>
      <w:pPr>
        <w:jc w:val="center"/>
      </w:pPr>
      <w:r>
        <w:rPr>
          <w:rFonts w:hint="eastAsia"/>
          <w:sz w:val="24"/>
        </w:rPr>
        <w:drawing>
          <wp:inline distT="0" distB="0" distL="0" distR="0">
            <wp:extent cx="2298700" cy="2193925"/>
            <wp:effectExtent l="0" t="0" r="6350" b="15875"/>
            <wp:docPr id="20" name="图片 20" descr="F:\小论文\no.2共一作\画图\liang17 18 27\作用图\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F:\小论文\no.2共一作\画图\liang17 18 27\作用图\诱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98700" cy="219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both"/>
        <w:rPr>
          <w:sz w:val="21"/>
          <w:szCs w:val="21"/>
        </w:rPr>
      </w:pPr>
      <w:r>
        <w:rPr>
          <w:rFonts w:hint="eastAsia"/>
          <w:sz w:val="21"/>
          <w:szCs w:val="21"/>
        </w:rPr>
        <w:t xml:space="preserve">Figure </w:t>
      </w:r>
      <w:r>
        <w:rPr>
          <w:rFonts w:hint="eastAsia"/>
          <w:sz w:val="21"/>
          <w:szCs w:val="21"/>
          <w:lang w:val="en-US" w:eastAsia="zh-CN"/>
        </w:rPr>
        <w:t>S</w:t>
      </w:r>
      <w:r>
        <w:rPr>
          <w:rFonts w:hint="eastAsia"/>
          <w:sz w:val="21"/>
          <w:szCs w:val="21"/>
        </w:rPr>
        <w:t xml:space="preserve">7 </w:t>
      </w:r>
      <w:r>
        <w:rPr>
          <w:sz w:val="21"/>
          <w:szCs w:val="21"/>
        </w:rPr>
        <w:t xml:space="preserve">Dipolar interaction between the counter ion and the cucurbituril in complex </w:t>
      </w:r>
      <w:r>
        <w:rPr>
          <w:b/>
          <w:bCs w:val="0"/>
          <w:sz w:val="21"/>
          <w:szCs w:val="21"/>
        </w:rPr>
        <w:t>4</w:t>
      </w:r>
    </w:p>
    <w:p>
      <w:pPr>
        <w:jc w:val="both"/>
      </w:pPr>
    </w:p>
    <w:p>
      <w:pPr>
        <w:jc w:val="both"/>
      </w:pPr>
      <w:r>
        <w:rPr>
          <w:rFonts w:hint="eastAsia"/>
        </w:rPr>
        <w:drawing>
          <wp:inline distT="0" distB="0" distL="114300" distR="114300">
            <wp:extent cx="5268595" cy="2569210"/>
            <wp:effectExtent l="0" t="0" r="8255" b="2540"/>
            <wp:docPr id="6" name="图片 6" descr="氨基酸IT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氨基酸ITC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256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eastAsia="宋体" w:cs="Times New Roman"/>
          <w:szCs w:val="21"/>
        </w:rPr>
        <w:t>Fig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.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  <w:lang w:val="en-US" w:eastAsia="zh-CN"/>
        </w:rPr>
        <w:t>S</w:t>
      </w:r>
      <w:r>
        <w:rPr>
          <w:rFonts w:hint="eastAsia" w:ascii="Times New Roman" w:hAnsi="Times New Roman" w:eastAsia="宋体" w:cs="Times New Roman"/>
          <w:szCs w:val="21"/>
        </w:rPr>
        <w:t>8</w:t>
      </w:r>
      <w:r>
        <w:rPr>
          <w:rFonts w:ascii="Times New Roman" w:hAnsi="Times New Roman" w:eastAsia="宋体" w:cs="Times New Roman"/>
          <w:szCs w:val="21"/>
        </w:rPr>
        <w:t xml:space="preserve"> Isothermal titration calorimetry of CyP</w:t>
      </w:r>
      <w:r>
        <w:rPr>
          <w:rFonts w:ascii="Times New Roman" w:hAnsi="Times New Roman" w:eastAsia="宋体" w:cs="Times New Roman"/>
          <w:szCs w:val="21"/>
          <w:vertAlign w:val="subscript"/>
        </w:rPr>
        <w:t>6</w:t>
      </w:r>
      <w:r>
        <w:rPr>
          <w:rFonts w:ascii="Times New Roman" w:hAnsi="Times New Roman" w:eastAsia="宋体" w:cs="Times New Roman"/>
          <w:szCs w:val="21"/>
        </w:rPr>
        <w:t xml:space="preserve">Q[6] with </w:t>
      </w:r>
      <w:r>
        <w:rPr>
          <w:rFonts w:hint="eastAsia" w:ascii="Times New Roman" w:hAnsi="Times New Roman" w:eastAsia="宋体" w:cs="Times New Roman"/>
          <w:szCs w:val="21"/>
        </w:rPr>
        <w:t>three</w:t>
      </w:r>
      <w:r>
        <w:rPr>
          <w:rFonts w:ascii="Times New Roman" w:hAnsi="Times New Roman" w:eastAsia="宋体" w:cs="Times New Roman"/>
          <w:szCs w:val="21"/>
        </w:rPr>
        <w:t xml:space="preserve"> </w:t>
      </w:r>
      <w:r>
        <w:rPr>
          <w:rFonts w:hint="eastAsia" w:ascii="Times New Roman" w:hAnsi="Times New Roman" w:eastAsia="宋体" w:cs="Times New Roman"/>
          <w:szCs w:val="21"/>
        </w:rPr>
        <w:t>a</w:t>
      </w:r>
      <w:r>
        <w:rPr>
          <w:rFonts w:ascii="Times New Roman" w:hAnsi="Times New Roman" w:eastAsia="宋体" w:cs="Times New Roman"/>
          <w:szCs w:val="21"/>
        </w:rPr>
        <w:t xml:space="preserve">mino </w:t>
      </w:r>
      <w:r>
        <w:rPr>
          <w:rFonts w:hint="eastAsia" w:ascii="Times New Roman" w:hAnsi="Times New Roman" w:eastAsia="宋体" w:cs="Times New Roman"/>
          <w:szCs w:val="21"/>
        </w:rPr>
        <w:t>a</w:t>
      </w:r>
      <w:r>
        <w:rPr>
          <w:rFonts w:ascii="Times New Roman" w:hAnsi="Times New Roman" w:eastAsia="宋体" w:cs="Times New Roman"/>
          <w:szCs w:val="21"/>
        </w:rPr>
        <w:t xml:space="preserve">cids under 298.15K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S Mincho">
    <w:panose1 w:val="020206090402050803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3A05D7"/>
    <w:rsid w:val="0EBD347B"/>
    <w:rsid w:val="4BA8124F"/>
    <w:rsid w:val="55FB6FC4"/>
    <w:rsid w:val="5F3A05D7"/>
    <w:rsid w:val="602C3415"/>
    <w:rsid w:val="653931EF"/>
    <w:rsid w:val="656755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1"/>
    <w:next w:val="1"/>
    <w:unhideWhenUsed/>
    <w:qFormat/>
    <w:uiPriority w:val="9"/>
    <w:pPr>
      <w:keepNext/>
      <w:keepLines/>
      <w:jc w:val="center"/>
      <w:outlineLvl w:val="2"/>
    </w:pPr>
    <w:rPr>
      <w:rFonts w:ascii="Times New Roman" w:hAnsi="Times New Roman" w:eastAsia="宋体"/>
      <w:bCs/>
      <w:sz w:val="28"/>
      <w:szCs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nhideWhenUsed/>
    <w:qFormat/>
    <w:uiPriority w:val="99"/>
    <w:pPr>
      <w:widowControl/>
      <w:jc w:val="left"/>
    </w:pPr>
    <w:rPr>
      <w:rFonts w:ascii="宋体" w:hAnsi="宋体" w:eastAsia="宋体" w:cs="宋体"/>
      <w:kern w:val="0"/>
      <w:sz w:val="24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8">
    <w:name w:val="网格型1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2020-02-18T04:05:00Z</dcterms:created>
  <dc:creator>冷夜星云</dc:creator>
  <cp:lastModifiedBy>冷夜星云</cp:lastModifiedBy>
  <dcterms:modified xsi:type="dcterms:W3CDTF">2020-04-27T01:48:16Z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2052-11.1.0.9587</vt:lpwstr>
  </property>
</Properties>
</file>