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FB4" w:rsidRPr="00522BFF" w:rsidRDefault="00BC3FB4" w:rsidP="00522BFF">
      <w:pPr>
        <w:wordWrap/>
        <w:spacing w:after="0" w:line="480" w:lineRule="auto"/>
        <w:jc w:val="left"/>
        <w:rPr>
          <w:rFonts w:ascii="Times New Roman" w:hAnsi="Times New Roman" w:cs="Times New Roman"/>
          <w:b/>
          <w:bCs/>
          <w:sz w:val="22"/>
        </w:rPr>
      </w:pPr>
      <w:r w:rsidRPr="00522BFF">
        <w:rPr>
          <w:rFonts w:ascii="Times New Roman" w:hAnsi="Times New Roman" w:cs="Times New Roman"/>
          <w:b/>
          <w:bCs/>
          <w:sz w:val="22"/>
        </w:rPr>
        <w:t>Supplementary Methods</w:t>
      </w:r>
    </w:p>
    <w:p w:rsidR="00BC3FB4" w:rsidRPr="00522BFF" w:rsidRDefault="00BC3FB4" w:rsidP="00522BFF">
      <w:pPr>
        <w:wordWrap/>
        <w:spacing w:after="0" w:line="480" w:lineRule="auto"/>
        <w:jc w:val="left"/>
        <w:rPr>
          <w:rFonts w:ascii="Times New Roman" w:hAnsi="Times New Roman" w:cs="Times New Roman"/>
          <w:b/>
          <w:color w:val="000000" w:themeColor="text1"/>
          <w:sz w:val="22"/>
        </w:rPr>
      </w:pPr>
      <w:r w:rsidRPr="00522BFF">
        <w:rPr>
          <w:rFonts w:ascii="Times New Roman" w:hAnsi="Times New Roman" w:cs="Times New Roman"/>
          <w:b/>
          <w:color w:val="000000" w:themeColor="text1"/>
          <w:sz w:val="22"/>
        </w:rPr>
        <w:t>S1. Neuropsychological assessment</w:t>
      </w:r>
    </w:p>
    <w:p w:rsidR="00BC3FB4" w:rsidRDefault="00BC3FB4" w:rsidP="00522BFF">
      <w:pPr>
        <w:spacing w:after="0" w:line="480" w:lineRule="auto"/>
        <w:ind w:firstLineChars="200" w:firstLine="440"/>
        <w:jc w:val="left"/>
        <w:rPr>
          <w:rFonts w:ascii="Times New Roman" w:hAnsi="Times New Roman" w:cs="Times New Roman"/>
          <w:color w:val="000000" w:themeColor="text1"/>
          <w:sz w:val="22"/>
        </w:rPr>
      </w:pPr>
      <w:r w:rsidRPr="00522BFF">
        <w:rPr>
          <w:rFonts w:ascii="Times New Roman" w:hAnsi="Times New Roman" w:cs="Times New Roman"/>
          <w:color w:val="000000" w:themeColor="text1"/>
          <w:sz w:val="22"/>
        </w:rPr>
        <w:t>All subjects underwent a standardized neuropsychological battery called the Seoul Neuropsychological Screening Battery (SNSB) at initial assessment</w:t>
      </w:r>
      <w:r w:rsidRPr="008309F2">
        <w:rPr>
          <w:rFonts w:ascii="Times New Roman" w:hAnsi="Times New Roman" w:cs="Times New Roman"/>
          <w:noProof/>
          <w:color w:val="000000" w:themeColor="text1"/>
          <w:sz w:val="22"/>
          <w:vertAlign w:val="superscript"/>
        </w:rPr>
        <w:t>1</w:t>
      </w:r>
      <w:r w:rsidRPr="00522BFF">
        <w:rPr>
          <w:rFonts w:ascii="Times New Roman" w:hAnsi="Times New Roman" w:cs="Times New Roman"/>
          <w:color w:val="000000" w:themeColor="text1"/>
          <w:sz w:val="22"/>
        </w:rPr>
        <w:t xml:space="preserve">. </w:t>
      </w:r>
      <w:r w:rsidRPr="002A49B0">
        <w:rPr>
          <w:rFonts w:ascii="Times New Roman" w:hAnsi="Times New Roman" w:cs="Times New Roman"/>
          <w:color w:val="000000" w:themeColor="text1"/>
          <w:sz w:val="22"/>
        </w:rPr>
        <w:t>To reduce the redundancy of neuropsychological subtests and possibility of overrepresenting a single cognitive function domain, we first conducted a factor analysis based on 14 scorable subtests of the SNSB to yield four cognitive function domains (visual memory/visuospatial, verbal memory, frontal/executive, and attention/working memory/language) in patients with PD</w:t>
      </w:r>
      <w:r w:rsidRPr="008309F2">
        <w:rPr>
          <w:rFonts w:ascii="Times New Roman" w:hAnsi="Times New Roman" w:cs="Times New Roman"/>
          <w:noProof/>
          <w:color w:val="000000" w:themeColor="text1"/>
          <w:sz w:val="22"/>
          <w:vertAlign w:val="superscript"/>
        </w:rPr>
        <w:t>2</w:t>
      </w:r>
      <w:r w:rsidRPr="002A49B0">
        <w:rPr>
          <w:rFonts w:ascii="Times New Roman" w:hAnsi="Times New Roman" w:cs="Times New Roman"/>
          <w:color w:val="000000" w:themeColor="text1"/>
          <w:sz w:val="22"/>
        </w:rPr>
        <w:t>. In this study, the same formula was applied to calculate the composite scores of each cognitive function domain</w:t>
      </w:r>
      <w:r>
        <w:rPr>
          <w:rFonts w:ascii="Times New Roman" w:hAnsi="Times New Roman" w:cs="Times New Roman"/>
          <w:color w:val="000000" w:themeColor="text1"/>
          <w:sz w:val="22"/>
        </w:rPr>
        <w:t>.</w:t>
      </w:r>
    </w:p>
    <w:p w:rsidR="00BC3FB4" w:rsidRPr="00522BFF" w:rsidRDefault="00BC3FB4" w:rsidP="00522BFF">
      <w:pPr>
        <w:spacing w:after="0" w:line="480" w:lineRule="auto"/>
        <w:ind w:firstLineChars="200" w:firstLine="440"/>
        <w:jc w:val="left"/>
        <w:rPr>
          <w:rFonts w:ascii="Times New Roman" w:hAnsi="Times New Roman" w:cs="Times New Roman"/>
          <w:sz w:val="22"/>
        </w:rPr>
      </w:pPr>
      <w:r w:rsidRPr="00522BFF">
        <w:rPr>
          <w:rFonts w:ascii="Times New Roman" w:hAnsi="Times New Roman" w:cs="Times New Roman"/>
          <w:sz w:val="22"/>
        </w:rPr>
        <w:t>The SNSB covers five cognitive domains: attention and working memory (forward/backward digit span task and letter cancellation); language and related functions (the Korean version of the Boston Naming Test [K-BNT], calculation, and praxis); visuospatial function (the Rey Complex Figure Test [RCFT] copy), verbal and visual memory (immediate recall/delayed recall/recognition test using the Seoul Verbal Learning Test [SVLT] for verbal memory; immediate recall/delayed recall/recognition test using the RCFT for visual memory); and frontal/executive function (contrasting program and go/no-go test, the Controlled Oral Word Association Test [COWAT], and the Stroop test).</w:t>
      </w:r>
    </w:p>
    <w:p w:rsidR="00BC3FB4" w:rsidRPr="00522BFF" w:rsidRDefault="00BC3FB4" w:rsidP="00522BFF">
      <w:pPr>
        <w:spacing w:after="0" w:line="480" w:lineRule="auto"/>
        <w:ind w:firstLineChars="200" w:firstLine="440"/>
        <w:jc w:val="left"/>
        <w:rPr>
          <w:rFonts w:ascii="Times New Roman" w:hAnsi="Times New Roman" w:cs="Times New Roman"/>
          <w:color w:val="000000" w:themeColor="text1"/>
          <w:sz w:val="22"/>
        </w:rPr>
      </w:pPr>
      <w:r w:rsidRPr="00522BFF">
        <w:rPr>
          <w:rFonts w:ascii="Times New Roman" w:hAnsi="Times New Roman" w:cs="Times New Roman"/>
          <w:sz w:val="22"/>
        </w:rPr>
        <w:t xml:space="preserve">Among the subtests of the SNSB, age- and education-specific z-scores for 14 scorable items (forward digit span task, backward </w:t>
      </w:r>
      <w:r w:rsidRPr="00522BFF">
        <w:rPr>
          <w:rFonts w:ascii="Times New Roman" w:hAnsi="Times New Roman" w:cs="Times New Roman"/>
          <w:color w:val="000000"/>
          <w:sz w:val="22"/>
        </w:rPr>
        <w:t xml:space="preserve">digit span task, </w:t>
      </w:r>
      <w:r w:rsidRPr="00522BFF">
        <w:rPr>
          <w:rFonts w:ascii="Times New Roman" w:hAnsi="Times New Roman" w:cs="Times New Roman"/>
          <w:sz w:val="22"/>
        </w:rPr>
        <w:t>KBNT, RCFT co</w:t>
      </w:r>
      <w:r w:rsidRPr="00522BFF">
        <w:rPr>
          <w:rFonts w:ascii="Times New Roman" w:hAnsi="Times New Roman" w:cs="Times New Roman"/>
          <w:color w:val="000000"/>
          <w:sz w:val="22"/>
        </w:rPr>
        <w:t>py, immediate recall, delayed recall, and recognition items using the SVLT and RCFT, COWAT for animal, COWAT for supermarket, COWAT for phonemic fluency, and the Stroop color reading test) were used for calculating the composite scores of cognitive function domains (visual memory/visuospatial, verbal memory, and frontal/executive function</w:t>
      </w:r>
      <w:r w:rsidRPr="00522BFF">
        <w:rPr>
          <w:rFonts w:ascii="Times New Roman" w:hAnsi="Times New Roman" w:cs="Times New Roman"/>
          <w:color w:val="000000" w:themeColor="text1"/>
          <w:sz w:val="22"/>
        </w:rPr>
        <w:t>, and attention/working memory/language) as previously described</w:t>
      </w:r>
      <w:r w:rsidRPr="008309F2">
        <w:rPr>
          <w:rFonts w:ascii="Times New Roman" w:hAnsi="Times New Roman" w:cs="Times New Roman"/>
          <w:noProof/>
          <w:color w:val="000000" w:themeColor="text1"/>
          <w:sz w:val="22"/>
          <w:vertAlign w:val="superscript"/>
        </w:rPr>
        <w:t>2</w:t>
      </w:r>
      <w:r w:rsidRPr="00522BFF">
        <w:rPr>
          <w:rFonts w:ascii="Times New Roman" w:hAnsi="Times New Roman" w:cs="Times New Roman"/>
          <w:color w:val="000000" w:themeColor="text1"/>
          <w:sz w:val="22"/>
        </w:rPr>
        <w:t>:</w:t>
      </w:r>
    </w:p>
    <w:p w:rsidR="00BC3FB4" w:rsidRPr="00522BFF" w:rsidRDefault="00BC3FB4" w:rsidP="00522BFF">
      <w:pPr>
        <w:spacing w:after="0" w:line="480" w:lineRule="auto"/>
        <w:jc w:val="left"/>
        <w:rPr>
          <w:rFonts w:ascii="Times New Roman" w:hAnsi="Times New Roman" w:cs="Times New Roman"/>
          <w:color w:val="000000" w:themeColor="text1"/>
          <w:sz w:val="22"/>
        </w:rPr>
      </w:pPr>
    </w:p>
    <w:p w:rsidR="00BC3FB4" w:rsidRPr="00522BFF" w:rsidRDefault="00BC3FB4" w:rsidP="00522BFF">
      <w:pPr>
        <w:pStyle w:val="a3"/>
        <w:spacing w:after="0" w:line="480" w:lineRule="auto"/>
        <w:ind w:leftChars="0" w:left="0"/>
        <w:jc w:val="left"/>
        <w:rPr>
          <w:rFonts w:ascii="Times New Roman" w:hAnsi="Times New Roman" w:cs="Times New Roman"/>
          <w:sz w:val="22"/>
        </w:rPr>
      </w:pPr>
      <w:r w:rsidRPr="00522BFF">
        <w:rPr>
          <w:rFonts w:ascii="Times New Roman" w:hAnsi="Times New Roman" w:cs="Times New Roman"/>
          <w:color w:val="000000" w:themeColor="text1"/>
          <w:sz w:val="22"/>
        </w:rPr>
        <w:t>Visual memory/visuospatial function =</w:t>
      </w:r>
      <w:r w:rsidRPr="00522BFF">
        <w:rPr>
          <w:rFonts w:ascii="Times New Roman" w:hAnsi="Times New Roman" w:cs="Times New Roman"/>
          <w:color w:val="000000"/>
          <w:sz w:val="22"/>
        </w:rPr>
        <w:t xml:space="preserve"> </w:t>
      </w:r>
      <w:r w:rsidRPr="00522BFF">
        <w:rPr>
          <w:rFonts w:ascii="Times New Roman" w:hAnsi="Times New Roman" w:cs="Times New Roman"/>
          <w:sz w:val="22"/>
        </w:rPr>
        <w:t xml:space="preserve">0.422 × RCFT (immediate recall) + 0.417 × RCFT (delayed recall) + 0.259 × RCFT copy + 0.179 × RCFT (recognition) - 0.033 × SVLT (delayed recall) - 0.098 × SVLT (recognition) - 0.056 × SVLT (immediate recall) - 0.096 × COWAT-semantic fluency </w:t>
      </w:r>
      <w:r w:rsidRPr="00522BFF">
        <w:rPr>
          <w:rFonts w:ascii="Times New Roman" w:hAnsi="Times New Roman" w:cs="Times New Roman"/>
          <w:sz w:val="22"/>
        </w:rPr>
        <w:lastRenderedPageBreak/>
        <w:t xml:space="preserve">[supermarket] - </w:t>
      </w:r>
      <w:r w:rsidRPr="00522BFF">
        <w:rPr>
          <w:rFonts w:ascii="Times New Roman" w:hAnsi="Times New Roman" w:cs="Times New Roman"/>
          <w:color w:val="000000"/>
          <w:sz w:val="22"/>
        </w:rPr>
        <w:t xml:space="preserve">0.048 </w:t>
      </w:r>
      <w:r w:rsidRPr="00522BFF">
        <w:rPr>
          <w:rFonts w:ascii="Times New Roman" w:hAnsi="Times New Roman" w:cs="Times New Roman"/>
          <w:sz w:val="22"/>
        </w:rPr>
        <w:t>× COWAT-semantic fluency [animal] - 0.026 × COWAT-phonemic fluency + 0.076 × Color Stroop test - 0.148 × Forward digit span - 0.072 × Backward digit span + 0.034 × K-BNT</w:t>
      </w:r>
    </w:p>
    <w:p w:rsidR="00BC3FB4" w:rsidRPr="00522BFF" w:rsidRDefault="00BC3FB4" w:rsidP="00522BFF">
      <w:pPr>
        <w:pStyle w:val="a3"/>
        <w:spacing w:after="0" w:line="480" w:lineRule="auto"/>
        <w:ind w:leftChars="0" w:left="0"/>
        <w:jc w:val="left"/>
        <w:rPr>
          <w:rFonts w:ascii="Times New Roman" w:hAnsi="Times New Roman" w:cs="Times New Roman"/>
          <w:color w:val="000000" w:themeColor="text1"/>
          <w:sz w:val="22"/>
        </w:rPr>
      </w:pPr>
    </w:p>
    <w:p w:rsidR="00BC3FB4" w:rsidRPr="00522BFF" w:rsidRDefault="00BC3FB4" w:rsidP="00522BFF">
      <w:pPr>
        <w:pStyle w:val="a3"/>
        <w:spacing w:after="0" w:line="480" w:lineRule="auto"/>
        <w:ind w:leftChars="0" w:left="0"/>
        <w:jc w:val="left"/>
        <w:rPr>
          <w:rFonts w:ascii="Times New Roman" w:hAnsi="Times New Roman" w:cs="Times New Roman"/>
          <w:sz w:val="22"/>
        </w:rPr>
      </w:pPr>
      <w:r w:rsidRPr="00522BFF">
        <w:rPr>
          <w:rFonts w:ascii="Times New Roman" w:hAnsi="Times New Roman" w:cs="Times New Roman"/>
          <w:color w:val="000000" w:themeColor="text1"/>
          <w:sz w:val="22"/>
        </w:rPr>
        <w:t xml:space="preserve">Verbal memory function </w:t>
      </w:r>
      <w:r w:rsidRPr="00522BFF">
        <w:rPr>
          <w:rFonts w:ascii="Times New Roman" w:hAnsi="Times New Roman" w:cs="Times New Roman"/>
          <w:color w:val="000000"/>
          <w:sz w:val="22"/>
        </w:rPr>
        <w:t xml:space="preserve">= </w:t>
      </w:r>
      <w:r w:rsidRPr="00522BFF">
        <w:rPr>
          <w:rFonts w:ascii="Times New Roman" w:hAnsi="Times New Roman" w:cs="Times New Roman"/>
          <w:sz w:val="22"/>
        </w:rPr>
        <w:t xml:space="preserve">-0.016 × RCFT (immediate recall) -0.014 × RCFT (delayed recall) - 0.138 × RCFT copy - 0.025 × RCFT (recognition) + 0.436 × SVLT (delayed recall) + 0.437 × SVLT (recognition) + 0.378 × SVLT (immediate recall) - 0.030 × COWAT-semantic fluency [supermarket] - </w:t>
      </w:r>
      <w:r w:rsidRPr="00522BFF">
        <w:rPr>
          <w:rFonts w:ascii="Times New Roman" w:hAnsi="Times New Roman" w:cs="Times New Roman"/>
          <w:color w:val="000000"/>
          <w:sz w:val="22"/>
        </w:rPr>
        <w:t xml:space="preserve">0.020 </w:t>
      </w:r>
      <w:r w:rsidRPr="00522BFF">
        <w:rPr>
          <w:rFonts w:ascii="Times New Roman" w:hAnsi="Times New Roman" w:cs="Times New Roman"/>
          <w:sz w:val="22"/>
        </w:rPr>
        <w:t>× COWAT-semantic fluency [animal] - 0.073 × COWAT-phonemic fluency - 0.090 × Color Stroop test - 0.043 × Forward digit span - 0.061 × Backward digit span - 0.001 × K-BNT</w:t>
      </w:r>
    </w:p>
    <w:p w:rsidR="00BC3FB4" w:rsidRPr="00522BFF" w:rsidRDefault="00BC3FB4" w:rsidP="00522BFF">
      <w:pPr>
        <w:pStyle w:val="a3"/>
        <w:spacing w:after="0" w:line="480" w:lineRule="auto"/>
        <w:ind w:leftChars="0" w:left="0"/>
        <w:jc w:val="left"/>
        <w:rPr>
          <w:rFonts w:ascii="Times New Roman" w:hAnsi="Times New Roman" w:cs="Times New Roman"/>
          <w:sz w:val="22"/>
        </w:rPr>
      </w:pPr>
    </w:p>
    <w:p w:rsidR="00BC3FB4" w:rsidRPr="00522BFF" w:rsidRDefault="00BC3FB4" w:rsidP="00522BFF">
      <w:pPr>
        <w:pStyle w:val="a3"/>
        <w:spacing w:after="0" w:line="480" w:lineRule="auto"/>
        <w:ind w:leftChars="0" w:left="0"/>
        <w:jc w:val="left"/>
        <w:rPr>
          <w:rFonts w:ascii="Times New Roman" w:hAnsi="Times New Roman" w:cs="Times New Roman"/>
          <w:sz w:val="22"/>
        </w:rPr>
      </w:pPr>
      <w:r w:rsidRPr="00522BFF">
        <w:rPr>
          <w:rFonts w:ascii="Times New Roman" w:hAnsi="Times New Roman" w:cs="Times New Roman"/>
          <w:color w:val="000000" w:themeColor="text1"/>
          <w:sz w:val="22"/>
        </w:rPr>
        <w:t>Frontal/executive function</w:t>
      </w:r>
      <w:r w:rsidRPr="00522BFF">
        <w:rPr>
          <w:rFonts w:ascii="Times New Roman" w:hAnsi="Times New Roman" w:cs="Times New Roman"/>
          <w:color w:val="000000"/>
          <w:sz w:val="22"/>
        </w:rPr>
        <w:t xml:space="preserve"> = -</w:t>
      </w:r>
      <w:r w:rsidRPr="00522BFF">
        <w:rPr>
          <w:rFonts w:ascii="Times New Roman" w:hAnsi="Times New Roman" w:cs="Times New Roman"/>
          <w:sz w:val="22"/>
        </w:rPr>
        <w:t>0.054 × RCFT (immediate recall) - 0.034 × RCFT (delayed recall) + 0.058 × RCFT copy - 0.149 × RCFT (recognition) - 0.060 × SVLT (delayed recall) - 0.126 × SVLT (recognition) + 0.059 × SVLT (immediate recall) + 0.405 × COWAT-semantic fluency [supermarket] + 0.373</w:t>
      </w:r>
      <w:r w:rsidRPr="00522BFF">
        <w:rPr>
          <w:rFonts w:ascii="Times New Roman" w:hAnsi="Times New Roman" w:cs="Times New Roman"/>
          <w:color w:val="000000"/>
          <w:sz w:val="22"/>
        </w:rPr>
        <w:t xml:space="preserve"> </w:t>
      </w:r>
      <w:r w:rsidRPr="00522BFF">
        <w:rPr>
          <w:rFonts w:ascii="Times New Roman" w:hAnsi="Times New Roman" w:cs="Times New Roman"/>
          <w:sz w:val="22"/>
        </w:rPr>
        <w:t>× COWAT-semantic fluency [animal] + 0.315 × COWAT-phonemic fluency + 0.305 × Color Stroop test - 0.111 × Forward digit span + 0.022 × Backward digit span + 0.017 × K-BNT</w:t>
      </w:r>
    </w:p>
    <w:p w:rsidR="00BC3FB4" w:rsidRPr="00522BFF" w:rsidRDefault="00BC3FB4" w:rsidP="00522BFF">
      <w:pPr>
        <w:pStyle w:val="a3"/>
        <w:spacing w:after="0" w:line="480" w:lineRule="auto"/>
        <w:ind w:leftChars="0" w:left="0"/>
        <w:jc w:val="left"/>
        <w:rPr>
          <w:rFonts w:ascii="Times New Roman" w:hAnsi="Times New Roman" w:cs="Times New Roman"/>
          <w:sz w:val="22"/>
        </w:rPr>
      </w:pPr>
    </w:p>
    <w:p w:rsidR="00BC3FB4" w:rsidRDefault="00BC3FB4" w:rsidP="00522BFF">
      <w:pPr>
        <w:pStyle w:val="a3"/>
        <w:spacing w:after="0" w:line="480" w:lineRule="auto"/>
        <w:ind w:leftChars="0" w:left="0"/>
        <w:jc w:val="left"/>
        <w:rPr>
          <w:rFonts w:ascii="Times New Roman" w:hAnsi="Times New Roman" w:cs="Times New Roman"/>
          <w:sz w:val="22"/>
        </w:rPr>
      </w:pPr>
      <w:r w:rsidRPr="00522BFF">
        <w:rPr>
          <w:rFonts w:ascii="Times New Roman" w:hAnsi="Times New Roman" w:cs="Times New Roman"/>
          <w:color w:val="000000" w:themeColor="text1"/>
          <w:sz w:val="22"/>
        </w:rPr>
        <w:t>Attention/working memory/language function</w:t>
      </w:r>
      <w:r w:rsidRPr="00522BFF">
        <w:rPr>
          <w:rFonts w:ascii="Times New Roman" w:hAnsi="Times New Roman" w:cs="Times New Roman"/>
          <w:color w:val="000000"/>
          <w:sz w:val="22"/>
        </w:rPr>
        <w:t xml:space="preserve"> = </w:t>
      </w:r>
      <w:r w:rsidRPr="00522BFF">
        <w:rPr>
          <w:rFonts w:ascii="Times New Roman" w:hAnsi="Times New Roman" w:cs="Times New Roman"/>
          <w:sz w:val="22"/>
        </w:rPr>
        <w:t xml:space="preserve">-0.156 × RCFT (immediate recall) -0.163 × RCFT (delayed recall) + 0.026 × RCFT copy + 0.227 × RCFT (recognition) - 0.069 × SVLT (delayed recall) + 0.039 × SVLT (recognition) - 0.098 × SVLT (immediate recall) - 0.107 × COWAT-semantic fluency [supermarket] - </w:t>
      </w:r>
      <w:r w:rsidRPr="00522BFF">
        <w:rPr>
          <w:rFonts w:ascii="Times New Roman" w:hAnsi="Times New Roman" w:cs="Times New Roman"/>
          <w:color w:val="000000"/>
          <w:sz w:val="22"/>
        </w:rPr>
        <w:t xml:space="preserve">0.071 </w:t>
      </w:r>
      <w:r w:rsidRPr="00522BFF">
        <w:rPr>
          <w:rFonts w:ascii="Times New Roman" w:hAnsi="Times New Roman" w:cs="Times New Roman"/>
          <w:sz w:val="22"/>
        </w:rPr>
        <w:t>× COWAT-semantic fluency [animal] + 0.081 × COWAT-phonemic fluency - 0.055 × Color Stroop test + 0.593 × Forward digit span + 0.449 × Backward digit span + 0.233 × K-BNT</w:t>
      </w:r>
    </w:p>
    <w:p w:rsidR="00BC3FB4" w:rsidRDefault="00BC3FB4">
      <w:pPr>
        <w:widowControl/>
        <w:wordWrap/>
        <w:autoSpaceDE/>
        <w:autoSpaceDN/>
        <w:rPr>
          <w:rFonts w:ascii="Times New Roman" w:hAnsi="Times New Roman" w:cs="Times New Roman"/>
          <w:sz w:val="22"/>
        </w:rPr>
      </w:pPr>
      <w:r>
        <w:rPr>
          <w:rFonts w:ascii="Times New Roman" w:hAnsi="Times New Roman" w:cs="Times New Roman"/>
          <w:sz w:val="22"/>
        </w:rPr>
        <w:br w:type="page"/>
      </w:r>
    </w:p>
    <w:p w:rsidR="00BC3FB4" w:rsidRPr="00800BE4" w:rsidRDefault="00BC3FB4" w:rsidP="00800BE4">
      <w:pPr>
        <w:wordWrap/>
        <w:spacing w:after="0" w:line="480" w:lineRule="auto"/>
        <w:jc w:val="left"/>
        <w:rPr>
          <w:rFonts w:ascii="Times New Roman" w:hAnsi="Times New Roman" w:cs="Times New Roman"/>
          <w:b/>
          <w:color w:val="000000" w:themeColor="text1"/>
          <w:sz w:val="22"/>
        </w:rPr>
      </w:pPr>
      <w:r w:rsidRPr="00800BE4">
        <w:rPr>
          <w:rFonts w:ascii="Times New Roman" w:hAnsi="Times New Roman" w:cs="Times New Roman"/>
          <w:b/>
          <w:sz w:val="22"/>
        </w:rPr>
        <w:lastRenderedPageBreak/>
        <w:t xml:space="preserve">S2. </w:t>
      </w:r>
      <w:r w:rsidRPr="00800BE4">
        <w:rPr>
          <w:rFonts w:ascii="Times New Roman" w:hAnsi="Times New Roman" w:cs="Times New Roman"/>
          <w:b/>
          <w:color w:val="000000" w:themeColor="text1"/>
          <w:sz w:val="22"/>
        </w:rPr>
        <w:t>Assessment of dementia conversion</w:t>
      </w:r>
    </w:p>
    <w:p w:rsidR="00BC3FB4" w:rsidRPr="002A49B0" w:rsidRDefault="00BC3FB4" w:rsidP="00800BE4">
      <w:pPr>
        <w:wordWrap/>
        <w:spacing w:after="0" w:line="480" w:lineRule="auto"/>
        <w:ind w:firstLineChars="200" w:firstLine="440"/>
        <w:jc w:val="left"/>
        <w:rPr>
          <w:rFonts w:ascii="Times New Roman" w:hAnsi="Times New Roman" w:cs="Times New Roman"/>
          <w:color w:val="000000" w:themeColor="text1"/>
          <w:sz w:val="22"/>
        </w:rPr>
      </w:pPr>
      <w:r w:rsidRPr="002A49B0">
        <w:rPr>
          <w:rFonts w:ascii="Times New Roman" w:hAnsi="Times New Roman" w:cs="Times New Roman"/>
          <w:color w:val="000000" w:themeColor="text1"/>
          <w:sz w:val="22"/>
        </w:rPr>
        <w:t>During the follow-up period, patients were diagnosed with PDD if they fulfilled the clinical criteria for probable PDD based on the Movement Disorder Society Task Force guidelines</w:t>
      </w:r>
      <w:r w:rsidRPr="008309F2">
        <w:rPr>
          <w:rFonts w:ascii="Times New Roman" w:hAnsi="Times New Roman" w:cs="Times New Roman"/>
          <w:noProof/>
          <w:color w:val="000000" w:themeColor="text1"/>
          <w:sz w:val="22"/>
          <w:vertAlign w:val="superscript"/>
        </w:rPr>
        <w:t>2,3</w:t>
      </w:r>
      <w:r w:rsidRPr="002A49B0">
        <w:rPr>
          <w:rFonts w:ascii="Times New Roman" w:hAnsi="Times New Roman" w:cs="Times New Roman"/>
          <w:color w:val="000000" w:themeColor="text1"/>
          <w:sz w:val="22"/>
        </w:rPr>
        <w:t xml:space="preserve">. </w:t>
      </w:r>
      <w:r>
        <w:rPr>
          <w:rFonts w:ascii="Times New Roman" w:hAnsi="Times New Roman" w:cs="Times New Roman" w:hint="eastAsia"/>
          <w:color w:val="000000" w:themeColor="text1"/>
          <w:sz w:val="22"/>
        </w:rPr>
        <w:t xml:space="preserve"> </w:t>
      </w:r>
      <w:r w:rsidRPr="002A49B0">
        <w:rPr>
          <w:rFonts w:ascii="Times New Roman" w:hAnsi="Times New Roman" w:cs="Times New Roman"/>
          <w:color w:val="000000" w:themeColor="text1"/>
          <w:sz w:val="22"/>
        </w:rPr>
        <w:t>After diagnosis of PD, patients visited the outpatient clinic at 3-month intervals, and at every visit, they or their caregivers were asked questions regarding their daily functioning. Additionally, all patients underwent serial cognitive assessment using the Korean version of the Mini-Mental State Examination (K-MMSE) and Clock Drawing Test with a one-year interval (Level I tests)</w:t>
      </w:r>
      <w:r w:rsidRPr="008309F2">
        <w:rPr>
          <w:rFonts w:ascii="Times New Roman" w:hAnsi="Times New Roman" w:cs="Times New Roman"/>
          <w:noProof/>
          <w:color w:val="000000" w:themeColor="text1"/>
          <w:sz w:val="22"/>
          <w:vertAlign w:val="superscript"/>
        </w:rPr>
        <w:t>3</w:t>
      </w:r>
      <w:r w:rsidRPr="002A49B0">
        <w:rPr>
          <w:rFonts w:ascii="Times New Roman" w:hAnsi="Times New Roman" w:cs="Times New Roman"/>
          <w:noProof/>
          <w:color w:val="000000" w:themeColor="text1"/>
          <w:sz w:val="22"/>
        </w:rPr>
        <w:t>. In case of definite cognitive decline or evidence of impairments in daily life due to cognitive changes (Level I</w:t>
      </w:r>
      <w:r w:rsidRPr="008309F2">
        <w:rPr>
          <w:rFonts w:ascii="Times New Roman" w:hAnsi="Times New Roman" w:cs="Times New Roman"/>
          <w:noProof/>
          <w:color w:val="000000" w:themeColor="text1"/>
          <w:sz w:val="22"/>
          <w:vertAlign w:val="superscript"/>
        </w:rPr>
        <w:t>4</w:t>
      </w:r>
      <w:r w:rsidRPr="002A49B0">
        <w:rPr>
          <w:rFonts w:ascii="Times New Roman" w:hAnsi="Times New Roman" w:cs="Times New Roman"/>
          <w:noProof/>
          <w:color w:val="000000" w:themeColor="text1"/>
          <w:sz w:val="22"/>
        </w:rPr>
        <w:t>), most patients underwent the SNSB to identify the pattern of cognitive deficits and diagnose PDD at Level II</w:t>
      </w:r>
      <w:r w:rsidRPr="008309F2">
        <w:rPr>
          <w:rFonts w:ascii="Times New Roman" w:hAnsi="Times New Roman" w:cs="Times New Roman"/>
          <w:noProof/>
          <w:color w:val="000000" w:themeColor="text1"/>
          <w:sz w:val="22"/>
          <w:vertAlign w:val="superscript"/>
        </w:rPr>
        <w:t>3,5</w:t>
      </w:r>
      <w:r w:rsidRPr="002A49B0">
        <w:rPr>
          <w:rFonts w:ascii="Times New Roman" w:hAnsi="Times New Roman" w:cs="Times New Roman"/>
          <w:noProof/>
          <w:color w:val="000000" w:themeColor="text1"/>
          <w:sz w:val="22"/>
        </w:rPr>
        <w:t xml:space="preserve">. </w:t>
      </w:r>
    </w:p>
    <w:p w:rsidR="00BC3FB4" w:rsidRPr="00800BE4" w:rsidRDefault="00BC3FB4" w:rsidP="00522BFF">
      <w:pPr>
        <w:pStyle w:val="a3"/>
        <w:spacing w:after="0" w:line="480" w:lineRule="auto"/>
        <w:ind w:leftChars="0" w:left="0"/>
        <w:jc w:val="left"/>
        <w:rPr>
          <w:rFonts w:ascii="Times New Roman" w:hAnsi="Times New Roman" w:cs="Times New Roman"/>
          <w:sz w:val="22"/>
        </w:rPr>
      </w:pPr>
    </w:p>
    <w:p w:rsidR="00BC3FB4" w:rsidRPr="00522BFF" w:rsidRDefault="00BC3FB4" w:rsidP="00522BFF">
      <w:pPr>
        <w:widowControl/>
        <w:wordWrap/>
        <w:autoSpaceDE/>
        <w:autoSpaceDN/>
        <w:spacing w:line="480" w:lineRule="auto"/>
        <w:rPr>
          <w:rFonts w:ascii="Times New Roman" w:hAnsi="Times New Roman" w:cs="Times New Roman"/>
          <w:sz w:val="22"/>
        </w:rPr>
      </w:pPr>
      <w:r w:rsidRPr="00522BFF">
        <w:rPr>
          <w:rFonts w:ascii="Times New Roman" w:hAnsi="Times New Roman" w:cs="Times New Roman"/>
          <w:sz w:val="22"/>
        </w:rPr>
        <w:br w:type="page"/>
      </w:r>
    </w:p>
    <w:p w:rsidR="00BC3FB4" w:rsidRPr="00522BFF" w:rsidRDefault="00BC3FB4" w:rsidP="00522BFF">
      <w:pPr>
        <w:wordWrap/>
        <w:spacing w:after="0" w:line="480" w:lineRule="auto"/>
        <w:jc w:val="left"/>
        <w:outlineLvl w:val="0"/>
        <w:rPr>
          <w:rFonts w:ascii="Times New Roman" w:hAnsi="Times New Roman" w:cs="Times New Roman"/>
          <w:color w:val="000000" w:themeColor="text1"/>
          <w:sz w:val="22"/>
        </w:rPr>
      </w:pPr>
      <w:r w:rsidRPr="00522BFF">
        <w:rPr>
          <w:rFonts w:ascii="Times New Roman" w:hAnsi="Times New Roman" w:cs="Times New Roman"/>
          <w:b/>
          <w:sz w:val="22"/>
        </w:rPr>
        <w:lastRenderedPageBreak/>
        <w:t>S</w:t>
      </w:r>
      <w:r>
        <w:rPr>
          <w:rFonts w:ascii="Times New Roman" w:hAnsi="Times New Roman" w:cs="Times New Roman"/>
          <w:b/>
          <w:sz w:val="22"/>
        </w:rPr>
        <w:t>3</w:t>
      </w:r>
      <w:r w:rsidRPr="00522BFF">
        <w:rPr>
          <w:rFonts w:ascii="Times New Roman" w:hAnsi="Times New Roman" w:cs="Times New Roman"/>
          <w:b/>
          <w:sz w:val="22"/>
        </w:rPr>
        <w:t>.</w:t>
      </w:r>
      <w:r w:rsidRPr="00522BFF">
        <w:rPr>
          <w:rFonts w:ascii="Times New Roman" w:hAnsi="Times New Roman" w:cs="Times New Roman"/>
          <w:sz w:val="22"/>
        </w:rPr>
        <w:t xml:space="preserve"> </w:t>
      </w:r>
      <w:r w:rsidRPr="00522BFF">
        <w:rPr>
          <w:rFonts w:ascii="Times New Roman" w:hAnsi="Times New Roman" w:cs="Times New Roman"/>
          <w:b/>
          <w:color w:val="000000" w:themeColor="text1"/>
          <w:sz w:val="22"/>
        </w:rPr>
        <w:t xml:space="preserve">MRI protocols </w:t>
      </w:r>
    </w:p>
    <w:p w:rsidR="00BC3FB4" w:rsidRPr="00522BFF" w:rsidRDefault="00BC3FB4" w:rsidP="00522BFF">
      <w:pPr>
        <w:wordWrap/>
        <w:spacing w:after="0" w:line="480" w:lineRule="auto"/>
        <w:ind w:firstLineChars="200" w:firstLine="440"/>
        <w:jc w:val="left"/>
        <w:rPr>
          <w:rFonts w:ascii="Times New Roman" w:hAnsi="Times New Roman" w:cs="Times New Roman"/>
          <w:color w:val="000000" w:themeColor="text1"/>
          <w:sz w:val="22"/>
        </w:rPr>
      </w:pPr>
      <w:r w:rsidRPr="00522BFF">
        <w:rPr>
          <w:rFonts w:ascii="Times New Roman" w:hAnsi="Times New Roman" w:cs="Times New Roman"/>
          <w:color w:val="000000" w:themeColor="text1"/>
          <w:sz w:val="22"/>
        </w:rPr>
        <w:t xml:space="preserve">All scans were acquired with a 3T scanner (Achieva; Philips Healthcare, Best, the Netherlands, or Ingenia CX; Philips Healthcare, Best, the Netherlands) with a 32-channel head coil. Head motion was minimized with restraining foam pads provided by the manufacturer. The MRI imaging protocol included T2-weighted images (repetition time [TR]/echo time [TE], 2800–3000/80–100 ms; field of view [FOV], 230-240 mm; section thickness, 5 mm; </w:t>
      </w:r>
      <w:r w:rsidRPr="006145FA">
        <w:rPr>
          <w:rFonts w:ascii="Times New Roman" w:hAnsi="Times New Roman" w:cs="Times New Roman"/>
          <w:color w:val="000000" w:themeColor="text1"/>
          <w:sz w:val="22"/>
        </w:rPr>
        <w:t xml:space="preserve">slice gap, 7 mm; </w:t>
      </w:r>
      <w:r w:rsidRPr="00522BFF">
        <w:rPr>
          <w:rFonts w:ascii="Times New Roman" w:hAnsi="Times New Roman" w:cs="Times New Roman"/>
          <w:color w:val="000000" w:themeColor="text1"/>
          <w:sz w:val="22"/>
        </w:rPr>
        <w:t xml:space="preserve">matrix, 256 × 256), FLAIR (TR/TE, 9000–10,000/110–125 ms; FOV, 240 mm; section thickness, 5 mm; </w:t>
      </w:r>
      <w:r w:rsidRPr="006145FA">
        <w:rPr>
          <w:rFonts w:ascii="Times New Roman" w:hAnsi="Times New Roman" w:cs="Times New Roman"/>
          <w:color w:val="000000" w:themeColor="text1"/>
          <w:sz w:val="22"/>
        </w:rPr>
        <w:t xml:space="preserve">slice gap, 7 mm; </w:t>
      </w:r>
      <w:r w:rsidRPr="00522BFF">
        <w:rPr>
          <w:rFonts w:ascii="Times New Roman" w:hAnsi="Times New Roman" w:cs="Times New Roman"/>
          <w:color w:val="000000" w:themeColor="text1"/>
          <w:sz w:val="22"/>
        </w:rPr>
        <w:t>matrix, 256 × 256), and noncontrast 3D T1-weighted images (TR/TE, 6.9/3.2 ms; FOV, 230-240 mm; section thickness, 1.2 mm; matrix, 256 × 256).</w:t>
      </w:r>
    </w:p>
    <w:p w:rsidR="00BC3FB4" w:rsidRPr="00522BFF" w:rsidRDefault="00BC3FB4" w:rsidP="00522BFF">
      <w:pPr>
        <w:spacing w:after="0" w:line="480" w:lineRule="auto"/>
        <w:rPr>
          <w:rFonts w:ascii="Times New Roman" w:hAnsi="Times New Roman" w:cs="Times New Roman"/>
          <w:b/>
          <w:sz w:val="22"/>
        </w:rPr>
      </w:pPr>
    </w:p>
    <w:p w:rsidR="00BC3FB4" w:rsidRPr="00522BFF" w:rsidRDefault="00BC3FB4" w:rsidP="00522BFF">
      <w:pPr>
        <w:wordWrap/>
        <w:spacing w:after="0" w:line="480" w:lineRule="auto"/>
        <w:jc w:val="left"/>
        <w:outlineLvl w:val="0"/>
        <w:rPr>
          <w:rFonts w:ascii="Times New Roman" w:hAnsi="Times New Roman" w:cs="Times New Roman"/>
          <w:b/>
          <w:color w:val="000000" w:themeColor="text1"/>
          <w:sz w:val="22"/>
        </w:rPr>
      </w:pPr>
      <w:r>
        <w:rPr>
          <w:rFonts w:ascii="Times New Roman" w:hAnsi="Times New Roman" w:cs="Times New Roman"/>
          <w:b/>
          <w:sz w:val="22"/>
        </w:rPr>
        <w:t>S4.</w:t>
      </w:r>
      <w:r w:rsidRPr="00522BFF">
        <w:rPr>
          <w:rFonts w:ascii="Times New Roman" w:hAnsi="Times New Roman" w:cs="Times New Roman"/>
          <w:b/>
          <w:sz w:val="22"/>
        </w:rPr>
        <w:t xml:space="preserve"> </w:t>
      </w:r>
      <w:r w:rsidRPr="00522BFF">
        <w:rPr>
          <w:rFonts w:ascii="Times New Roman" w:hAnsi="Times New Roman" w:cs="Times New Roman"/>
          <w:b/>
          <w:color w:val="000000" w:themeColor="text1"/>
          <w:sz w:val="22"/>
        </w:rPr>
        <w:t>Image preprocessing and radiomics feature extraction</w:t>
      </w:r>
    </w:p>
    <w:p w:rsidR="00BC3FB4" w:rsidRPr="00522BFF" w:rsidRDefault="00BC3FB4" w:rsidP="00522BFF">
      <w:pPr>
        <w:wordWrap/>
        <w:spacing w:after="0" w:line="480" w:lineRule="auto"/>
        <w:ind w:firstLineChars="200" w:firstLine="440"/>
        <w:jc w:val="left"/>
        <w:rPr>
          <w:rFonts w:ascii="Times New Roman" w:hAnsi="Times New Roman" w:cs="Times New Roman"/>
          <w:color w:val="000000" w:themeColor="text1"/>
          <w:sz w:val="22"/>
        </w:rPr>
      </w:pPr>
      <w:r w:rsidRPr="00522BFF">
        <w:rPr>
          <w:rFonts w:ascii="Times New Roman" w:hAnsi="Times New Roman" w:cs="Times New Roman"/>
          <w:color w:val="000000" w:themeColor="text1"/>
          <w:sz w:val="22"/>
        </w:rPr>
        <w:t>Automated mask extraction of the basal ganglia, namely putamen and caudate, was performed using volBrain (https://volbrain.upv.es/)</w:t>
      </w:r>
      <w:r w:rsidRPr="008309F2">
        <w:rPr>
          <w:rFonts w:ascii="Times New Roman" w:hAnsi="Times New Roman" w:cs="Times New Roman"/>
          <w:noProof/>
          <w:color w:val="000000" w:themeColor="text1"/>
          <w:sz w:val="22"/>
          <w:vertAlign w:val="superscript"/>
        </w:rPr>
        <w:t>6</w:t>
      </w:r>
      <w:r w:rsidRPr="00522BFF">
        <w:rPr>
          <w:rFonts w:ascii="Times New Roman" w:hAnsi="Times New Roman" w:cs="Times New Roman"/>
          <w:color w:val="000000" w:themeColor="text1"/>
          <w:sz w:val="22"/>
        </w:rPr>
        <w:t>, which is a robust automatic pipeline for brain segmentation with high accuracy</w:t>
      </w:r>
      <w:r w:rsidRPr="008309F2">
        <w:rPr>
          <w:rFonts w:ascii="Times New Roman" w:hAnsi="Times New Roman" w:cs="Times New Roman"/>
          <w:noProof/>
          <w:color w:val="000000" w:themeColor="text1"/>
          <w:sz w:val="22"/>
          <w:vertAlign w:val="superscript"/>
        </w:rPr>
        <w:t>7</w:t>
      </w:r>
      <w:r w:rsidRPr="00522BFF">
        <w:rPr>
          <w:rFonts w:ascii="Times New Roman" w:hAnsi="Times New Roman" w:cs="Times New Roman"/>
          <w:color w:val="000000" w:themeColor="text1"/>
          <w:sz w:val="22"/>
        </w:rPr>
        <w:t>. Preprocessing of the images was performed to standardize the data analysis across patients. After removing unwanted low-frequency intensity nonuniformity by applying the N4 bias correction algorithm</w:t>
      </w:r>
      <w:r w:rsidRPr="008309F2">
        <w:rPr>
          <w:rFonts w:ascii="Times New Roman" w:hAnsi="Times New Roman" w:cs="Times New Roman"/>
          <w:noProof/>
          <w:color w:val="000000" w:themeColor="text1"/>
          <w:sz w:val="22"/>
          <w:vertAlign w:val="superscript"/>
        </w:rPr>
        <w:t>8</w:t>
      </w:r>
      <w:r w:rsidRPr="00522BFF">
        <w:rPr>
          <w:rFonts w:ascii="Times New Roman" w:hAnsi="Times New Roman" w:cs="Times New Roman"/>
          <w:color w:val="000000" w:themeColor="text1"/>
          <w:sz w:val="22"/>
        </w:rPr>
        <w:t xml:space="preserve">, normalization of signal intensity was performed via z-score. All images were resampled to 1-mm isovoxels. T2 and FLAIR images were co-registered with T1 images by affine transformation with normalized mutual information as a cost function. </w:t>
      </w:r>
    </w:p>
    <w:p w:rsidR="00BC3FB4" w:rsidRPr="00522BFF" w:rsidRDefault="00BC3FB4" w:rsidP="00522BFF">
      <w:pPr>
        <w:wordWrap/>
        <w:spacing w:after="0" w:line="480" w:lineRule="auto"/>
        <w:ind w:firstLineChars="200" w:firstLine="440"/>
        <w:jc w:val="left"/>
        <w:rPr>
          <w:rFonts w:ascii="Times New Roman" w:hAnsi="Times New Roman" w:cs="Times New Roman"/>
          <w:color w:val="000000" w:themeColor="text1"/>
          <w:sz w:val="22"/>
        </w:rPr>
      </w:pPr>
      <w:r w:rsidRPr="00522BFF">
        <w:rPr>
          <w:rFonts w:ascii="Times New Roman" w:hAnsi="Times New Roman" w:cs="Times New Roman"/>
          <w:color w:val="000000" w:themeColor="text1"/>
          <w:sz w:val="22"/>
        </w:rPr>
        <w:t xml:space="preserve">After image preprocessing, radiomic feature extraction from bilateral caudate and putamen was performed using </w:t>
      </w:r>
      <w:r w:rsidRPr="00522BFF">
        <w:rPr>
          <w:rFonts w:ascii="Times New Roman" w:hAnsi="Times New Roman" w:cs="Times New Roman"/>
          <w:color w:val="000000" w:themeColor="text1"/>
          <w:kern w:val="0"/>
          <w:sz w:val="22"/>
        </w:rPr>
        <w:t>PyRadiomics (version 2.0)</w:t>
      </w:r>
      <w:r w:rsidRPr="008309F2">
        <w:rPr>
          <w:rFonts w:ascii="Times New Roman" w:hAnsi="Times New Roman" w:cs="Times New Roman"/>
          <w:noProof/>
          <w:color w:val="000000" w:themeColor="text1"/>
          <w:kern w:val="0"/>
          <w:sz w:val="22"/>
          <w:vertAlign w:val="superscript"/>
        </w:rPr>
        <w:t>9</w:t>
      </w:r>
      <w:r w:rsidRPr="00522BFF">
        <w:rPr>
          <w:rFonts w:ascii="Times New Roman" w:hAnsi="Times New Roman" w:cs="Times New Roman"/>
          <w:color w:val="000000" w:themeColor="text1"/>
          <w:kern w:val="0"/>
          <w:sz w:val="22"/>
        </w:rPr>
        <w:t xml:space="preserve">, which </w:t>
      </w:r>
      <w:r w:rsidRPr="00522BFF">
        <w:rPr>
          <w:rFonts w:ascii="Times New Roman" w:hAnsi="Times New Roman" w:cs="Times New Roman"/>
          <w:color w:val="000000" w:themeColor="text1"/>
          <w:sz w:val="22"/>
        </w:rPr>
        <w:t>conformed to the Image Biomarker Standardization Initiative</w:t>
      </w:r>
      <w:r w:rsidRPr="008309F2">
        <w:rPr>
          <w:rFonts w:ascii="Times New Roman" w:hAnsi="Times New Roman" w:cs="Times New Roman"/>
          <w:noProof/>
          <w:color w:val="000000" w:themeColor="text1"/>
          <w:sz w:val="22"/>
          <w:vertAlign w:val="superscript"/>
        </w:rPr>
        <w:t>10</w:t>
      </w:r>
      <w:r w:rsidRPr="00522BFF">
        <w:rPr>
          <w:rFonts w:ascii="Times New Roman" w:hAnsi="Times New Roman" w:cs="Times New Roman"/>
          <w:color w:val="000000" w:themeColor="text1"/>
          <w:sz w:val="22"/>
        </w:rPr>
        <w:t xml:space="preserve">. Based on the more-affected side of each patient (either right or left), radiomic features from the more-affected caudate or putamen were distinguished from those of the less-affected caudate or putamen. The radiomic features </w:t>
      </w:r>
      <w:r w:rsidRPr="00522BFF">
        <w:rPr>
          <w:rFonts w:ascii="Times New Roman" w:hAnsi="Times New Roman" w:cs="Times New Roman"/>
          <w:color w:val="000000" w:themeColor="text1"/>
          <w:kern w:val="0"/>
          <w:sz w:val="22"/>
        </w:rPr>
        <w:t xml:space="preserve">included 14 shape features, 18 </w:t>
      </w:r>
      <w:r w:rsidRPr="00522BFF">
        <w:rPr>
          <w:rFonts w:ascii="Times New Roman" w:hAnsi="Times New Roman" w:cs="Times New Roman"/>
          <w:color w:val="000000" w:themeColor="text1"/>
          <w:sz w:val="22"/>
        </w:rPr>
        <w:t xml:space="preserve">first-order features, and 75 second-order features [such as gray-level co-occurrence matrix (n = 24), gray-level run-length matrix (GLRLM, n = 16), gray level size zone matrix (n = 16), gray level dependence matrix (GLDM, n = 14), and neighboring gray tone difference matrix (n = 5)]. A total of 1,284 (107 features × 2 subregions of the basal ganglia (caudate and putamen) × more-affected/less-affected side </w:t>
      </w:r>
      <w:r w:rsidRPr="00522BFF">
        <w:rPr>
          <w:rFonts w:ascii="Times New Roman" w:hAnsi="Times New Roman" w:cs="Times New Roman"/>
          <w:color w:val="000000" w:themeColor="text1"/>
          <w:sz w:val="22"/>
        </w:rPr>
        <w:lastRenderedPageBreak/>
        <w:t xml:space="preserve">× 3 sequences) radiomic features were extracted. </w:t>
      </w:r>
    </w:p>
    <w:p w:rsidR="00BC3FB4" w:rsidRPr="00522BFF" w:rsidRDefault="00BC3FB4" w:rsidP="00522BFF">
      <w:pPr>
        <w:spacing w:after="0" w:line="480" w:lineRule="auto"/>
        <w:rPr>
          <w:rFonts w:ascii="Times New Roman" w:hAnsi="Times New Roman" w:cs="Times New Roman"/>
          <w:b/>
          <w:sz w:val="22"/>
        </w:rPr>
      </w:pPr>
    </w:p>
    <w:p w:rsidR="00BC3FB4" w:rsidRPr="00522BFF" w:rsidRDefault="00BC3FB4" w:rsidP="00522BFF">
      <w:pPr>
        <w:spacing w:after="0" w:line="480" w:lineRule="auto"/>
        <w:rPr>
          <w:rFonts w:ascii="Times New Roman" w:hAnsi="Times New Roman" w:cs="Times New Roman"/>
          <w:b/>
          <w:sz w:val="22"/>
        </w:rPr>
      </w:pPr>
      <w:r w:rsidRPr="00522BFF">
        <w:rPr>
          <w:rFonts w:ascii="Times New Roman" w:hAnsi="Times New Roman" w:cs="Times New Roman"/>
          <w:b/>
          <w:sz w:val="22"/>
        </w:rPr>
        <w:t>S</w:t>
      </w:r>
      <w:r>
        <w:rPr>
          <w:rFonts w:ascii="Times New Roman" w:hAnsi="Times New Roman" w:cs="Times New Roman"/>
          <w:b/>
          <w:sz w:val="22"/>
        </w:rPr>
        <w:t>5</w:t>
      </w:r>
      <w:r w:rsidRPr="00522BFF">
        <w:rPr>
          <w:rFonts w:ascii="Times New Roman" w:hAnsi="Times New Roman" w:cs="Times New Roman"/>
          <w:b/>
          <w:sz w:val="22"/>
        </w:rPr>
        <w:t>.</w:t>
      </w:r>
      <w:r w:rsidRPr="00522BFF">
        <w:rPr>
          <w:rFonts w:ascii="Times New Roman" w:hAnsi="Times New Roman" w:cs="Times New Roman"/>
          <w:sz w:val="22"/>
        </w:rPr>
        <w:t xml:space="preserve"> </w:t>
      </w:r>
      <w:r w:rsidRPr="00522BFF">
        <w:rPr>
          <w:rFonts w:ascii="Times New Roman" w:hAnsi="Times New Roman" w:cs="Times New Roman"/>
          <w:b/>
          <w:sz w:val="22"/>
        </w:rPr>
        <w:t>Model interpretability with SHapley Additive exPlanations (SHAP)</w:t>
      </w:r>
    </w:p>
    <w:p w:rsidR="00BC3FB4" w:rsidRPr="00522BFF" w:rsidRDefault="00BC3FB4" w:rsidP="00522BFF">
      <w:pPr>
        <w:spacing w:after="0" w:line="480" w:lineRule="auto"/>
        <w:rPr>
          <w:rFonts w:ascii="Times New Roman" w:hAnsi="Times New Roman" w:cs="Times New Roman"/>
          <w:sz w:val="22"/>
        </w:rPr>
      </w:pPr>
      <w:r w:rsidRPr="00522BFF">
        <w:rPr>
          <w:rFonts w:ascii="Times New Roman" w:hAnsi="Times New Roman" w:cs="Times New Roman"/>
          <w:sz w:val="22"/>
        </w:rPr>
        <w:t>SHAP, originating from game theory, assesses the contribution of each variable of the model to its output</w:t>
      </w:r>
      <w:r w:rsidRPr="008309F2">
        <w:rPr>
          <w:rFonts w:ascii="Times New Roman" w:hAnsi="Times New Roman" w:cs="Times New Roman"/>
          <w:noProof/>
          <w:sz w:val="22"/>
          <w:vertAlign w:val="superscript"/>
        </w:rPr>
        <w:t>11,12</w:t>
      </w:r>
      <w:r w:rsidRPr="00522BFF">
        <w:rPr>
          <w:rFonts w:ascii="Times New Roman" w:hAnsi="Times New Roman" w:cs="Times New Roman"/>
          <w:sz w:val="22"/>
        </w:rPr>
        <w:t>. The output of each possible combination of other variables is collected. SHAP analysis enables the quantification of continuous and categorical variables in the texture features only and the combined models. Features listed higher on the left vertical axis indicate a stronger influence on the overall model outcome. Feature values are color coded: red data points indicate higher values, and blue data points indicate lower values</w:t>
      </w:r>
      <w:r w:rsidRPr="008309F2">
        <w:rPr>
          <w:rFonts w:ascii="Times New Roman" w:hAnsi="Times New Roman" w:cs="Times New Roman"/>
          <w:noProof/>
          <w:sz w:val="22"/>
          <w:vertAlign w:val="superscript"/>
        </w:rPr>
        <w:t>13</w:t>
      </w:r>
      <w:r w:rsidRPr="00522BFF">
        <w:rPr>
          <w:rFonts w:ascii="Times New Roman" w:hAnsi="Times New Roman" w:cs="Times New Roman"/>
          <w:sz w:val="22"/>
        </w:rPr>
        <w:t>. In addition, this allows the quantification of the impact of each variable on the prediction, not only on a global level (on the overall population) but also locally (on a subset or one patient)</w:t>
      </w:r>
      <w:r w:rsidRPr="008309F2">
        <w:rPr>
          <w:rFonts w:ascii="Times New Roman" w:hAnsi="Times New Roman" w:cs="Times New Roman"/>
          <w:noProof/>
          <w:sz w:val="22"/>
          <w:vertAlign w:val="superscript"/>
        </w:rPr>
        <w:t>14</w:t>
      </w:r>
      <w:r w:rsidRPr="00522BFF">
        <w:rPr>
          <w:rFonts w:ascii="Times New Roman" w:hAnsi="Times New Roman" w:cs="Times New Roman"/>
          <w:sz w:val="22"/>
        </w:rPr>
        <w:t>. Thus, Shapley values for each variable are additive, which makes the contribution of each variable convertible to a share of the output classification probability. This provides an intuitive visualization for clinicians using this model.</w:t>
      </w:r>
    </w:p>
    <w:p w:rsidR="00BC3FB4" w:rsidRPr="00522BFF" w:rsidRDefault="00BC3FB4" w:rsidP="00522BFF">
      <w:pPr>
        <w:widowControl/>
        <w:wordWrap/>
        <w:autoSpaceDE/>
        <w:autoSpaceDN/>
        <w:spacing w:line="480" w:lineRule="auto"/>
        <w:rPr>
          <w:rFonts w:ascii="Times New Roman" w:hAnsi="Times New Roman" w:cs="Times New Roman"/>
          <w:sz w:val="22"/>
        </w:rPr>
      </w:pPr>
      <w:r w:rsidRPr="00522BFF">
        <w:rPr>
          <w:rFonts w:ascii="Times New Roman" w:hAnsi="Times New Roman" w:cs="Times New Roman"/>
          <w:sz w:val="22"/>
        </w:rPr>
        <w:br w:type="page"/>
      </w:r>
    </w:p>
    <w:p w:rsidR="00BC3FB4" w:rsidRPr="00522BFF" w:rsidRDefault="00BC3FB4" w:rsidP="00522BFF">
      <w:pPr>
        <w:wordWrap/>
        <w:spacing w:after="0" w:line="480" w:lineRule="auto"/>
        <w:rPr>
          <w:rFonts w:ascii="Times New Roman" w:hAnsi="Times New Roman" w:cs="Times New Roman"/>
          <w:b/>
          <w:sz w:val="22"/>
        </w:rPr>
      </w:pPr>
      <w:r w:rsidRPr="00522BFF">
        <w:rPr>
          <w:rFonts w:ascii="Times New Roman" w:hAnsi="Times New Roman" w:cs="Times New Roman"/>
          <w:b/>
          <w:sz w:val="22"/>
        </w:rPr>
        <w:lastRenderedPageBreak/>
        <w:t>Supplementary Table. List of extracted radiomics features.</w:t>
      </w:r>
    </w:p>
    <w:tbl>
      <w:tblPr>
        <w:tblStyle w:val="a7"/>
        <w:tblW w:w="0" w:type="auto"/>
        <w:tblBorders>
          <w:left w:val="none" w:sz="0" w:space="0" w:color="auto"/>
          <w:right w:val="none" w:sz="0" w:space="0" w:color="auto"/>
        </w:tblBorders>
        <w:tblLook w:val="04A0" w:firstRow="1" w:lastRow="0" w:firstColumn="1" w:lastColumn="0" w:noHBand="0" w:noVBand="1"/>
      </w:tblPr>
      <w:tblGrid>
        <w:gridCol w:w="2346"/>
        <w:gridCol w:w="6680"/>
      </w:tblGrid>
      <w:tr w:rsidR="00BC3FB4" w:rsidRPr="00522BFF" w:rsidTr="00004E70">
        <w:tc>
          <w:tcPr>
            <w:tcW w:w="2346" w:type="dxa"/>
          </w:tcPr>
          <w:p w:rsidR="00BC3FB4" w:rsidRPr="00522BFF" w:rsidRDefault="00BC3FB4" w:rsidP="00522BFF">
            <w:pPr>
              <w:wordWrap/>
              <w:spacing w:line="480" w:lineRule="auto"/>
              <w:rPr>
                <w:rFonts w:ascii="Times New Roman" w:hAnsi="Times New Roman" w:cs="Times New Roman"/>
                <w:sz w:val="22"/>
              </w:rPr>
            </w:pPr>
            <w:r w:rsidRPr="00522BFF">
              <w:rPr>
                <w:rFonts w:ascii="Times New Roman" w:hAnsi="Times New Roman" w:cs="Times New Roman"/>
                <w:sz w:val="22"/>
              </w:rPr>
              <w:t>Feature category</w:t>
            </w:r>
          </w:p>
        </w:tc>
        <w:tc>
          <w:tcPr>
            <w:tcW w:w="6680" w:type="dxa"/>
          </w:tcPr>
          <w:p w:rsidR="00BC3FB4" w:rsidRPr="00522BFF" w:rsidRDefault="00BC3FB4" w:rsidP="00522BFF">
            <w:pPr>
              <w:wordWrap/>
              <w:spacing w:line="480" w:lineRule="auto"/>
              <w:rPr>
                <w:rFonts w:ascii="Times New Roman" w:hAnsi="Times New Roman" w:cs="Times New Roman"/>
                <w:sz w:val="22"/>
              </w:rPr>
            </w:pPr>
            <w:r w:rsidRPr="00522BFF">
              <w:rPr>
                <w:rFonts w:ascii="Times New Roman" w:hAnsi="Times New Roman" w:cs="Times New Roman"/>
                <w:sz w:val="22"/>
              </w:rPr>
              <w:t xml:space="preserve">Feature list </w:t>
            </w:r>
          </w:p>
        </w:tc>
      </w:tr>
      <w:tr w:rsidR="00BC3FB4" w:rsidRPr="00522BFF" w:rsidTr="00004E70">
        <w:tc>
          <w:tcPr>
            <w:tcW w:w="2346" w:type="dxa"/>
          </w:tcPr>
          <w:p w:rsidR="00BC3FB4" w:rsidRPr="00522BFF" w:rsidRDefault="00BC3FB4" w:rsidP="00522BFF">
            <w:pPr>
              <w:wordWrap/>
              <w:spacing w:line="480" w:lineRule="auto"/>
              <w:rPr>
                <w:rFonts w:ascii="Times New Roman" w:hAnsi="Times New Roman" w:cs="Times New Roman"/>
                <w:sz w:val="22"/>
              </w:rPr>
            </w:pPr>
            <w:r w:rsidRPr="00522BFF">
              <w:rPr>
                <w:rFonts w:ascii="Times New Roman" w:hAnsi="Times New Roman" w:cs="Times New Roman"/>
                <w:sz w:val="22"/>
              </w:rPr>
              <w:t>Shape (n = 14)</w:t>
            </w:r>
          </w:p>
        </w:tc>
        <w:tc>
          <w:tcPr>
            <w:tcW w:w="6680" w:type="dxa"/>
          </w:tcPr>
          <w:p w:rsidR="00BC3FB4" w:rsidRPr="00522BFF" w:rsidRDefault="00BC3FB4" w:rsidP="00522BFF">
            <w:pPr>
              <w:wordWrap/>
              <w:spacing w:line="480" w:lineRule="auto"/>
              <w:rPr>
                <w:rFonts w:ascii="Times New Roman" w:hAnsi="Times New Roman" w:cs="Times New Roman"/>
                <w:sz w:val="22"/>
              </w:rPr>
            </w:pPr>
            <w:r w:rsidRPr="00522BFF">
              <w:rPr>
                <w:rFonts w:ascii="Times New Roman" w:hAnsi="Times New Roman" w:cs="Times New Roman"/>
                <w:sz w:val="22"/>
              </w:rPr>
              <w:t xml:space="preserve">Volume, surface area, surface-area-to-volume ratio, sphericity, maximum 3D diameter, maximum 2D diameter (column), maximum 2D diameter (row), maximum 2D diameter (slice), major axis, minor axis, least axis, elongation, flatness, mesh volume </w:t>
            </w:r>
          </w:p>
        </w:tc>
      </w:tr>
      <w:tr w:rsidR="00BC3FB4" w:rsidRPr="00522BFF" w:rsidTr="00004E70">
        <w:tc>
          <w:tcPr>
            <w:tcW w:w="2346" w:type="dxa"/>
          </w:tcPr>
          <w:p w:rsidR="00BC3FB4" w:rsidRPr="00522BFF" w:rsidRDefault="00BC3FB4" w:rsidP="00522BFF">
            <w:pPr>
              <w:wordWrap/>
              <w:spacing w:line="480" w:lineRule="auto"/>
              <w:rPr>
                <w:rFonts w:ascii="Times New Roman" w:hAnsi="Times New Roman" w:cs="Times New Roman"/>
                <w:sz w:val="22"/>
              </w:rPr>
            </w:pPr>
            <w:r w:rsidRPr="00522BFF">
              <w:rPr>
                <w:rFonts w:ascii="Times New Roman" w:hAnsi="Times New Roman" w:cs="Times New Roman"/>
                <w:sz w:val="22"/>
              </w:rPr>
              <w:t>First order statistics (n = 18)</w:t>
            </w:r>
          </w:p>
        </w:tc>
        <w:tc>
          <w:tcPr>
            <w:tcW w:w="6680" w:type="dxa"/>
          </w:tcPr>
          <w:p w:rsidR="00BC3FB4" w:rsidRPr="00522BFF" w:rsidRDefault="00BC3FB4" w:rsidP="00522BFF">
            <w:pPr>
              <w:wordWrap/>
              <w:spacing w:line="480" w:lineRule="auto"/>
              <w:rPr>
                <w:rFonts w:ascii="Times New Roman" w:hAnsi="Times New Roman" w:cs="Times New Roman"/>
                <w:sz w:val="22"/>
              </w:rPr>
            </w:pPr>
            <w:r w:rsidRPr="00522BFF">
              <w:rPr>
                <w:rFonts w:ascii="Times New Roman" w:hAnsi="Times New Roman" w:cs="Times New Roman"/>
                <w:sz w:val="22"/>
              </w:rPr>
              <w:t>Energy, total energy, entropy, minimum, 10</w:t>
            </w:r>
            <w:r w:rsidRPr="00522BFF">
              <w:rPr>
                <w:rFonts w:ascii="Times New Roman" w:hAnsi="Times New Roman" w:cs="Times New Roman"/>
                <w:sz w:val="22"/>
                <w:vertAlign w:val="superscript"/>
              </w:rPr>
              <w:t>th</w:t>
            </w:r>
            <w:r w:rsidRPr="00522BFF">
              <w:rPr>
                <w:rFonts w:ascii="Times New Roman" w:hAnsi="Times New Roman" w:cs="Times New Roman"/>
                <w:sz w:val="22"/>
              </w:rPr>
              <w:t xml:space="preserve"> percentile, 90</w:t>
            </w:r>
            <w:r w:rsidRPr="00522BFF">
              <w:rPr>
                <w:rFonts w:ascii="Times New Roman" w:hAnsi="Times New Roman" w:cs="Times New Roman"/>
                <w:sz w:val="22"/>
                <w:vertAlign w:val="superscript"/>
              </w:rPr>
              <w:t>th</w:t>
            </w:r>
            <w:r w:rsidRPr="00522BFF">
              <w:rPr>
                <w:rFonts w:ascii="Times New Roman" w:hAnsi="Times New Roman" w:cs="Times New Roman"/>
                <w:sz w:val="22"/>
              </w:rPr>
              <w:t xml:space="preserve"> percentile, maximum, mean, median, interquartile range, range, mean absolute deviation, robust mean absolute deviation, root mean squared, skewness, kurtosis, variance, uniformity</w:t>
            </w:r>
          </w:p>
        </w:tc>
      </w:tr>
      <w:tr w:rsidR="00BC3FB4" w:rsidRPr="00522BFF" w:rsidTr="00004E70">
        <w:tc>
          <w:tcPr>
            <w:tcW w:w="2346" w:type="dxa"/>
          </w:tcPr>
          <w:p w:rsidR="00BC3FB4" w:rsidRPr="00522BFF" w:rsidRDefault="00BC3FB4" w:rsidP="00522BFF">
            <w:pPr>
              <w:spacing w:line="480" w:lineRule="auto"/>
              <w:rPr>
                <w:rFonts w:ascii="Times New Roman" w:hAnsi="Times New Roman" w:cs="Times New Roman"/>
                <w:sz w:val="22"/>
              </w:rPr>
            </w:pPr>
            <w:r w:rsidRPr="00522BFF">
              <w:rPr>
                <w:rFonts w:ascii="Times New Roman" w:hAnsi="Times New Roman" w:cs="Times New Roman"/>
                <w:sz w:val="22"/>
              </w:rPr>
              <w:t>GLCM (n = 24)</w:t>
            </w:r>
          </w:p>
          <w:p w:rsidR="00BC3FB4" w:rsidRPr="00522BFF" w:rsidRDefault="00BC3FB4" w:rsidP="00522BFF">
            <w:pPr>
              <w:wordWrap/>
              <w:spacing w:line="480" w:lineRule="auto"/>
              <w:rPr>
                <w:rFonts w:ascii="Times New Roman" w:hAnsi="Times New Roman" w:cs="Times New Roman"/>
                <w:sz w:val="22"/>
              </w:rPr>
            </w:pPr>
          </w:p>
        </w:tc>
        <w:tc>
          <w:tcPr>
            <w:tcW w:w="6680" w:type="dxa"/>
          </w:tcPr>
          <w:p w:rsidR="00BC3FB4" w:rsidRPr="00522BFF" w:rsidRDefault="00BC3FB4" w:rsidP="00522BFF">
            <w:pPr>
              <w:wordWrap/>
              <w:spacing w:line="480" w:lineRule="auto"/>
              <w:rPr>
                <w:rFonts w:ascii="Times New Roman" w:hAnsi="Times New Roman" w:cs="Times New Roman"/>
                <w:sz w:val="22"/>
              </w:rPr>
            </w:pPr>
            <w:r w:rsidRPr="00522BFF">
              <w:rPr>
                <w:rFonts w:ascii="Times New Roman" w:hAnsi="Times New Roman" w:cs="Times New Roman"/>
                <w:sz w:val="22"/>
              </w:rPr>
              <w:t xml:space="preserve">Autocorrelation, cluster prominence, cluster shade, cluster tendency, contrast, correlation, difference average, difference entropy, difference variance, inverse difference, inverse difference moment, inverse difference moment normalized, inverse difference normalized, informal measure of correlation 1, informal measure of correlation 2, inverse variance, joint average, joint energy, joint entropy, maximal correlation coefficient, maximum probability, sum average, sum entropy, sum of squares </w:t>
            </w:r>
          </w:p>
        </w:tc>
      </w:tr>
      <w:tr w:rsidR="00BC3FB4" w:rsidRPr="00522BFF" w:rsidTr="00004E70">
        <w:tc>
          <w:tcPr>
            <w:tcW w:w="2346" w:type="dxa"/>
          </w:tcPr>
          <w:p w:rsidR="00BC3FB4" w:rsidRPr="00522BFF" w:rsidRDefault="00BC3FB4" w:rsidP="00522BFF">
            <w:pPr>
              <w:wordWrap/>
              <w:spacing w:line="480" w:lineRule="auto"/>
              <w:rPr>
                <w:rFonts w:ascii="Times New Roman" w:hAnsi="Times New Roman" w:cs="Times New Roman"/>
                <w:sz w:val="22"/>
              </w:rPr>
            </w:pPr>
            <w:r w:rsidRPr="00522BFF">
              <w:rPr>
                <w:rFonts w:ascii="Times New Roman" w:hAnsi="Times New Roman" w:cs="Times New Roman"/>
                <w:sz w:val="22"/>
              </w:rPr>
              <w:t>GLRLM (n = 16)</w:t>
            </w:r>
          </w:p>
        </w:tc>
        <w:tc>
          <w:tcPr>
            <w:tcW w:w="6680" w:type="dxa"/>
          </w:tcPr>
          <w:p w:rsidR="00BC3FB4" w:rsidRPr="00522BFF" w:rsidRDefault="00BC3FB4" w:rsidP="00522BFF">
            <w:pPr>
              <w:wordWrap/>
              <w:spacing w:line="480" w:lineRule="auto"/>
              <w:rPr>
                <w:rFonts w:ascii="Times New Roman" w:hAnsi="Times New Roman" w:cs="Times New Roman"/>
                <w:sz w:val="22"/>
              </w:rPr>
            </w:pPr>
            <w:r w:rsidRPr="00522BFF">
              <w:rPr>
                <w:rFonts w:ascii="Times New Roman" w:hAnsi="Times New Roman" w:cs="Times New Roman"/>
                <w:sz w:val="22"/>
              </w:rPr>
              <w:t>Short-run emphasis, long-run emphasis, gray level nonuniformity, gray level nonuniformity normalized, run-length nonuniformity, run-length nonuniformity normalized, run percentage, gray level variance, run variance, run entropy, low gray level run emphasis, high gray level run emphasis, short-run low gray level emphasis, short-run high gray level emphasis, long-run low gray level emphasis, long-run high-gray level emphasis</w:t>
            </w:r>
          </w:p>
        </w:tc>
      </w:tr>
      <w:tr w:rsidR="00BC3FB4" w:rsidRPr="00522BFF" w:rsidTr="00004E70">
        <w:tc>
          <w:tcPr>
            <w:tcW w:w="2346" w:type="dxa"/>
          </w:tcPr>
          <w:p w:rsidR="00BC3FB4" w:rsidRPr="00522BFF" w:rsidRDefault="00BC3FB4" w:rsidP="00522BFF">
            <w:pPr>
              <w:wordWrap/>
              <w:spacing w:line="480" w:lineRule="auto"/>
              <w:rPr>
                <w:rFonts w:ascii="Times New Roman" w:hAnsi="Times New Roman" w:cs="Times New Roman"/>
                <w:sz w:val="22"/>
              </w:rPr>
            </w:pPr>
            <w:r w:rsidRPr="00522BFF">
              <w:rPr>
                <w:rFonts w:ascii="Times New Roman" w:hAnsi="Times New Roman" w:cs="Times New Roman"/>
                <w:sz w:val="22"/>
              </w:rPr>
              <w:t>GLSZM (n = 16)</w:t>
            </w:r>
          </w:p>
        </w:tc>
        <w:tc>
          <w:tcPr>
            <w:tcW w:w="6680" w:type="dxa"/>
          </w:tcPr>
          <w:p w:rsidR="00BC3FB4" w:rsidRPr="00522BFF" w:rsidRDefault="00BC3FB4" w:rsidP="00522BFF">
            <w:pPr>
              <w:wordWrap/>
              <w:spacing w:line="480" w:lineRule="auto"/>
              <w:rPr>
                <w:rFonts w:ascii="Times New Roman" w:hAnsi="Times New Roman" w:cs="Times New Roman"/>
                <w:sz w:val="22"/>
              </w:rPr>
            </w:pPr>
            <w:r w:rsidRPr="00522BFF">
              <w:rPr>
                <w:rFonts w:ascii="Times New Roman" w:hAnsi="Times New Roman" w:cs="Times New Roman"/>
                <w:sz w:val="22"/>
              </w:rPr>
              <w:t xml:space="preserve">Small area emphasis, large area emphasis, gray level non-uniformity, gray </w:t>
            </w:r>
            <w:r w:rsidRPr="00522BFF">
              <w:rPr>
                <w:rFonts w:ascii="Times New Roman" w:hAnsi="Times New Roman" w:cs="Times New Roman"/>
                <w:sz w:val="22"/>
              </w:rPr>
              <w:lastRenderedPageBreak/>
              <w:t>level non-uniformity normalized, size-zone non-uniformity, size-zone non-uniformity normalized, zone percentage, gray level variance, zone variance, zone entropy, low gray level zone emphasis, high gray level zone emphasis, small area low gray level emphasis, small area high gray level emphasis, large area low gray level emphasis, large area high gray level emphasis</w:t>
            </w:r>
          </w:p>
        </w:tc>
      </w:tr>
      <w:tr w:rsidR="00BC3FB4" w:rsidRPr="00522BFF" w:rsidTr="00004E70">
        <w:tc>
          <w:tcPr>
            <w:tcW w:w="2346" w:type="dxa"/>
          </w:tcPr>
          <w:p w:rsidR="00BC3FB4" w:rsidRPr="00522BFF" w:rsidRDefault="00BC3FB4" w:rsidP="00522BFF">
            <w:pPr>
              <w:wordWrap/>
              <w:spacing w:line="480" w:lineRule="auto"/>
              <w:rPr>
                <w:rFonts w:ascii="Times New Roman" w:hAnsi="Times New Roman" w:cs="Times New Roman"/>
                <w:sz w:val="22"/>
              </w:rPr>
            </w:pPr>
            <w:r w:rsidRPr="00522BFF">
              <w:rPr>
                <w:rFonts w:ascii="Times New Roman" w:hAnsi="Times New Roman" w:cs="Times New Roman"/>
                <w:sz w:val="22"/>
              </w:rPr>
              <w:lastRenderedPageBreak/>
              <w:t>GLDM (n = 14)</w:t>
            </w:r>
          </w:p>
        </w:tc>
        <w:tc>
          <w:tcPr>
            <w:tcW w:w="6680" w:type="dxa"/>
          </w:tcPr>
          <w:p w:rsidR="00BC3FB4" w:rsidRPr="00522BFF" w:rsidRDefault="00BC3FB4" w:rsidP="00522BFF">
            <w:pPr>
              <w:wordWrap/>
              <w:spacing w:line="480" w:lineRule="auto"/>
              <w:rPr>
                <w:rFonts w:ascii="Times New Roman" w:hAnsi="Times New Roman" w:cs="Times New Roman"/>
                <w:sz w:val="22"/>
              </w:rPr>
            </w:pPr>
            <w:r w:rsidRPr="00522BFF">
              <w:rPr>
                <w:rFonts w:ascii="Times New Roman" w:hAnsi="Times New Roman" w:cs="Times New Roman"/>
                <w:sz w:val="22"/>
              </w:rPr>
              <w:t>Small dependence emphasis, large dependence emphasis, gray level non-uniformity, dependence non-uniformity, dependence non-uniformity normalized, gray level 0076ariance, dependence variance, dependence entropy, low gray level emphasis, high gray level emphasis, small dependence low gray level emphasis, small dependence high gray level emphasis, large dependence low gray level emphasis, large dependence high gray level emphasis,</w:t>
            </w:r>
          </w:p>
        </w:tc>
      </w:tr>
      <w:tr w:rsidR="00BC3FB4" w:rsidRPr="00522BFF" w:rsidTr="00004E70">
        <w:tc>
          <w:tcPr>
            <w:tcW w:w="2346" w:type="dxa"/>
          </w:tcPr>
          <w:p w:rsidR="00BC3FB4" w:rsidRPr="00522BFF" w:rsidRDefault="00BC3FB4" w:rsidP="00522BFF">
            <w:pPr>
              <w:wordWrap/>
              <w:spacing w:line="480" w:lineRule="auto"/>
              <w:rPr>
                <w:rFonts w:ascii="Times New Roman" w:hAnsi="Times New Roman" w:cs="Times New Roman"/>
                <w:sz w:val="22"/>
              </w:rPr>
            </w:pPr>
            <w:r w:rsidRPr="00522BFF">
              <w:rPr>
                <w:rFonts w:ascii="Times New Roman" w:hAnsi="Times New Roman" w:cs="Times New Roman"/>
                <w:sz w:val="22"/>
              </w:rPr>
              <w:t>NTGDM (n = 5)</w:t>
            </w:r>
          </w:p>
        </w:tc>
        <w:tc>
          <w:tcPr>
            <w:tcW w:w="6680" w:type="dxa"/>
          </w:tcPr>
          <w:p w:rsidR="00BC3FB4" w:rsidRPr="00522BFF" w:rsidRDefault="00BC3FB4" w:rsidP="00522BFF">
            <w:pPr>
              <w:wordWrap/>
              <w:spacing w:line="480" w:lineRule="auto"/>
              <w:rPr>
                <w:rFonts w:ascii="Times New Roman" w:hAnsi="Times New Roman" w:cs="Times New Roman"/>
                <w:sz w:val="22"/>
              </w:rPr>
            </w:pPr>
            <w:r w:rsidRPr="00522BFF">
              <w:rPr>
                <w:rFonts w:ascii="Times New Roman" w:hAnsi="Times New Roman" w:cs="Times New Roman"/>
                <w:sz w:val="22"/>
              </w:rPr>
              <w:t>Coarseness, complexity, strength, contrast, busyness</w:t>
            </w:r>
          </w:p>
        </w:tc>
      </w:tr>
    </w:tbl>
    <w:p w:rsidR="00BC3FB4" w:rsidRPr="00522BFF" w:rsidRDefault="00BC3FB4" w:rsidP="00522BFF">
      <w:pPr>
        <w:widowControl/>
        <w:wordWrap/>
        <w:autoSpaceDE/>
        <w:autoSpaceDN/>
        <w:spacing w:line="480" w:lineRule="auto"/>
        <w:rPr>
          <w:rFonts w:ascii="Times New Roman" w:hAnsi="Times New Roman" w:cs="Times New Roman"/>
          <w:sz w:val="22"/>
        </w:rPr>
      </w:pPr>
      <w:r w:rsidRPr="00522BFF">
        <w:rPr>
          <w:rFonts w:ascii="Times New Roman" w:hAnsi="Times New Roman" w:cs="Times New Roman"/>
          <w:sz w:val="22"/>
        </w:rPr>
        <w:t>GLCM = gray level co-occurrence matrix, GLDM = gray level dependence matrix, GLRLM = gray level run-length matrix, GLSZM = gray level size zone matrix, NTGDM = neighboring gray tone difference matrix</w:t>
      </w:r>
    </w:p>
    <w:p w:rsidR="00BC3FB4" w:rsidRDefault="00BC3FB4">
      <w:pPr>
        <w:widowControl/>
        <w:wordWrap/>
        <w:autoSpaceDE/>
        <w:autoSpaceDN/>
        <w:rPr>
          <w:rFonts w:ascii="Times New Roman" w:hAnsi="Times New Roman" w:cs="Times New Roman"/>
          <w:sz w:val="22"/>
        </w:rPr>
      </w:pPr>
      <w:r>
        <w:rPr>
          <w:rFonts w:ascii="Times New Roman" w:hAnsi="Times New Roman" w:cs="Times New Roman"/>
          <w:sz w:val="22"/>
        </w:rPr>
        <w:br w:type="page"/>
      </w:r>
    </w:p>
    <w:p w:rsidR="00BC3FB4" w:rsidRPr="006145FA" w:rsidRDefault="00BC3FB4" w:rsidP="00800BE4">
      <w:pPr>
        <w:spacing w:after="0" w:line="480" w:lineRule="auto"/>
        <w:jc w:val="left"/>
        <w:rPr>
          <w:rFonts w:ascii="Times New Roman" w:hAnsi="Times New Roman" w:cs="Times New Roman"/>
          <w:color w:val="000000" w:themeColor="text1"/>
          <w:sz w:val="22"/>
        </w:rPr>
      </w:pPr>
      <w:r w:rsidRPr="006145FA">
        <w:rPr>
          <w:rFonts w:ascii="Times New Roman" w:hAnsi="Times New Roman" w:cs="Times New Roman"/>
          <w:b/>
          <w:sz w:val="22"/>
        </w:rPr>
        <w:lastRenderedPageBreak/>
        <w:t xml:space="preserve">Supplementary Table 2. </w:t>
      </w:r>
      <w:r w:rsidRPr="006145FA">
        <w:rPr>
          <w:rFonts w:ascii="Times New Roman" w:hAnsi="Times New Roman" w:cs="Times New Roman"/>
          <w:color w:val="000000" w:themeColor="text1"/>
          <w:sz w:val="22"/>
        </w:rPr>
        <w:t xml:space="preserve">Logistic regression </w:t>
      </w:r>
      <w:r w:rsidRPr="006145FA">
        <w:rPr>
          <w:rFonts w:ascii="Times New Roman" w:hAnsi="Times New Roman" w:cs="Times New Roman"/>
          <w:sz w:val="22"/>
        </w:rPr>
        <w:t>analysis for dementia within 5 years of PD diagnosis</w:t>
      </w:r>
    </w:p>
    <w:tbl>
      <w:tblPr>
        <w:tblStyle w:val="a7"/>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2404"/>
        <w:gridCol w:w="1418"/>
        <w:gridCol w:w="1366"/>
      </w:tblGrid>
      <w:tr w:rsidR="00BC3FB4" w:rsidRPr="006145FA" w:rsidTr="00CC7A62">
        <w:tc>
          <w:tcPr>
            <w:tcW w:w="3828" w:type="dxa"/>
            <w:tcBorders>
              <w:top w:val="single" w:sz="4" w:space="0" w:color="auto"/>
              <w:bottom w:val="single" w:sz="4" w:space="0" w:color="auto"/>
            </w:tcBorders>
          </w:tcPr>
          <w:p w:rsidR="00BC3FB4" w:rsidRPr="006145FA" w:rsidRDefault="00BC3FB4" w:rsidP="00CC7A62">
            <w:pPr>
              <w:spacing w:line="480" w:lineRule="auto"/>
              <w:jc w:val="left"/>
              <w:rPr>
                <w:rFonts w:ascii="Times New Roman" w:hAnsi="Times New Roman" w:cs="Times New Roman"/>
                <w:sz w:val="22"/>
              </w:rPr>
            </w:pPr>
          </w:p>
        </w:tc>
        <w:tc>
          <w:tcPr>
            <w:tcW w:w="2404" w:type="dxa"/>
            <w:tcBorders>
              <w:top w:val="single" w:sz="4" w:space="0" w:color="auto"/>
              <w:bottom w:val="single" w:sz="4" w:space="0" w:color="auto"/>
            </w:tcBorders>
          </w:tcPr>
          <w:p w:rsidR="00BC3FB4" w:rsidRPr="006145FA" w:rsidRDefault="00BC3FB4" w:rsidP="00CC7A62">
            <w:pPr>
              <w:spacing w:line="480" w:lineRule="auto"/>
              <w:jc w:val="left"/>
              <w:rPr>
                <w:rFonts w:ascii="Times New Roman" w:hAnsi="Times New Roman" w:cs="Times New Roman"/>
                <w:sz w:val="22"/>
              </w:rPr>
            </w:pPr>
            <w:r w:rsidRPr="006145FA">
              <w:rPr>
                <w:rFonts w:ascii="Times New Roman" w:hAnsi="Times New Roman" w:cs="Times New Roman"/>
                <w:sz w:val="22"/>
              </w:rPr>
              <w:t>Beta (SE)</w:t>
            </w:r>
          </w:p>
        </w:tc>
        <w:tc>
          <w:tcPr>
            <w:tcW w:w="1418" w:type="dxa"/>
            <w:tcBorders>
              <w:top w:val="single" w:sz="4" w:space="0" w:color="auto"/>
              <w:bottom w:val="single" w:sz="4" w:space="0" w:color="auto"/>
            </w:tcBorders>
          </w:tcPr>
          <w:p w:rsidR="00BC3FB4" w:rsidRPr="006145FA" w:rsidRDefault="00BC3FB4" w:rsidP="00CC7A62">
            <w:pPr>
              <w:spacing w:line="480" w:lineRule="auto"/>
              <w:jc w:val="left"/>
              <w:rPr>
                <w:rFonts w:ascii="Times New Roman" w:hAnsi="Times New Roman" w:cs="Times New Roman"/>
                <w:sz w:val="22"/>
              </w:rPr>
            </w:pPr>
            <w:r w:rsidRPr="006145FA">
              <w:rPr>
                <w:rFonts w:ascii="Times New Roman" w:hAnsi="Times New Roman" w:cs="Times New Roman"/>
                <w:sz w:val="22"/>
              </w:rPr>
              <w:t>p-value</w:t>
            </w:r>
          </w:p>
        </w:tc>
        <w:tc>
          <w:tcPr>
            <w:tcW w:w="1366" w:type="dxa"/>
            <w:tcBorders>
              <w:top w:val="single" w:sz="4" w:space="0" w:color="auto"/>
              <w:bottom w:val="single" w:sz="4" w:space="0" w:color="auto"/>
            </w:tcBorders>
          </w:tcPr>
          <w:p w:rsidR="00BC3FB4" w:rsidRPr="006145FA" w:rsidRDefault="00BC3FB4" w:rsidP="00CC7A62">
            <w:pPr>
              <w:spacing w:line="480" w:lineRule="auto"/>
              <w:jc w:val="left"/>
              <w:rPr>
                <w:rFonts w:ascii="Times New Roman" w:hAnsi="Times New Roman" w:cs="Times New Roman"/>
                <w:sz w:val="22"/>
              </w:rPr>
            </w:pPr>
            <w:r w:rsidRPr="006145FA">
              <w:rPr>
                <w:rFonts w:ascii="Times New Roman" w:hAnsi="Times New Roman" w:cs="Times New Roman"/>
                <w:sz w:val="22"/>
              </w:rPr>
              <w:t>VIF</w:t>
            </w:r>
          </w:p>
        </w:tc>
      </w:tr>
      <w:tr w:rsidR="00BC3FB4" w:rsidRPr="006145FA" w:rsidTr="00CC7A62">
        <w:tc>
          <w:tcPr>
            <w:tcW w:w="3828" w:type="dxa"/>
            <w:tcBorders>
              <w:top w:val="single" w:sz="4" w:space="0" w:color="auto"/>
              <w:bottom w:val="nil"/>
            </w:tcBorders>
          </w:tcPr>
          <w:p w:rsidR="00BC3FB4" w:rsidRPr="006145FA" w:rsidRDefault="00BC3FB4" w:rsidP="00CC7A62">
            <w:pPr>
              <w:spacing w:line="480" w:lineRule="auto"/>
              <w:jc w:val="left"/>
              <w:rPr>
                <w:rFonts w:ascii="Times New Roman" w:hAnsi="Times New Roman" w:cs="Times New Roman"/>
                <w:sz w:val="22"/>
              </w:rPr>
            </w:pPr>
            <w:r w:rsidRPr="006145FA">
              <w:rPr>
                <w:rFonts w:ascii="Times New Roman" w:hAnsi="Times New Roman" w:cs="Times New Roman"/>
                <w:sz w:val="22"/>
              </w:rPr>
              <w:t>Overall series</w:t>
            </w:r>
          </w:p>
        </w:tc>
        <w:tc>
          <w:tcPr>
            <w:tcW w:w="2404" w:type="dxa"/>
            <w:tcBorders>
              <w:top w:val="single" w:sz="4" w:space="0" w:color="auto"/>
              <w:bottom w:val="nil"/>
            </w:tcBorders>
          </w:tcPr>
          <w:p w:rsidR="00BC3FB4" w:rsidRPr="006145FA" w:rsidRDefault="00BC3FB4" w:rsidP="00CC7A62">
            <w:pPr>
              <w:spacing w:line="480" w:lineRule="auto"/>
              <w:jc w:val="left"/>
              <w:rPr>
                <w:rFonts w:ascii="Times New Roman" w:hAnsi="Times New Roman" w:cs="Times New Roman"/>
                <w:sz w:val="22"/>
              </w:rPr>
            </w:pPr>
          </w:p>
        </w:tc>
        <w:tc>
          <w:tcPr>
            <w:tcW w:w="1418" w:type="dxa"/>
            <w:tcBorders>
              <w:top w:val="single" w:sz="4" w:space="0" w:color="auto"/>
              <w:bottom w:val="nil"/>
            </w:tcBorders>
          </w:tcPr>
          <w:p w:rsidR="00BC3FB4" w:rsidRPr="006145FA" w:rsidRDefault="00BC3FB4" w:rsidP="00CC7A62">
            <w:pPr>
              <w:spacing w:line="480" w:lineRule="auto"/>
              <w:jc w:val="left"/>
              <w:rPr>
                <w:rFonts w:ascii="Times New Roman" w:hAnsi="Times New Roman" w:cs="Times New Roman"/>
                <w:sz w:val="22"/>
              </w:rPr>
            </w:pPr>
          </w:p>
        </w:tc>
        <w:tc>
          <w:tcPr>
            <w:tcW w:w="1366" w:type="dxa"/>
            <w:tcBorders>
              <w:top w:val="single" w:sz="4" w:space="0" w:color="auto"/>
              <w:bottom w:val="nil"/>
            </w:tcBorders>
          </w:tcPr>
          <w:p w:rsidR="00BC3FB4" w:rsidRPr="006145FA" w:rsidRDefault="00BC3FB4" w:rsidP="00CC7A62">
            <w:pPr>
              <w:spacing w:line="480" w:lineRule="auto"/>
              <w:jc w:val="left"/>
              <w:rPr>
                <w:rFonts w:ascii="Times New Roman" w:hAnsi="Times New Roman" w:cs="Times New Roman"/>
                <w:sz w:val="22"/>
              </w:rPr>
            </w:pPr>
          </w:p>
        </w:tc>
      </w:tr>
      <w:tr w:rsidR="00BC3FB4" w:rsidRPr="006145FA" w:rsidTr="00CC7A62">
        <w:tc>
          <w:tcPr>
            <w:tcW w:w="3828" w:type="dxa"/>
            <w:tcBorders>
              <w:top w:val="nil"/>
              <w:bottom w:val="nil"/>
            </w:tcBorders>
          </w:tcPr>
          <w:p w:rsidR="00BC3FB4" w:rsidRPr="006145FA" w:rsidRDefault="00BC3FB4" w:rsidP="00CC7A62">
            <w:pPr>
              <w:spacing w:line="480" w:lineRule="auto"/>
              <w:ind w:firstLineChars="100" w:firstLine="220"/>
              <w:jc w:val="left"/>
              <w:rPr>
                <w:rFonts w:ascii="Times New Roman" w:hAnsi="Times New Roman" w:cs="Times New Roman"/>
                <w:sz w:val="22"/>
              </w:rPr>
            </w:pPr>
            <w:r w:rsidRPr="006145FA">
              <w:rPr>
                <w:rFonts w:ascii="Times New Roman" w:hAnsi="Times New Roman" w:cs="Times New Roman"/>
                <w:sz w:val="22"/>
              </w:rPr>
              <w:t>Age</w:t>
            </w:r>
          </w:p>
        </w:tc>
        <w:tc>
          <w:tcPr>
            <w:tcW w:w="2404" w:type="dxa"/>
            <w:tcBorders>
              <w:top w:val="nil"/>
              <w:bottom w:val="nil"/>
            </w:tcBorders>
          </w:tcPr>
          <w:p w:rsidR="00BC3FB4" w:rsidRPr="006145FA" w:rsidRDefault="00BC3FB4" w:rsidP="00CC7A62">
            <w:pPr>
              <w:spacing w:line="480" w:lineRule="auto"/>
              <w:jc w:val="left"/>
              <w:rPr>
                <w:rFonts w:ascii="Times New Roman" w:hAnsi="Times New Roman" w:cs="Times New Roman"/>
                <w:sz w:val="22"/>
              </w:rPr>
            </w:pPr>
            <w:r w:rsidRPr="006145FA">
              <w:rPr>
                <w:rFonts w:ascii="Times New Roman" w:hAnsi="Times New Roman" w:cs="Times New Roman"/>
                <w:sz w:val="22"/>
              </w:rPr>
              <w:t>0.083 (0.023)</w:t>
            </w:r>
          </w:p>
        </w:tc>
        <w:tc>
          <w:tcPr>
            <w:tcW w:w="1418" w:type="dxa"/>
            <w:tcBorders>
              <w:top w:val="nil"/>
              <w:bottom w:val="nil"/>
            </w:tcBorders>
          </w:tcPr>
          <w:p w:rsidR="00BC3FB4" w:rsidRPr="006145FA" w:rsidRDefault="00BC3FB4" w:rsidP="00CC7A62">
            <w:pPr>
              <w:spacing w:line="480" w:lineRule="auto"/>
              <w:jc w:val="left"/>
              <w:rPr>
                <w:rFonts w:ascii="Times New Roman" w:hAnsi="Times New Roman" w:cs="Times New Roman"/>
                <w:sz w:val="22"/>
              </w:rPr>
            </w:pPr>
            <w:r w:rsidRPr="006145FA">
              <w:rPr>
                <w:rFonts w:ascii="Times New Roman" w:hAnsi="Times New Roman" w:cs="Times New Roman"/>
                <w:sz w:val="22"/>
              </w:rPr>
              <w:t>&lt;0.001</w:t>
            </w:r>
          </w:p>
        </w:tc>
        <w:tc>
          <w:tcPr>
            <w:tcW w:w="1366" w:type="dxa"/>
            <w:tcBorders>
              <w:top w:val="nil"/>
              <w:bottom w:val="nil"/>
            </w:tcBorders>
          </w:tcPr>
          <w:p w:rsidR="00BC3FB4" w:rsidRPr="006145FA" w:rsidRDefault="00BC3FB4" w:rsidP="00CC7A62">
            <w:pPr>
              <w:spacing w:line="480" w:lineRule="auto"/>
              <w:jc w:val="left"/>
              <w:rPr>
                <w:rFonts w:ascii="Times New Roman" w:hAnsi="Times New Roman" w:cs="Times New Roman"/>
                <w:sz w:val="22"/>
              </w:rPr>
            </w:pPr>
            <w:r w:rsidRPr="006145FA">
              <w:rPr>
                <w:rFonts w:ascii="Times New Roman" w:hAnsi="Times New Roman" w:cs="Times New Roman"/>
                <w:sz w:val="22"/>
              </w:rPr>
              <w:t>1.127</w:t>
            </w:r>
          </w:p>
        </w:tc>
      </w:tr>
      <w:tr w:rsidR="00BC3FB4" w:rsidRPr="006145FA" w:rsidTr="00CC7A62">
        <w:tc>
          <w:tcPr>
            <w:tcW w:w="3828" w:type="dxa"/>
            <w:tcBorders>
              <w:top w:val="nil"/>
              <w:bottom w:val="nil"/>
            </w:tcBorders>
          </w:tcPr>
          <w:p w:rsidR="00BC3FB4" w:rsidRPr="006145FA" w:rsidRDefault="00BC3FB4" w:rsidP="00CC7A62">
            <w:pPr>
              <w:spacing w:line="480" w:lineRule="auto"/>
              <w:ind w:firstLineChars="100" w:firstLine="220"/>
              <w:jc w:val="left"/>
              <w:rPr>
                <w:rFonts w:ascii="Times New Roman" w:hAnsi="Times New Roman" w:cs="Times New Roman"/>
                <w:sz w:val="22"/>
              </w:rPr>
            </w:pPr>
            <w:r w:rsidRPr="006145FA">
              <w:rPr>
                <w:rFonts w:ascii="Times New Roman" w:hAnsi="Times New Roman" w:cs="Times New Roman"/>
                <w:sz w:val="22"/>
              </w:rPr>
              <w:t>Disease duration</w:t>
            </w:r>
          </w:p>
        </w:tc>
        <w:tc>
          <w:tcPr>
            <w:tcW w:w="2404" w:type="dxa"/>
            <w:tcBorders>
              <w:top w:val="nil"/>
              <w:bottom w:val="nil"/>
            </w:tcBorders>
          </w:tcPr>
          <w:p w:rsidR="00BC3FB4" w:rsidRPr="006145FA" w:rsidRDefault="00BC3FB4" w:rsidP="00CC7A62">
            <w:pPr>
              <w:spacing w:line="480" w:lineRule="auto"/>
              <w:jc w:val="left"/>
              <w:rPr>
                <w:rFonts w:ascii="Times New Roman" w:hAnsi="Times New Roman" w:cs="Times New Roman"/>
                <w:sz w:val="22"/>
              </w:rPr>
            </w:pPr>
            <w:r w:rsidRPr="006145FA">
              <w:rPr>
                <w:rFonts w:ascii="Times New Roman" w:hAnsi="Times New Roman" w:cs="Times New Roman"/>
                <w:sz w:val="22"/>
              </w:rPr>
              <w:t>0.008 (0.010)</w:t>
            </w:r>
          </w:p>
        </w:tc>
        <w:tc>
          <w:tcPr>
            <w:tcW w:w="1418" w:type="dxa"/>
            <w:tcBorders>
              <w:top w:val="nil"/>
              <w:bottom w:val="nil"/>
            </w:tcBorders>
          </w:tcPr>
          <w:p w:rsidR="00BC3FB4" w:rsidRPr="006145FA" w:rsidRDefault="00BC3FB4" w:rsidP="00CC7A62">
            <w:pPr>
              <w:spacing w:line="480" w:lineRule="auto"/>
              <w:jc w:val="left"/>
              <w:rPr>
                <w:rFonts w:ascii="Times New Roman" w:hAnsi="Times New Roman" w:cs="Times New Roman"/>
                <w:sz w:val="22"/>
              </w:rPr>
            </w:pPr>
            <w:r w:rsidRPr="006145FA">
              <w:rPr>
                <w:rFonts w:ascii="Times New Roman" w:hAnsi="Times New Roman" w:cs="Times New Roman"/>
                <w:sz w:val="22"/>
              </w:rPr>
              <w:t>0.423</w:t>
            </w:r>
          </w:p>
        </w:tc>
        <w:tc>
          <w:tcPr>
            <w:tcW w:w="1366" w:type="dxa"/>
            <w:tcBorders>
              <w:top w:val="nil"/>
              <w:bottom w:val="nil"/>
            </w:tcBorders>
          </w:tcPr>
          <w:p w:rsidR="00BC3FB4" w:rsidRPr="006145FA" w:rsidRDefault="00BC3FB4" w:rsidP="00CC7A62">
            <w:pPr>
              <w:spacing w:line="480" w:lineRule="auto"/>
              <w:jc w:val="left"/>
              <w:rPr>
                <w:rFonts w:ascii="Times New Roman" w:hAnsi="Times New Roman" w:cs="Times New Roman"/>
                <w:sz w:val="22"/>
              </w:rPr>
            </w:pPr>
            <w:r w:rsidRPr="006145FA">
              <w:rPr>
                <w:rFonts w:ascii="Times New Roman" w:hAnsi="Times New Roman" w:cs="Times New Roman"/>
                <w:sz w:val="22"/>
              </w:rPr>
              <w:t>1.008</w:t>
            </w:r>
          </w:p>
        </w:tc>
      </w:tr>
      <w:tr w:rsidR="00BC3FB4" w:rsidRPr="006145FA" w:rsidTr="00CC7A62">
        <w:tc>
          <w:tcPr>
            <w:tcW w:w="3828" w:type="dxa"/>
            <w:tcBorders>
              <w:top w:val="nil"/>
              <w:bottom w:val="nil"/>
            </w:tcBorders>
          </w:tcPr>
          <w:p w:rsidR="00BC3FB4" w:rsidRPr="006145FA" w:rsidRDefault="00BC3FB4" w:rsidP="00CC7A62">
            <w:pPr>
              <w:spacing w:line="480" w:lineRule="auto"/>
              <w:ind w:firstLineChars="100" w:firstLine="220"/>
              <w:jc w:val="left"/>
              <w:rPr>
                <w:rFonts w:ascii="Times New Roman" w:hAnsi="Times New Roman" w:cs="Times New Roman"/>
                <w:sz w:val="22"/>
              </w:rPr>
            </w:pPr>
            <w:r w:rsidRPr="006145FA">
              <w:rPr>
                <w:rFonts w:ascii="Times New Roman" w:hAnsi="Times New Roman" w:cs="Times New Roman"/>
                <w:sz w:val="22"/>
              </w:rPr>
              <w:t>Visual memory/visuospatial</w:t>
            </w:r>
          </w:p>
        </w:tc>
        <w:tc>
          <w:tcPr>
            <w:tcW w:w="2404" w:type="dxa"/>
            <w:tcBorders>
              <w:top w:val="nil"/>
              <w:bottom w:val="nil"/>
            </w:tcBorders>
          </w:tcPr>
          <w:p w:rsidR="00BC3FB4" w:rsidRPr="006145FA" w:rsidRDefault="00BC3FB4" w:rsidP="00CC7A62">
            <w:pPr>
              <w:spacing w:line="480" w:lineRule="auto"/>
              <w:jc w:val="left"/>
              <w:rPr>
                <w:rFonts w:ascii="Times New Roman" w:hAnsi="Times New Roman" w:cs="Times New Roman"/>
                <w:sz w:val="22"/>
              </w:rPr>
            </w:pPr>
            <w:r w:rsidRPr="006145FA">
              <w:rPr>
                <w:rFonts w:ascii="Times New Roman" w:hAnsi="Times New Roman" w:cs="Times New Roman"/>
                <w:sz w:val="22"/>
              </w:rPr>
              <w:t>-0.662 (0.179)</w:t>
            </w:r>
          </w:p>
        </w:tc>
        <w:tc>
          <w:tcPr>
            <w:tcW w:w="1418" w:type="dxa"/>
            <w:tcBorders>
              <w:top w:val="nil"/>
              <w:bottom w:val="nil"/>
            </w:tcBorders>
          </w:tcPr>
          <w:p w:rsidR="00BC3FB4" w:rsidRPr="006145FA" w:rsidRDefault="00BC3FB4" w:rsidP="00CC7A62">
            <w:pPr>
              <w:spacing w:line="480" w:lineRule="auto"/>
              <w:jc w:val="left"/>
              <w:rPr>
                <w:rFonts w:ascii="Times New Roman" w:hAnsi="Times New Roman" w:cs="Times New Roman"/>
                <w:sz w:val="22"/>
              </w:rPr>
            </w:pPr>
            <w:r w:rsidRPr="006145FA">
              <w:rPr>
                <w:rFonts w:ascii="Times New Roman" w:hAnsi="Times New Roman" w:cs="Times New Roman"/>
                <w:sz w:val="22"/>
              </w:rPr>
              <w:t>&lt;0.001</w:t>
            </w:r>
          </w:p>
        </w:tc>
        <w:tc>
          <w:tcPr>
            <w:tcW w:w="1366" w:type="dxa"/>
            <w:tcBorders>
              <w:top w:val="nil"/>
              <w:bottom w:val="nil"/>
            </w:tcBorders>
          </w:tcPr>
          <w:p w:rsidR="00BC3FB4" w:rsidRPr="006145FA" w:rsidRDefault="00BC3FB4" w:rsidP="00CC7A62">
            <w:pPr>
              <w:spacing w:line="480" w:lineRule="auto"/>
              <w:jc w:val="left"/>
              <w:rPr>
                <w:rFonts w:ascii="Times New Roman" w:hAnsi="Times New Roman" w:cs="Times New Roman"/>
                <w:sz w:val="22"/>
              </w:rPr>
            </w:pPr>
            <w:r w:rsidRPr="006145FA">
              <w:rPr>
                <w:rFonts w:ascii="Times New Roman" w:hAnsi="Times New Roman" w:cs="Times New Roman"/>
                <w:sz w:val="22"/>
              </w:rPr>
              <w:t>1.063</w:t>
            </w:r>
          </w:p>
        </w:tc>
      </w:tr>
      <w:tr w:rsidR="00BC3FB4" w:rsidRPr="006145FA" w:rsidTr="00CC7A62">
        <w:tc>
          <w:tcPr>
            <w:tcW w:w="3828" w:type="dxa"/>
            <w:tcBorders>
              <w:top w:val="nil"/>
              <w:bottom w:val="nil"/>
            </w:tcBorders>
          </w:tcPr>
          <w:p w:rsidR="00BC3FB4" w:rsidRPr="006145FA" w:rsidRDefault="00BC3FB4" w:rsidP="00CC7A62">
            <w:pPr>
              <w:spacing w:line="480" w:lineRule="auto"/>
              <w:ind w:firstLineChars="100" w:firstLine="220"/>
              <w:jc w:val="left"/>
              <w:rPr>
                <w:rFonts w:ascii="Times New Roman" w:hAnsi="Times New Roman" w:cs="Times New Roman"/>
                <w:sz w:val="22"/>
              </w:rPr>
            </w:pPr>
            <w:r w:rsidRPr="006145FA">
              <w:rPr>
                <w:rFonts w:ascii="Times New Roman" w:hAnsi="Times New Roman" w:cs="Times New Roman"/>
                <w:sz w:val="22"/>
              </w:rPr>
              <w:t>Verbal memory</w:t>
            </w:r>
          </w:p>
        </w:tc>
        <w:tc>
          <w:tcPr>
            <w:tcW w:w="2404" w:type="dxa"/>
            <w:tcBorders>
              <w:top w:val="nil"/>
              <w:bottom w:val="nil"/>
            </w:tcBorders>
          </w:tcPr>
          <w:p w:rsidR="00BC3FB4" w:rsidRPr="006145FA" w:rsidRDefault="00BC3FB4" w:rsidP="00CC7A62">
            <w:pPr>
              <w:spacing w:line="480" w:lineRule="auto"/>
              <w:jc w:val="left"/>
              <w:rPr>
                <w:rFonts w:ascii="Times New Roman" w:hAnsi="Times New Roman" w:cs="Times New Roman"/>
                <w:sz w:val="22"/>
              </w:rPr>
            </w:pPr>
            <w:r w:rsidRPr="006145FA">
              <w:rPr>
                <w:rFonts w:ascii="Times New Roman" w:hAnsi="Times New Roman" w:cs="Times New Roman"/>
                <w:sz w:val="22"/>
              </w:rPr>
              <w:t>-0.585 (0.166)</w:t>
            </w:r>
          </w:p>
        </w:tc>
        <w:tc>
          <w:tcPr>
            <w:tcW w:w="1418" w:type="dxa"/>
            <w:tcBorders>
              <w:top w:val="nil"/>
              <w:bottom w:val="nil"/>
            </w:tcBorders>
          </w:tcPr>
          <w:p w:rsidR="00BC3FB4" w:rsidRPr="006145FA" w:rsidRDefault="00BC3FB4" w:rsidP="00CC7A62">
            <w:pPr>
              <w:spacing w:line="480" w:lineRule="auto"/>
              <w:jc w:val="left"/>
              <w:rPr>
                <w:rFonts w:ascii="Times New Roman" w:hAnsi="Times New Roman" w:cs="Times New Roman"/>
                <w:sz w:val="22"/>
              </w:rPr>
            </w:pPr>
            <w:r w:rsidRPr="006145FA">
              <w:rPr>
                <w:rFonts w:ascii="Times New Roman" w:hAnsi="Times New Roman" w:cs="Times New Roman"/>
                <w:sz w:val="22"/>
              </w:rPr>
              <w:t>&lt;0.001</w:t>
            </w:r>
          </w:p>
        </w:tc>
        <w:tc>
          <w:tcPr>
            <w:tcW w:w="1366" w:type="dxa"/>
            <w:tcBorders>
              <w:top w:val="nil"/>
              <w:bottom w:val="nil"/>
            </w:tcBorders>
          </w:tcPr>
          <w:p w:rsidR="00BC3FB4" w:rsidRPr="006145FA" w:rsidRDefault="00BC3FB4" w:rsidP="00CC7A62">
            <w:pPr>
              <w:spacing w:line="480" w:lineRule="auto"/>
              <w:jc w:val="left"/>
              <w:rPr>
                <w:rFonts w:ascii="Times New Roman" w:hAnsi="Times New Roman" w:cs="Times New Roman"/>
                <w:sz w:val="22"/>
              </w:rPr>
            </w:pPr>
            <w:r w:rsidRPr="006145FA">
              <w:rPr>
                <w:rFonts w:ascii="Times New Roman" w:hAnsi="Times New Roman" w:cs="Times New Roman"/>
                <w:sz w:val="22"/>
              </w:rPr>
              <w:t>1.024</w:t>
            </w:r>
          </w:p>
        </w:tc>
      </w:tr>
      <w:tr w:rsidR="00BC3FB4" w:rsidRPr="006145FA" w:rsidTr="00CC7A62">
        <w:tc>
          <w:tcPr>
            <w:tcW w:w="3828" w:type="dxa"/>
            <w:tcBorders>
              <w:top w:val="nil"/>
              <w:bottom w:val="single" w:sz="8" w:space="0" w:color="auto"/>
            </w:tcBorders>
          </w:tcPr>
          <w:p w:rsidR="00BC3FB4" w:rsidRPr="006145FA" w:rsidRDefault="00BC3FB4" w:rsidP="00CC7A62">
            <w:pPr>
              <w:spacing w:line="480" w:lineRule="auto"/>
              <w:ind w:firstLineChars="100" w:firstLine="220"/>
              <w:jc w:val="left"/>
              <w:rPr>
                <w:rFonts w:ascii="Times New Roman" w:hAnsi="Times New Roman" w:cs="Times New Roman"/>
                <w:sz w:val="22"/>
              </w:rPr>
            </w:pPr>
            <w:r w:rsidRPr="006145FA">
              <w:rPr>
                <w:rFonts w:ascii="Times New Roman" w:hAnsi="Times New Roman" w:cs="Times New Roman"/>
                <w:sz w:val="22"/>
              </w:rPr>
              <w:t>Frontal/executive</w:t>
            </w:r>
          </w:p>
        </w:tc>
        <w:tc>
          <w:tcPr>
            <w:tcW w:w="2404" w:type="dxa"/>
            <w:tcBorders>
              <w:top w:val="nil"/>
              <w:bottom w:val="single" w:sz="8" w:space="0" w:color="auto"/>
            </w:tcBorders>
          </w:tcPr>
          <w:p w:rsidR="00BC3FB4" w:rsidRPr="006145FA" w:rsidRDefault="00BC3FB4" w:rsidP="00CC7A62">
            <w:pPr>
              <w:spacing w:line="480" w:lineRule="auto"/>
              <w:jc w:val="left"/>
              <w:rPr>
                <w:rFonts w:ascii="Times New Roman" w:hAnsi="Times New Roman" w:cs="Times New Roman"/>
                <w:sz w:val="22"/>
              </w:rPr>
            </w:pPr>
            <w:r w:rsidRPr="006145FA">
              <w:rPr>
                <w:rFonts w:ascii="Times New Roman" w:hAnsi="Times New Roman" w:cs="Times New Roman"/>
                <w:sz w:val="22"/>
              </w:rPr>
              <w:t>-1.111 (0.200)</w:t>
            </w:r>
          </w:p>
        </w:tc>
        <w:tc>
          <w:tcPr>
            <w:tcW w:w="1418" w:type="dxa"/>
            <w:tcBorders>
              <w:top w:val="nil"/>
              <w:bottom w:val="single" w:sz="8" w:space="0" w:color="auto"/>
            </w:tcBorders>
          </w:tcPr>
          <w:p w:rsidR="00BC3FB4" w:rsidRPr="006145FA" w:rsidRDefault="00BC3FB4" w:rsidP="00CC7A62">
            <w:pPr>
              <w:spacing w:line="480" w:lineRule="auto"/>
              <w:jc w:val="left"/>
              <w:rPr>
                <w:rFonts w:ascii="Times New Roman" w:hAnsi="Times New Roman" w:cs="Times New Roman"/>
                <w:sz w:val="22"/>
              </w:rPr>
            </w:pPr>
            <w:r w:rsidRPr="006145FA">
              <w:rPr>
                <w:rFonts w:ascii="Times New Roman" w:hAnsi="Times New Roman" w:cs="Times New Roman"/>
                <w:sz w:val="22"/>
              </w:rPr>
              <w:t>&lt;0.001</w:t>
            </w:r>
          </w:p>
        </w:tc>
        <w:tc>
          <w:tcPr>
            <w:tcW w:w="1366" w:type="dxa"/>
            <w:tcBorders>
              <w:top w:val="nil"/>
              <w:bottom w:val="single" w:sz="8" w:space="0" w:color="auto"/>
            </w:tcBorders>
          </w:tcPr>
          <w:p w:rsidR="00BC3FB4" w:rsidRPr="006145FA" w:rsidRDefault="00BC3FB4" w:rsidP="00CC7A62">
            <w:pPr>
              <w:spacing w:line="480" w:lineRule="auto"/>
              <w:jc w:val="left"/>
              <w:rPr>
                <w:rFonts w:ascii="Times New Roman" w:hAnsi="Times New Roman" w:cs="Times New Roman"/>
                <w:sz w:val="22"/>
              </w:rPr>
            </w:pPr>
            <w:r w:rsidRPr="006145FA">
              <w:rPr>
                <w:rFonts w:ascii="Times New Roman" w:hAnsi="Times New Roman" w:cs="Times New Roman"/>
                <w:sz w:val="22"/>
              </w:rPr>
              <w:t>1.113</w:t>
            </w:r>
          </w:p>
        </w:tc>
      </w:tr>
    </w:tbl>
    <w:p w:rsidR="00BC3FB4" w:rsidRPr="006145FA" w:rsidRDefault="00BC3FB4" w:rsidP="00800BE4">
      <w:pPr>
        <w:wordWrap/>
        <w:spacing w:after="0" w:line="480" w:lineRule="auto"/>
        <w:jc w:val="left"/>
        <w:rPr>
          <w:rFonts w:ascii="Times New Roman" w:hAnsi="Times New Roman" w:cs="Times New Roman"/>
          <w:sz w:val="22"/>
        </w:rPr>
      </w:pPr>
      <w:r w:rsidRPr="006145FA">
        <w:rPr>
          <w:rFonts w:ascii="Times New Roman" w:hAnsi="Times New Roman" w:cs="Times New Roman"/>
          <w:sz w:val="22"/>
        </w:rPr>
        <w:t xml:space="preserve">VIF = </w:t>
      </w:r>
      <w:r w:rsidRPr="006145FA">
        <w:rPr>
          <w:rFonts w:ascii="Times New Roman" w:hAnsi="Times New Roman" w:cs="Times New Roman"/>
          <w:color w:val="000000" w:themeColor="text1"/>
          <w:sz w:val="22"/>
        </w:rPr>
        <w:t>variance inflation factor</w:t>
      </w:r>
    </w:p>
    <w:p w:rsidR="00BC3FB4" w:rsidRPr="00522BFF" w:rsidRDefault="00BC3FB4" w:rsidP="00522BFF">
      <w:pPr>
        <w:wordWrap/>
        <w:spacing w:after="0" w:line="480" w:lineRule="auto"/>
        <w:jc w:val="left"/>
        <w:rPr>
          <w:rFonts w:ascii="Times New Roman" w:hAnsi="Times New Roman" w:cs="Times New Roman"/>
          <w:sz w:val="22"/>
        </w:rPr>
      </w:pPr>
    </w:p>
    <w:p w:rsidR="00BC3FB4" w:rsidRPr="00522BFF" w:rsidRDefault="00BC3FB4" w:rsidP="00522BFF">
      <w:pPr>
        <w:widowControl/>
        <w:wordWrap/>
        <w:autoSpaceDE/>
        <w:autoSpaceDN/>
        <w:spacing w:line="480" w:lineRule="auto"/>
        <w:rPr>
          <w:rFonts w:ascii="Times New Roman" w:hAnsi="Times New Roman" w:cs="Times New Roman"/>
          <w:b/>
          <w:bCs/>
          <w:sz w:val="22"/>
        </w:rPr>
      </w:pPr>
      <w:r w:rsidRPr="00522BFF">
        <w:rPr>
          <w:rFonts w:ascii="Times New Roman" w:hAnsi="Times New Roman" w:cs="Times New Roman"/>
          <w:b/>
          <w:bCs/>
          <w:sz w:val="22"/>
        </w:rPr>
        <w:br w:type="page"/>
      </w:r>
    </w:p>
    <w:p w:rsidR="00BC3FB4" w:rsidRPr="00522BFF" w:rsidRDefault="00BC3FB4" w:rsidP="00522BFF">
      <w:pPr>
        <w:wordWrap/>
        <w:spacing w:after="0" w:line="480" w:lineRule="auto"/>
        <w:jc w:val="left"/>
        <w:rPr>
          <w:rFonts w:ascii="Times New Roman" w:hAnsi="Times New Roman" w:cs="Times New Roman"/>
          <w:b/>
          <w:bCs/>
          <w:color w:val="000000" w:themeColor="text1"/>
          <w:sz w:val="22"/>
        </w:rPr>
      </w:pPr>
      <w:r w:rsidRPr="00522BFF">
        <w:rPr>
          <w:rFonts w:ascii="Times New Roman" w:hAnsi="Times New Roman" w:cs="Times New Roman"/>
          <w:b/>
          <w:bCs/>
          <w:sz w:val="22"/>
        </w:rPr>
        <w:lastRenderedPageBreak/>
        <w:t>References</w:t>
      </w:r>
    </w:p>
    <w:p w:rsidR="00BC3FB4" w:rsidRPr="008309F2" w:rsidRDefault="00BC3FB4" w:rsidP="008309F2">
      <w:pPr>
        <w:pStyle w:val="EndNoteBibliography"/>
        <w:spacing w:after="0"/>
        <w:ind w:left="720" w:hanging="720"/>
      </w:pPr>
      <w:r w:rsidRPr="008309F2">
        <w:t>1.</w:t>
      </w:r>
      <w:r w:rsidRPr="008309F2">
        <w:tab/>
        <w:t>Kang Y, J. S., Na DL. Seoul Neuropsychological Screening Battery (SNSB-II) 2nd ed. (2012). (2012).</w:t>
      </w:r>
    </w:p>
    <w:p w:rsidR="00BC3FB4" w:rsidRPr="008309F2" w:rsidRDefault="00BC3FB4" w:rsidP="008309F2">
      <w:pPr>
        <w:pStyle w:val="EndNoteBibliography"/>
        <w:spacing w:after="0"/>
        <w:ind w:left="720" w:hanging="720"/>
      </w:pPr>
      <w:r w:rsidRPr="008309F2">
        <w:t>2.</w:t>
      </w:r>
      <w:r w:rsidRPr="008309F2">
        <w:tab/>
        <w:t xml:space="preserve">Chung, S. J. et al. Factor analysis-derived cognitive profile predicting early dementia conversion in PD. </w:t>
      </w:r>
      <w:r w:rsidRPr="008309F2">
        <w:rPr>
          <w:i/>
        </w:rPr>
        <w:t>Neurology</w:t>
      </w:r>
      <w:r w:rsidRPr="008309F2">
        <w:t xml:space="preserve"> </w:t>
      </w:r>
      <w:r w:rsidRPr="008309F2">
        <w:rPr>
          <w:b/>
        </w:rPr>
        <w:t>95</w:t>
      </w:r>
      <w:r w:rsidRPr="008309F2">
        <w:t>, e1650-e1659 (2020).</w:t>
      </w:r>
    </w:p>
    <w:p w:rsidR="00BC3FB4" w:rsidRPr="008309F2" w:rsidRDefault="00BC3FB4" w:rsidP="008309F2">
      <w:pPr>
        <w:pStyle w:val="EndNoteBibliography"/>
        <w:spacing w:after="0"/>
        <w:ind w:left="720" w:hanging="720"/>
      </w:pPr>
      <w:r w:rsidRPr="008309F2">
        <w:t>3.</w:t>
      </w:r>
      <w:r w:rsidRPr="008309F2">
        <w:tab/>
        <w:t xml:space="preserve">Dubois, B. et al. Diagnostic procedures for Parkinson's disease dementia: recommendations from the movement disorder society task force. </w:t>
      </w:r>
      <w:r w:rsidRPr="008309F2">
        <w:rPr>
          <w:i/>
        </w:rPr>
        <w:t>Mov Disord</w:t>
      </w:r>
      <w:r w:rsidRPr="008309F2">
        <w:t xml:space="preserve"> </w:t>
      </w:r>
      <w:r w:rsidRPr="008309F2">
        <w:rPr>
          <w:b/>
        </w:rPr>
        <w:t>22</w:t>
      </w:r>
      <w:r w:rsidRPr="008309F2">
        <w:t>, 2314-2324 (2007).</w:t>
      </w:r>
    </w:p>
    <w:p w:rsidR="00BC3FB4" w:rsidRPr="008309F2" w:rsidRDefault="00BC3FB4" w:rsidP="008309F2">
      <w:pPr>
        <w:pStyle w:val="EndNoteBibliography"/>
        <w:spacing w:after="0"/>
        <w:ind w:left="720" w:hanging="720"/>
      </w:pPr>
      <w:r w:rsidRPr="008309F2">
        <w:t>4.</w:t>
      </w:r>
      <w:r w:rsidRPr="008309F2">
        <w:tab/>
        <w:t xml:space="preserve">Chin, J. et al. Re-standardization of the Korean-Instrumental Activities of Daily Living (K-IADL): Clinical Usefulness for Various Neurodegenerative Diseases. </w:t>
      </w:r>
      <w:r w:rsidRPr="008309F2">
        <w:rPr>
          <w:i/>
        </w:rPr>
        <w:t>Dement Neurocogn Disord</w:t>
      </w:r>
      <w:r w:rsidRPr="008309F2">
        <w:t xml:space="preserve"> </w:t>
      </w:r>
      <w:r w:rsidRPr="008309F2">
        <w:rPr>
          <w:b/>
        </w:rPr>
        <w:t>17</w:t>
      </w:r>
      <w:r w:rsidRPr="008309F2">
        <w:t>, 11-22 (2018).</w:t>
      </w:r>
    </w:p>
    <w:p w:rsidR="00BC3FB4" w:rsidRPr="008309F2" w:rsidRDefault="00BC3FB4" w:rsidP="008309F2">
      <w:pPr>
        <w:pStyle w:val="EndNoteBibliography"/>
        <w:spacing w:after="0"/>
        <w:ind w:left="720" w:hanging="720"/>
      </w:pPr>
      <w:r w:rsidRPr="008309F2">
        <w:t>5.</w:t>
      </w:r>
      <w:r w:rsidRPr="008309F2">
        <w:tab/>
        <w:t xml:space="preserve">Yoo, H. S. et al. The Influence of Body Mass Index at Diagnosis on Cognitive Decline in Parkinson's Disease. </w:t>
      </w:r>
      <w:r w:rsidRPr="008309F2">
        <w:rPr>
          <w:i/>
        </w:rPr>
        <w:t>J Clin Neurol</w:t>
      </w:r>
      <w:r w:rsidRPr="008309F2">
        <w:t xml:space="preserve"> </w:t>
      </w:r>
      <w:r w:rsidRPr="008309F2">
        <w:rPr>
          <w:b/>
        </w:rPr>
        <w:t>15</w:t>
      </w:r>
      <w:r w:rsidRPr="008309F2">
        <w:t>, 517-526 (2019).</w:t>
      </w:r>
    </w:p>
    <w:p w:rsidR="00BC3FB4" w:rsidRPr="008309F2" w:rsidRDefault="00BC3FB4" w:rsidP="008309F2">
      <w:pPr>
        <w:pStyle w:val="EndNoteBibliography"/>
        <w:spacing w:after="0"/>
        <w:ind w:left="720" w:hanging="720"/>
      </w:pPr>
      <w:r w:rsidRPr="008309F2">
        <w:t>6.</w:t>
      </w:r>
      <w:r w:rsidRPr="008309F2">
        <w:tab/>
        <w:t xml:space="preserve">Næss-Schmidt, E. et al. Automatic thalamus and hippocampus segmentation from MP2RAGE: comparison of publicly available methods and implications for DTI quantification. </w:t>
      </w:r>
      <w:r w:rsidRPr="008309F2">
        <w:rPr>
          <w:i/>
        </w:rPr>
        <w:t>Int J Comput Assist Radiol Surg</w:t>
      </w:r>
      <w:r w:rsidRPr="008309F2">
        <w:t xml:space="preserve"> </w:t>
      </w:r>
      <w:r w:rsidRPr="008309F2">
        <w:rPr>
          <w:b/>
        </w:rPr>
        <w:t>11</w:t>
      </w:r>
      <w:r w:rsidRPr="008309F2">
        <w:t>, 1979-1991 (2016).</w:t>
      </w:r>
    </w:p>
    <w:p w:rsidR="00BC3FB4" w:rsidRPr="008309F2" w:rsidRDefault="00BC3FB4" w:rsidP="008309F2">
      <w:pPr>
        <w:pStyle w:val="EndNoteBibliography"/>
        <w:spacing w:after="0"/>
        <w:ind w:left="720" w:hanging="720"/>
      </w:pPr>
      <w:r w:rsidRPr="008309F2">
        <w:t>7.</w:t>
      </w:r>
      <w:r w:rsidRPr="008309F2">
        <w:tab/>
        <w:t xml:space="preserve">Romero, J. E., Coupé, P. &amp; Manjón, J. V. HIPS: A new hippocampus subfield segmentation method. </w:t>
      </w:r>
      <w:r w:rsidRPr="008309F2">
        <w:rPr>
          <w:i/>
        </w:rPr>
        <w:t>Neuroimage</w:t>
      </w:r>
      <w:r w:rsidRPr="008309F2">
        <w:t xml:space="preserve"> </w:t>
      </w:r>
      <w:r w:rsidRPr="008309F2">
        <w:rPr>
          <w:b/>
        </w:rPr>
        <w:t>163</w:t>
      </w:r>
      <w:r w:rsidRPr="008309F2">
        <w:t>, 286-295 (2017).</w:t>
      </w:r>
    </w:p>
    <w:p w:rsidR="00BC3FB4" w:rsidRPr="008309F2" w:rsidRDefault="00BC3FB4" w:rsidP="008309F2">
      <w:pPr>
        <w:pStyle w:val="EndNoteBibliography"/>
        <w:spacing w:after="0"/>
        <w:ind w:left="720" w:hanging="720"/>
      </w:pPr>
      <w:r w:rsidRPr="008309F2">
        <w:t>8.</w:t>
      </w:r>
      <w:r w:rsidRPr="008309F2">
        <w:tab/>
        <w:t xml:space="preserve">Tustison, N. J. et al. N4ITK: improved N3 bias correction. </w:t>
      </w:r>
      <w:r w:rsidRPr="008309F2">
        <w:rPr>
          <w:i/>
        </w:rPr>
        <w:t>IEEE Trans Med Imaging</w:t>
      </w:r>
      <w:r w:rsidRPr="008309F2">
        <w:t xml:space="preserve"> </w:t>
      </w:r>
      <w:r w:rsidRPr="008309F2">
        <w:rPr>
          <w:b/>
        </w:rPr>
        <w:t>29</w:t>
      </w:r>
      <w:r w:rsidRPr="008309F2">
        <w:t>, 1310-1320 (2010).</w:t>
      </w:r>
    </w:p>
    <w:p w:rsidR="00BC3FB4" w:rsidRPr="008309F2" w:rsidRDefault="00BC3FB4" w:rsidP="008309F2">
      <w:pPr>
        <w:pStyle w:val="EndNoteBibliography"/>
        <w:spacing w:after="0"/>
        <w:ind w:left="720" w:hanging="720"/>
      </w:pPr>
      <w:r w:rsidRPr="008309F2">
        <w:t>9.</w:t>
      </w:r>
      <w:r w:rsidRPr="008309F2">
        <w:tab/>
        <w:t xml:space="preserve">van Griethuysen, J. J. M. et al. Computational Radiomics System to Decode the Radiographic Phenotype. </w:t>
      </w:r>
      <w:r w:rsidRPr="008309F2">
        <w:rPr>
          <w:i/>
        </w:rPr>
        <w:t>Cancer Res</w:t>
      </w:r>
      <w:r w:rsidRPr="008309F2">
        <w:t xml:space="preserve"> </w:t>
      </w:r>
      <w:r w:rsidRPr="008309F2">
        <w:rPr>
          <w:b/>
        </w:rPr>
        <w:t>77</w:t>
      </w:r>
      <w:r w:rsidRPr="008309F2">
        <w:t>, e104-e107 (2017).</w:t>
      </w:r>
    </w:p>
    <w:p w:rsidR="00BC3FB4" w:rsidRPr="008309F2" w:rsidRDefault="00BC3FB4" w:rsidP="008309F2">
      <w:pPr>
        <w:pStyle w:val="EndNoteBibliography"/>
        <w:spacing w:after="0"/>
        <w:ind w:left="720" w:hanging="720"/>
      </w:pPr>
      <w:r w:rsidRPr="008309F2">
        <w:t>10.</w:t>
      </w:r>
      <w:r w:rsidRPr="008309F2">
        <w:tab/>
        <w:t xml:space="preserve">Zwanenburg, A. et al. The Image Biomarker Standardization Initiative: Standardized Quantitative Radiomics for High-Throughput Image-based Phenotyping. </w:t>
      </w:r>
      <w:r w:rsidRPr="008309F2">
        <w:rPr>
          <w:i/>
        </w:rPr>
        <w:t>Radiology</w:t>
      </w:r>
      <w:r w:rsidRPr="008309F2">
        <w:t xml:space="preserve"> </w:t>
      </w:r>
      <w:r w:rsidRPr="008309F2">
        <w:rPr>
          <w:b/>
        </w:rPr>
        <w:t>295</w:t>
      </w:r>
      <w:r w:rsidRPr="008309F2">
        <w:t>, 328-338 (2020).</w:t>
      </w:r>
    </w:p>
    <w:p w:rsidR="00BC3FB4" w:rsidRPr="008309F2" w:rsidRDefault="00BC3FB4" w:rsidP="008309F2">
      <w:pPr>
        <w:pStyle w:val="EndNoteBibliography"/>
        <w:spacing w:after="0"/>
        <w:ind w:left="720" w:hanging="720"/>
      </w:pPr>
      <w:r w:rsidRPr="008309F2">
        <w:t>11.</w:t>
      </w:r>
      <w:r w:rsidRPr="008309F2">
        <w:tab/>
        <w:t>Molnar, C. Interpretable Machine Learning. In    Accessed on 17 June 2020).</w:t>
      </w:r>
    </w:p>
    <w:p w:rsidR="00BC3FB4" w:rsidRPr="008309F2" w:rsidRDefault="00BC3FB4" w:rsidP="008309F2">
      <w:pPr>
        <w:pStyle w:val="EndNoteBibliography"/>
        <w:spacing w:after="0"/>
        <w:ind w:left="720" w:hanging="720"/>
      </w:pPr>
      <w:r w:rsidRPr="008309F2">
        <w:t>12.</w:t>
      </w:r>
      <w:r w:rsidRPr="008309F2">
        <w:tab/>
        <w:t xml:space="preserve">Lundberg, S. M. &amp;  Lee, S.-I. A unified approach to interpreting model predictions. In </w:t>
      </w:r>
      <w:r w:rsidRPr="008309F2">
        <w:rPr>
          <w:i/>
        </w:rPr>
        <w:t>Proceedings of the 31st international conference on neural information processing systems</w:t>
      </w:r>
      <w:r w:rsidRPr="008309F2">
        <w:t xml:space="preserve">  4768-4777 2017).</w:t>
      </w:r>
    </w:p>
    <w:p w:rsidR="00BC3FB4" w:rsidRPr="008309F2" w:rsidRDefault="00BC3FB4" w:rsidP="008309F2">
      <w:pPr>
        <w:pStyle w:val="EndNoteBibliography"/>
        <w:spacing w:after="0"/>
        <w:ind w:left="720" w:hanging="720"/>
      </w:pPr>
      <w:r w:rsidRPr="008309F2">
        <w:t>13.</w:t>
      </w:r>
      <w:r w:rsidRPr="008309F2">
        <w:tab/>
        <w:t xml:space="preserve">Awe, A. M. et al. Machine learning principles applied to CT radiomics to predict mucinous pancreatic cysts. </w:t>
      </w:r>
      <w:r w:rsidRPr="008309F2">
        <w:rPr>
          <w:i/>
        </w:rPr>
        <w:t>Abdominal Radiology</w:t>
      </w:r>
      <w:r w:rsidRPr="008309F2">
        <w:t xml:space="preserve">  </w:t>
      </w:r>
      <w:r w:rsidRPr="00BC3FB4">
        <w:t>https://doi.org/10.1007/s00261-021-03289-0</w:t>
      </w:r>
      <w:r w:rsidRPr="008309F2">
        <w:t xml:space="preserve"> (2021). (2021).</w:t>
      </w:r>
    </w:p>
    <w:p w:rsidR="00BC3FB4" w:rsidRPr="008309F2" w:rsidRDefault="00BC3FB4" w:rsidP="008309F2">
      <w:pPr>
        <w:pStyle w:val="EndNoteBibliography"/>
        <w:ind w:left="720" w:hanging="720"/>
      </w:pPr>
      <w:r w:rsidRPr="008309F2">
        <w:t>14.</w:t>
      </w:r>
      <w:r w:rsidRPr="008309F2">
        <w:tab/>
        <w:t xml:space="preserve">Giraud, P. et al. Interpretable Machine Learning Model for Locoregional Relapse Prediction in Oropharyngeal Cancers. </w:t>
      </w:r>
      <w:r w:rsidRPr="008309F2">
        <w:rPr>
          <w:i/>
        </w:rPr>
        <w:t>Cancers (Basel)</w:t>
      </w:r>
      <w:r w:rsidRPr="008309F2">
        <w:t xml:space="preserve"> </w:t>
      </w:r>
      <w:r w:rsidRPr="008309F2">
        <w:rPr>
          <w:b/>
        </w:rPr>
        <w:t>13</w:t>
      </w:r>
      <w:r w:rsidRPr="008309F2">
        <w:t xml:space="preserve"> (2020).</w:t>
      </w:r>
    </w:p>
    <w:p w:rsidR="00BC3FB4" w:rsidRPr="00522BFF" w:rsidRDefault="00BC3FB4" w:rsidP="00522BFF">
      <w:pPr>
        <w:pStyle w:val="EndNoteBibliography"/>
        <w:spacing w:line="480" w:lineRule="auto"/>
        <w:ind w:left="720" w:hanging="720"/>
        <w:rPr>
          <w:rFonts w:ascii="Times New Roman" w:hAnsi="Times New Roman" w:cs="Times New Roman"/>
          <w:sz w:val="22"/>
        </w:rPr>
      </w:pPr>
    </w:p>
    <w:p w:rsidR="00E47CD0" w:rsidRDefault="00E47CD0">
      <w:bookmarkStart w:id="0" w:name="_GoBack"/>
      <w:bookmarkEnd w:id="0"/>
    </w:p>
    <w:sectPr w:rsidR="00E47CD0" w:rsidSect="00BB0BF2">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BC3FB4"/>
    <w:rsid w:val="00BC3FB4"/>
    <w:rsid w:val="00E47CD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3DB134-6DA9-445E-8E22-C626E1144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3FB4"/>
    <w:pPr>
      <w:widowControl w:val="0"/>
      <w:wordWrap w:val="0"/>
      <w:autoSpaceDE w:val="0"/>
      <w:autoSpaceDN w:val="0"/>
    </w:pPr>
  </w:style>
  <w:style w:type="character" w:default="1" w:styleId="a0">
    <w:name w:val="Default Paragraph Font"/>
    <w:uiPriority w:val="1"/>
    <w:unhideWhenUsed/>
    <w:rsid w:val="00BC3FB4"/>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BC3FB4"/>
  </w:style>
  <w:style w:type="paragraph" w:customStyle="1" w:styleId="EndNoteBibliographyTitle">
    <w:name w:val="EndNote Bibliography Title"/>
    <w:basedOn w:val="a"/>
    <w:link w:val="EndNoteBibliographyTitleChar"/>
    <w:rsid w:val="00BC3FB4"/>
    <w:pPr>
      <w:spacing w:after="0"/>
      <w:jc w:val="center"/>
    </w:pPr>
    <w:rPr>
      <w:rFonts w:ascii="맑은 고딕" w:eastAsia="맑은 고딕" w:hAnsi="맑은 고딕"/>
      <w:noProof/>
    </w:rPr>
  </w:style>
  <w:style w:type="character" w:customStyle="1" w:styleId="EndNoteBibliographyTitleChar">
    <w:name w:val="EndNote Bibliography Title Char"/>
    <w:basedOn w:val="a0"/>
    <w:link w:val="EndNoteBibliographyTitle"/>
    <w:rsid w:val="00BC3FB4"/>
    <w:rPr>
      <w:rFonts w:ascii="맑은 고딕" w:eastAsia="맑은 고딕" w:hAnsi="맑은 고딕"/>
      <w:noProof/>
    </w:rPr>
  </w:style>
  <w:style w:type="paragraph" w:customStyle="1" w:styleId="EndNoteBibliography">
    <w:name w:val="EndNote Bibliography"/>
    <w:basedOn w:val="a"/>
    <w:link w:val="EndNoteBibliographyChar"/>
    <w:rsid w:val="00BC3FB4"/>
    <w:pPr>
      <w:spacing w:line="240" w:lineRule="auto"/>
      <w:jc w:val="left"/>
    </w:pPr>
    <w:rPr>
      <w:rFonts w:ascii="맑은 고딕" w:eastAsia="맑은 고딕" w:hAnsi="맑은 고딕"/>
      <w:noProof/>
    </w:rPr>
  </w:style>
  <w:style w:type="character" w:customStyle="1" w:styleId="EndNoteBibliographyChar">
    <w:name w:val="EndNote Bibliography Char"/>
    <w:basedOn w:val="a0"/>
    <w:link w:val="EndNoteBibliography"/>
    <w:rsid w:val="00BC3FB4"/>
    <w:rPr>
      <w:rFonts w:ascii="맑은 고딕" w:eastAsia="맑은 고딕" w:hAnsi="맑은 고딕"/>
      <w:noProof/>
    </w:rPr>
  </w:style>
  <w:style w:type="paragraph" w:styleId="a3">
    <w:name w:val="List Paragraph"/>
    <w:basedOn w:val="a"/>
    <w:link w:val="Char"/>
    <w:uiPriority w:val="34"/>
    <w:qFormat/>
    <w:rsid w:val="00BC3FB4"/>
    <w:pPr>
      <w:spacing w:after="200" w:line="276" w:lineRule="auto"/>
      <w:ind w:leftChars="400" w:left="800"/>
    </w:pPr>
  </w:style>
  <w:style w:type="character" w:customStyle="1" w:styleId="Char">
    <w:name w:val="목록 단락 Char"/>
    <w:basedOn w:val="a0"/>
    <w:link w:val="a3"/>
    <w:uiPriority w:val="34"/>
    <w:rsid w:val="00BC3FB4"/>
  </w:style>
  <w:style w:type="paragraph" w:styleId="a4">
    <w:name w:val="header"/>
    <w:basedOn w:val="a"/>
    <w:link w:val="Char0"/>
    <w:uiPriority w:val="99"/>
    <w:unhideWhenUsed/>
    <w:rsid w:val="00BC3FB4"/>
    <w:pPr>
      <w:tabs>
        <w:tab w:val="center" w:pos="4513"/>
        <w:tab w:val="right" w:pos="9026"/>
      </w:tabs>
      <w:snapToGrid w:val="0"/>
    </w:pPr>
  </w:style>
  <w:style w:type="character" w:customStyle="1" w:styleId="Char0">
    <w:name w:val="머리글 Char"/>
    <w:basedOn w:val="a0"/>
    <w:link w:val="a4"/>
    <w:uiPriority w:val="99"/>
    <w:rsid w:val="00BC3FB4"/>
  </w:style>
  <w:style w:type="paragraph" w:styleId="a5">
    <w:name w:val="footer"/>
    <w:basedOn w:val="a"/>
    <w:link w:val="Char1"/>
    <w:uiPriority w:val="99"/>
    <w:unhideWhenUsed/>
    <w:rsid w:val="00BC3FB4"/>
    <w:pPr>
      <w:tabs>
        <w:tab w:val="center" w:pos="4513"/>
        <w:tab w:val="right" w:pos="9026"/>
      </w:tabs>
      <w:snapToGrid w:val="0"/>
    </w:pPr>
  </w:style>
  <w:style w:type="character" w:customStyle="1" w:styleId="Char1">
    <w:name w:val="바닥글 Char"/>
    <w:basedOn w:val="a0"/>
    <w:link w:val="a5"/>
    <w:uiPriority w:val="99"/>
    <w:rsid w:val="00BC3FB4"/>
  </w:style>
  <w:style w:type="character" w:styleId="a6">
    <w:name w:val="Hyperlink"/>
    <w:basedOn w:val="a0"/>
    <w:uiPriority w:val="99"/>
    <w:unhideWhenUsed/>
    <w:rsid w:val="00BC3FB4"/>
    <w:rPr>
      <w:color w:val="0563C1" w:themeColor="hyperlink"/>
      <w:u w:val="single"/>
    </w:rPr>
  </w:style>
  <w:style w:type="table" w:styleId="a7">
    <w:name w:val="Table Grid"/>
    <w:basedOn w:val="a1"/>
    <w:uiPriority w:val="59"/>
    <w:qFormat/>
    <w:rsid w:val="00BC3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BC3FB4"/>
    <w:rPr>
      <w:color w:val="605E5C"/>
      <w:shd w:val="clear" w:color="auto" w:fill="E1DFDD"/>
    </w:rPr>
  </w:style>
  <w:style w:type="character" w:styleId="a8">
    <w:name w:val="annotation reference"/>
    <w:basedOn w:val="a0"/>
    <w:uiPriority w:val="99"/>
    <w:semiHidden/>
    <w:unhideWhenUsed/>
    <w:rsid w:val="00BC3FB4"/>
    <w:rPr>
      <w:sz w:val="18"/>
      <w:szCs w:val="18"/>
    </w:rPr>
  </w:style>
  <w:style w:type="paragraph" w:styleId="a9">
    <w:name w:val="annotation text"/>
    <w:basedOn w:val="a"/>
    <w:link w:val="Char2"/>
    <w:uiPriority w:val="99"/>
    <w:unhideWhenUsed/>
    <w:rsid w:val="00BC3FB4"/>
    <w:pPr>
      <w:jc w:val="left"/>
    </w:pPr>
  </w:style>
  <w:style w:type="character" w:customStyle="1" w:styleId="Char2">
    <w:name w:val="메모 텍스트 Char"/>
    <w:basedOn w:val="a0"/>
    <w:link w:val="a9"/>
    <w:uiPriority w:val="99"/>
    <w:rsid w:val="00BC3FB4"/>
  </w:style>
  <w:style w:type="paragraph" w:styleId="aa">
    <w:name w:val="Balloon Text"/>
    <w:basedOn w:val="a"/>
    <w:link w:val="Char3"/>
    <w:uiPriority w:val="99"/>
    <w:semiHidden/>
    <w:unhideWhenUsed/>
    <w:rsid w:val="00BC3FB4"/>
    <w:pPr>
      <w:spacing w:after="0" w:line="240" w:lineRule="auto"/>
    </w:pPr>
    <w:rPr>
      <w:rFonts w:asciiTheme="majorHAnsi" w:eastAsiaTheme="majorEastAsia" w:hAnsiTheme="majorHAnsi" w:cstheme="majorBidi"/>
      <w:sz w:val="18"/>
      <w:szCs w:val="18"/>
    </w:rPr>
  </w:style>
  <w:style w:type="character" w:customStyle="1" w:styleId="Char3">
    <w:name w:val="풍선 도움말 텍스트 Char"/>
    <w:basedOn w:val="a0"/>
    <w:link w:val="aa"/>
    <w:uiPriority w:val="99"/>
    <w:semiHidden/>
    <w:rsid w:val="00BC3FB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2000</Words>
  <Characters>11401</Characters>
  <Application>Microsoft Office Word</Application>
  <DocSecurity>0</DocSecurity>
  <Lines>95</Lines>
  <Paragraphs>26</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박채정(용인)영상의학과)</dc:creator>
  <cp:keywords/>
  <dc:description/>
  <cp:lastModifiedBy>박채정(용인)영상의학과)</cp:lastModifiedBy>
  <cp:revision>1</cp:revision>
  <dcterms:created xsi:type="dcterms:W3CDTF">2023-02-09T04:09:00Z</dcterms:created>
  <dcterms:modified xsi:type="dcterms:W3CDTF">2023-02-09T04:09:00Z</dcterms:modified>
</cp:coreProperties>
</file>