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067D3" w14:textId="77777777" w:rsidR="007B4EBE" w:rsidRPr="00AE6238" w:rsidRDefault="007B4EBE" w:rsidP="007B4EBE">
      <w:pPr>
        <w:spacing w:after="0"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E6238">
        <w:rPr>
          <w:rFonts w:ascii="Arial" w:hAnsi="Arial" w:cs="Arial"/>
          <w:b/>
          <w:bCs/>
          <w:sz w:val="20"/>
          <w:szCs w:val="20"/>
        </w:rPr>
        <w:t xml:space="preserve">Supplementary Figure S1 </w:t>
      </w:r>
    </w:p>
    <w:p w14:paraId="234BF4E0" w14:textId="77777777" w:rsidR="007B4EBE" w:rsidRDefault="007B4EBE" w:rsidP="007B4EBE">
      <w:pPr>
        <w:spacing w:after="0" w:line="480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5D798878">
        <w:rPr>
          <w:rFonts w:ascii="Arial" w:hAnsi="Arial" w:cs="Arial"/>
          <w:b/>
          <w:bCs/>
          <w:sz w:val="20"/>
          <w:szCs w:val="20"/>
        </w:rPr>
        <w:t>a,</w:t>
      </w:r>
      <w:proofErr w:type="gramEnd"/>
      <w:r w:rsidRPr="5D798878">
        <w:rPr>
          <w:rFonts w:ascii="Arial" w:hAnsi="Arial" w:cs="Arial"/>
          <w:b/>
          <w:bCs/>
          <w:sz w:val="20"/>
          <w:szCs w:val="20"/>
        </w:rPr>
        <w:t xml:space="preserve"> </w:t>
      </w:r>
      <w:r w:rsidRPr="5D798878">
        <w:rPr>
          <w:rFonts w:ascii="Arial" w:hAnsi="Arial" w:cs="Arial"/>
          <w:sz w:val="20"/>
          <w:szCs w:val="20"/>
        </w:rPr>
        <w:t xml:space="preserve">Reporter signal from MSC.CD19sensor.BFP cells exposed to increasing amounts of CD19-conjugated </w:t>
      </w:r>
      <w:proofErr w:type="spellStart"/>
      <w:r w:rsidRPr="5D798878">
        <w:rPr>
          <w:rFonts w:ascii="Arial" w:hAnsi="Arial" w:cs="Arial"/>
          <w:sz w:val="20"/>
          <w:szCs w:val="20"/>
        </w:rPr>
        <w:t>Dynabeads</w:t>
      </w:r>
      <w:proofErr w:type="spellEnd"/>
      <w:r w:rsidRPr="5D798878">
        <w:rPr>
          <w:rFonts w:ascii="Arial" w:hAnsi="Arial" w:cs="Arial"/>
          <w:sz w:val="20"/>
          <w:szCs w:val="20"/>
        </w:rPr>
        <w:t xml:space="preserve">. </w:t>
      </w:r>
      <w:r w:rsidRPr="5D798878">
        <w:rPr>
          <w:rFonts w:ascii="Arial" w:hAnsi="Arial" w:cs="Arial"/>
          <w:b/>
          <w:bCs/>
          <w:sz w:val="20"/>
          <w:szCs w:val="20"/>
        </w:rPr>
        <w:t>b,</w:t>
      </w:r>
      <w:r w:rsidRPr="5D798878">
        <w:rPr>
          <w:rFonts w:ascii="Arial" w:hAnsi="Arial" w:cs="Arial"/>
          <w:sz w:val="20"/>
          <w:szCs w:val="20"/>
        </w:rPr>
        <w:t xml:space="preserve"> Viabilities of </w:t>
      </w:r>
      <w:r>
        <w:rPr>
          <w:rFonts w:ascii="Arial" w:hAnsi="Arial" w:cs="Arial"/>
          <w:sz w:val="20"/>
          <w:szCs w:val="20"/>
        </w:rPr>
        <w:t xml:space="preserve">PDXs from </w:t>
      </w:r>
      <w:r w:rsidRPr="5D798878">
        <w:rPr>
          <w:rFonts w:ascii="Arial" w:hAnsi="Arial" w:cs="Arial"/>
          <w:sz w:val="20"/>
          <w:szCs w:val="20"/>
        </w:rPr>
        <w:t xml:space="preserve">10 ALL </w:t>
      </w:r>
      <w:r>
        <w:rPr>
          <w:rFonts w:ascii="Arial" w:hAnsi="Arial" w:cs="Arial"/>
          <w:sz w:val="20"/>
          <w:szCs w:val="20"/>
        </w:rPr>
        <w:t>patients</w:t>
      </w:r>
      <w:r w:rsidRPr="5D798878">
        <w:rPr>
          <w:rFonts w:ascii="Arial" w:hAnsi="Arial" w:cs="Arial"/>
          <w:sz w:val="20"/>
          <w:szCs w:val="20"/>
        </w:rPr>
        <w:t xml:space="preserve"> after 3 days in monoculture or co-culture with parental MSC population, single cell clones from MSC.CD19sensor.BFP or MSC.CD19sensor.Lum. Cell viability was measured by 7-AAD staining and flow cytometry. </w:t>
      </w:r>
      <w:r w:rsidRPr="5D798878">
        <w:rPr>
          <w:rFonts w:ascii="Arial" w:hAnsi="Arial" w:cs="Arial"/>
          <w:b/>
          <w:bCs/>
          <w:sz w:val="20"/>
          <w:szCs w:val="20"/>
        </w:rPr>
        <w:t>c,</w:t>
      </w:r>
      <w:r w:rsidRPr="5D798878">
        <w:rPr>
          <w:rFonts w:ascii="Arial" w:hAnsi="Arial" w:cs="Arial"/>
          <w:sz w:val="20"/>
          <w:szCs w:val="20"/>
        </w:rPr>
        <w:t xml:space="preserve"> Normalized viabilities (</w:t>
      </w:r>
      <w:proofErr w:type="spellStart"/>
      <w:r w:rsidRPr="5D798878">
        <w:rPr>
          <w:rFonts w:ascii="Arial" w:hAnsi="Arial" w:cs="Arial"/>
          <w:sz w:val="20"/>
          <w:szCs w:val="20"/>
        </w:rPr>
        <w:t>CellTiter</w:t>
      </w:r>
      <w:proofErr w:type="spellEnd"/>
      <w:r w:rsidRPr="5D798878">
        <w:rPr>
          <w:rFonts w:ascii="Arial" w:hAnsi="Arial" w:cs="Arial"/>
          <w:sz w:val="20"/>
          <w:szCs w:val="20"/>
        </w:rPr>
        <w:t xml:space="preserve">-Glo) and reporter signals of MSC.CD19sensor.Lum cells after the treatment with 20 compounds for 3 days. For the reporter assay CD19-conjugated </w:t>
      </w:r>
      <w:proofErr w:type="spellStart"/>
      <w:r w:rsidRPr="5D798878">
        <w:rPr>
          <w:rFonts w:ascii="Arial" w:hAnsi="Arial" w:cs="Arial"/>
          <w:sz w:val="20"/>
          <w:szCs w:val="20"/>
        </w:rPr>
        <w:t>Dynabeads</w:t>
      </w:r>
      <w:proofErr w:type="spellEnd"/>
      <w:r w:rsidRPr="5D798878">
        <w:rPr>
          <w:rFonts w:ascii="Arial" w:hAnsi="Arial" w:cs="Arial"/>
          <w:sz w:val="20"/>
          <w:szCs w:val="20"/>
        </w:rPr>
        <w:t xml:space="preserve"> were added to MSC.CD19sensor.Lum cells 24h before the treatment.</w:t>
      </w:r>
    </w:p>
    <w:p w14:paraId="33FE0C85" w14:textId="77777777" w:rsidR="007B4EBE" w:rsidRPr="00ED67A3" w:rsidRDefault="007B4EBE" w:rsidP="007B4EBE">
      <w:pPr>
        <w:spacing w:after="0" w:line="480" w:lineRule="auto"/>
        <w:jc w:val="both"/>
        <w:rPr>
          <w:rFonts w:ascii="Arial" w:hAnsi="Arial" w:cs="Arial"/>
          <w:b/>
          <w:sz w:val="20"/>
          <w:szCs w:val="20"/>
        </w:rPr>
      </w:pPr>
    </w:p>
    <w:p w14:paraId="3433074F" w14:textId="77777777" w:rsidR="007B4EBE" w:rsidRPr="00AE6238" w:rsidRDefault="007B4EBE" w:rsidP="007B4EBE">
      <w:pPr>
        <w:spacing w:after="0"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E6238">
        <w:rPr>
          <w:rFonts w:ascii="Arial" w:hAnsi="Arial" w:cs="Arial"/>
          <w:b/>
          <w:bCs/>
          <w:sz w:val="20"/>
          <w:szCs w:val="20"/>
        </w:rPr>
        <w:t>Supplementary Figure S</w:t>
      </w:r>
      <w:r>
        <w:rPr>
          <w:rFonts w:ascii="Arial" w:hAnsi="Arial" w:cs="Arial"/>
          <w:b/>
          <w:bCs/>
          <w:sz w:val="20"/>
          <w:szCs w:val="20"/>
        </w:rPr>
        <w:t>2</w:t>
      </w:r>
    </w:p>
    <w:p w14:paraId="24AC35FF" w14:textId="77777777" w:rsidR="007B4EBE" w:rsidRDefault="007B4EBE" w:rsidP="007B4EBE">
      <w:pPr>
        <w:spacing w:after="0" w:line="480" w:lineRule="auto"/>
        <w:jc w:val="both"/>
        <w:rPr>
          <w:rFonts w:ascii="Arial" w:hAnsi="Arial" w:cs="Arial"/>
          <w:sz w:val="20"/>
          <w:szCs w:val="20"/>
        </w:rPr>
      </w:pPr>
      <w:r w:rsidRPr="5D798878">
        <w:rPr>
          <w:rFonts w:ascii="Arial" w:hAnsi="Arial" w:cs="Arial"/>
          <w:sz w:val="20"/>
          <w:szCs w:val="20"/>
        </w:rPr>
        <w:t xml:space="preserve">Paired inhibition matrix (left) and synergy matrix (right) of </w:t>
      </w:r>
      <w:proofErr w:type="spellStart"/>
      <w:r>
        <w:rPr>
          <w:rFonts w:ascii="Arial" w:eastAsia="Times New Roman" w:hAnsi="Arial" w:cs="Arial"/>
          <w:sz w:val="20"/>
          <w:szCs w:val="20"/>
          <w:lang w:eastAsia="de-DE"/>
        </w:rPr>
        <w:t>Venetoclax</w:t>
      </w:r>
      <w:r w:rsidRPr="5D798878">
        <w:rPr>
          <w:rFonts w:ascii="Arial" w:hAnsi="Arial" w:cs="Arial"/>
          <w:sz w:val="20"/>
          <w:szCs w:val="20"/>
          <w:vertAlign w:val="superscript"/>
        </w:rPr>
        <w:t>plus</w:t>
      </w:r>
      <w:proofErr w:type="spellEnd"/>
      <w:r w:rsidRPr="5D798878">
        <w:rPr>
          <w:rFonts w:ascii="Arial" w:hAnsi="Arial" w:cs="Arial"/>
          <w:sz w:val="20"/>
          <w:szCs w:val="20"/>
        </w:rPr>
        <w:t xml:space="preserve"> screen in PDXs </w:t>
      </w:r>
      <w:r>
        <w:rPr>
          <w:rFonts w:ascii="Arial" w:hAnsi="Arial" w:cs="Arial"/>
          <w:sz w:val="20"/>
          <w:szCs w:val="20"/>
        </w:rPr>
        <w:t xml:space="preserve">from 10 </w:t>
      </w:r>
      <w:r w:rsidRPr="5D798878">
        <w:rPr>
          <w:rFonts w:ascii="Arial" w:hAnsi="Arial" w:cs="Arial"/>
          <w:sz w:val="20"/>
          <w:szCs w:val="20"/>
        </w:rPr>
        <w:t>high-risk ALL</w:t>
      </w:r>
      <w:r>
        <w:rPr>
          <w:rFonts w:ascii="Arial" w:hAnsi="Arial" w:cs="Arial"/>
          <w:sz w:val="20"/>
          <w:szCs w:val="20"/>
        </w:rPr>
        <w:t xml:space="preserve"> patients</w:t>
      </w:r>
      <w:r w:rsidRPr="5D798878">
        <w:rPr>
          <w:rFonts w:ascii="Arial" w:hAnsi="Arial" w:cs="Arial"/>
          <w:sz w:val="20"/>
          <w:szCs w:val="20"/>
        </w:rPr>
        <w:t>. PDX cells were cocultured with MSC.CD19sensor.Lum cells for 24h then treated with combinations for 72 hours. Bioluminescence signals from MSC.CD19sensor.Lum cells were acquired and transformed into normalized inhibition (%) over the dose matrix. The synergy scores generated using the ZIP model</w:t>
      </w:r>
      <w:hyperlink w:anchor="_ENREF_13" w:tooltip="Samra, 2020 #22" w:history="1">
        <w:r w:rsidRPr="5D798878">
          <w:rPr>
            <w:rFonts w:ascii="Arial" w:hAnsi="Arial" w:cs="Arial"/>
            <w:sz w:val="20"/>
            <w:szCs w:val="20"/>
          </w:rPr>
          <w:fldChar w:fldCharType="begin"/>
        </w:r>
        <w:r>
          <w:rPr>
            <w:rFonts w:ascii="Arial" w:hAnsi="Arial" w:cs="Arial"/>
            <w:sz w:val="20"/>
            <w:szCs w:val="20"/>
          </w:rPr>
          <w:instrText xml:space="preserve"> ADDIN EN.CITE &lt;EndNote&gt;&lt;Cite&gt;&lt;Author&gt;Samra&lt;/Author&gt;&lt;Year&gt;2020&lt;/Year&gt;&lt;RecNum&gt;22&lt;/RecNum&gt;&lt;DisplayText&gt;&lt;style face="superscript"&gt;13&lt;/style&gt;&lt;/DisplayText&gt;&lt;record&gt;&lt;rec-number&gt;22&lt;/rec-number&gt;&lt;foreign-keys&gt;&lt;key app="EN" db-id="z2spdrzd3zarvleszs9xftp3trz592xtw2ep" timestamp="1639129170"&gt;22&lt;/key&gt;&lt;/foreign-keys&gt;&lt;ref-type name="Journal Article"&gt;17&lt;/ref-type&gt;&lt;contributors&gt;&lt;authors&gt;&lt;author&gt;Samra, B.&lt;/author&gt;&lt;author&gt;Konopleva, M.&lt;/author&gt;&lt;author&gt;Isidori, A.&lt;/author&gt;&lt;author&gt;Daver, N.&lt;/author&gt;&lt;author&gt;DiNardo, C.&lt;/author&gt;&lt;/authors&gt;&lt;/contributors&gt;&lt;auth-address&gt;Department of Leukemia, The University of Texas MD Anderson Cancer Center, Houston, TX, United States.&amp;#xD;Hematology and Stem Cell Transplant Center, AORMN Hospital, Pesaro, Italy.&lt;/auth-address&gt;&lt;titles&gt;&lt;title&gt;Venetoclax-Based Combinations in Acute Myeloid Leukemia: Current Evidence and Future Directions&lt;/title&gt;&lt;secondary-title&gt;Front Oncol&lt;/secondary-title&gt;&lt;alt-title&gt;Frontiers in oncology&lt;/alt-title&gt;&lt;/titles&gt;&lt;periodical&gt;&lt;full-title&gt;Front Oncol&lt;/full-title&gt;&lt;abbr-1&gt;Frontiers in oncology&lt;/abbr-1&gt;&lt;/periodical&gt;&lt;alt-periodical&gt;&lt;full-title&gt;Front Oncol&lt;/full-title&gt;&lt;abbr-1&gt;Frontiers in oncology&lt;/abbr-1&gt;&lt;/alt-periodical&gt;&lt;pages&gt;562558&lt;/pages&gt;&lt;volume&gt;10&lt;/volume&gt;&lt;dates&gt;&lt;year&gt;2020&lt;/year&gt;&lt;/dates&gt;&lt;isbn&gt;2234-943X (Print)&amp;#xD;2234-943X (Linking)&lt;/isbn&gt;&lt;accession-num&gt;33251134&lt;/accession-num&gt;&lt;urls&gt;&lt;related-urls&gt;&lt;url&gt;http://www.ncbi.nlm.nih.gov/pubmed/33251134&lt;/url&gt;&lt;/related-urls&gt;&lt;/urls&gt;&lt;custom2&gt;7675064&lt;/custom2&gt;&lt;electronic-resource-num&gt;10.3389/fonc.2020.562558&lt;/electronic-resource-num&gt;&lt;/record&gt;&lt;/Cite&gt;&lt;/EndNote&gt;</w:instrText>
        </w:r>
        <w:r w:rsidRPr="5D798878">
          <w:rPr>
            <w:rFonts w:ascii="Arial" w:hAnsi="Arial" w:cs="Arial"/>
            <w:sz w:val="20"/>
            <w:szCs w:val="20"/>
          </w:rPr>
          <w:fldChar w:fldCharType="separate"/>
        </w:r>
        <w:r w:rsidRPr="00121A31">
          <w:rPr>
            <w:rFonts w:ascii="Arial" w:hAnsi="Arial" w:cs="Arial"/>
            <w:noProof/>
            <w:sz w:val="20"/>
            <w:szCs w:val="20"/>
            <w:vertAlign w:val="superscript"/>
          </w:rPr>
          <w:t>13</w:t>
        </w:r>
        <w:r w:rsidRPr="5D798878">
          <w:rPr>
            <w:rFonts w:ascii="Arial" w:hAnsi="Arial" w:cs="Arial"/>
            <w:sz w:val="20"/>
            <w:szCs w:val="20"/>
          </w:rPr>
          <w:fldChar w:fldCharType="end"/>
        </w:r>
      </w:hyperlink>
      <w:r w:rsidRPr="5D798878">
        <w:rPr>
          <w:rFonts w:ascii="Arial" w:hAnsi="Arial" w:cs="Arial"/>
          <w:sz w:val="20"/>
          <w:szCs w:val="20"/>
        </w:rPr>
        <w:t xml:space="preserve"> are represented by </w:t>
      </w:r>
      <w:proofErr w:type="spellStart"/>
      <w:r w:rsidRPr="5D798878">
        <w:rPr>
          <w:rFonts w:ascii="Arial" w:hAnsi="Arial" w:cs="Arial"/>
          <w:sz w:val="20"/>
          <w:szCs w:val="20"/>
        </w:rPr>
        <w:t>pseudocolored</w:t>
      </w:r>
      <w:proofErr w:type="spellEnd"/>
      <w:r w:rsidRPr="5D798878">
        <w:rPr>
          <w:rFonts w:ascii="Arial" w:hAnsi="Arial" w:cs="Arial"/>
          <w:sz w:val="20"/>
          <w:szCs w:val="20"/>
        </w:rPr>
        <w:t xml:space="preserve"> 2-dimensional contour plots over the dose matrix, depicting the overall synergy landscape. Red indicates synergy and green indicates antagonism for the various concentrations of combined compounds. </w:t>
      </w:r>
    </w:p>
    <w:p w14:paraId="7DA0385F" w14:textId="77777777" w:rsidR="007B4EBE" w:rsidRDefault="007B4EBE" w:rsidP="007B4EBE">
      <w:pPr>
        <w:spacing w:after="0" w:line="480" w:lineRule="auto"/>
        <w:jc w:val="both"/>
        <w:rPr>
          <w:rFonts w:ascii="Arial" w:hAnsi="Arial" w:cs="Arial"/>
          <w:sz w:val="20"/>
          <w:szCs w:val="20"/>
        </w:rPr>
      </w:pPr>
    </w:p>
    <w:p w14:paraId="069F9252" w14:textId="77777777" w:rsidR="007B4EBE" w:rsidRPr="00AE6238" w:rsidRDefault="007B4EBE" w:rsidP="007B4EBE">
      <w:pPr>
        <w:spacing w:after="0"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E6238">
        <w:rPr>
          <w:rFonts w:ascii="Arial" w:hAnsi="Arial" w:cs="Arial"/>
          <w:b/>
          <w:bCs/>
          <w:sz w:val="20"/>
          <w:szCs w:val="20"/>
        </w:rPr>
        <w:t>Supplementary Figure S</w:t>
      </w:r>
      <w:r>
        <w:rPr>
          <w:rFonts w:ascii="Arial" w:hAnsi="Arial" w:cs="Arial"/>
          <w:b/>
          <w:bCs/>
          <w:sz w:val="20"/>
          <w:szCs w:val="20"/>
        </w:rPr>
        <w:t>3</w:t>
      </w:r>
    </w:p>
    <w:p w14:paraId="32BD065E" w14:textId="77777777" w:rsidR="007B4EBE" w:rsidRDefault="007B4EBE" w:rsidP="007B4EBE">
      <w:pPr>
        <w:spacing w:after="0" w:line="48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Paired inhibition matrix (left) and </w:t>
      </w:r>
      <w:r w:rsidRPr="003121A2">
        <w:rPr>
          <w:rFonts w:ascii="Arial" w:hAnsi="Arial" w:cs="Arial"/>
          <w:sz w:val="20"/>
          <w:szCs w:val="20"/>
        </w:rPr>
        <w:t>synergy</w:t>
      </w:r>
      <w:r>
        <w:rPr>
          <w:rFonts w:ascii="Arial" w:hAnsi="Arial" w:cs="Arial"/>
          <w:sz w:val="20"/>
          <w:szCs w:val="20"/>
        </w:rPr>
        <w:t xml:space="preserve"> matrix (right)</w:t>
      </w:r>
      <w:r w:rsidRPr="003121A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of </w:t>
      </w:r>
      <w:proofErr w:type="spellStart"/>
      <w:r>
        <w:rPr>
          <w:rFonts w:ascii="Arial" w:eastAsia="Times New Roman" w:hAnsi="Arial" w:cs="Arial"/>
          <w:sz w:val="20"/>
          <w:szCs w:val="20"/>
          <w:lang w:eastAsia="de-DE"/>
        </w:rPr>
        <w:t>Venetoclax</w:t>
      </w:r>
      <w:proofErr w:type="spellEnd"/>
      <w:r>
        <w:rPr>
          <w:rFonts w:ascii="Arial" w:hAnsi="Arial" w:cs="Arial"/>
          <w:sz w:val="20"/>
          <w:szCs w:val="20"/>
        </w:rPr>
        <w:t xml:space="preserve"> combined with S36845, Selinexor and L-asparaginase in ALL cell lines. The viability of monocultures was measured by </w:t>
      </w:r>
      <w:proofErr w:type="spellStart"/>
      <w:r>
        <w:rPr>
          <w:rFonts w:ascii="Arial" w:hAnsi="Arial" w:cs="Arial"/>
          <w:sz w:val="20"/>
          <w:szCs w:val="20"/>
        </w:rPr>
        <w:t>CellTiter</w:t>
      </w:r>
      <w:proofErr w:type="spellEnd"/>
      <w:r>
        <w:rPr>
          <w:rFonts w:ascii="Arial" w:hAnsi="Arial" w:cs="Arial"/>
          <w:sz w:val="20"/>
          <w:szCs w:val="20"/>
        </w:rPr>
        <w:t>-Glo.</w:t>
      </w:r>
    </w:p>
    <w:p w14:paraId="18AA0EEE" w14:textId="77777777" w:rsidR="007B4EBE" w:rsidRDefault="007B4EBE" w:rsidP="007B4EBE">
      <w:pPr>
        <w:spacing w:after="0" w:line="480" w:lineRule="auto"/>
        <w:jc w:val="both"/>
        <w:rPr>
          <w:rFonts w:ascii="Arial" w:hAnsi="Arial" w:cs="Arial"/>
          <w:sz w:val="20"/>
          <w:szCs w:val="20"/>
        </w:rPr>
      </w:pPr>
    </w:p>
    <w:p w14:paraId="4F0B7E93" w14:textId="77777777" w:rsidR="007B4EBE" w:rsidRPr="00AE6238" w:rsidRDefault="007B4EBE" w:rsidP="007B4EBE">
      <w:pPr>
        <w:spacing w:after="0" w:line="48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AE6238">
        <w:rPr>
          <w:rFonts w:ascii="Arial" w:hAnsi="Arial" w:cs="Arial"/>
          <w:b/>
          <w:bCs/>
          <w:sz w:val="20"/>
          <w:szCs w:val="20"/>
        </w:rPr>
        <w:t xml:space="preserve">Supplementary </w:t>
      </w:r>
      <w:r>
        <w:rPr>
          <w:rFonts w:ascii="Arial" w:hAnsi="Arial" w:cs="Arial"/>
          <w:b/>
          <w:bCs/>
          <w:sz w:val="20"/>
          <w:szCs w:val="20"/>
        </w:rPr>
        <w:t>Table</w:t>
      </w:r>
      <w:r w:rsidRPr="00AE6238">
        <w:rPr>
          <w:rFonts w:ascii="Arial" w:hAnsi="Arial" w:cs="Arial"/>
          <w:b/>
          <w:bCs/>
          <w:sz w:val="20"/>
          <w:szCs w:val="20"/>
        </w:rPr>
        <w:t xml:space="preserve"> S1 </w:t>
      </w:r>
    </w:p>
    <w:p w14:paraId="0703BD80" w14:textId="77777777" w:rsidR="007B4EBE" w:rsidRDefault="007B4EBE" w:rsidP="007B4EBE">
      <w:pPr>
        <w:spacing w:after="0" w:line="48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Dose ranges of selected compounds used in </w:t>
      </w:r>
      <w:proofErr w:type="spellStart"/>
      <w:proofErr w:type="gramStart"/>
      <w:r>
        <w:rPr>
          <w:rFonts w:ascii="Arial" w:eastAsia="Times New Roman" w:hAnsi="Arial" w:cs="Arial"/>
          <w:sz w:val="20"/>
          <w:szCs w:val="20"/>
          <w:lang w:eastAsia="de-DE"/>
        </w:rPr>
        <w:t>Venetoclax</w:t>
      </w:r>
      <w:r w:rsidRPr="00C96F1D">
        <w:rPr>
          <w:rFonts w:ascii="Arial" w:hAnsi="Arial" w:cs="Arial"/>
          <w:sz w:val="20"/>
          <w:szCs w:val="20"/>
          <w:vertAlign w:val="superscript"/>
        </w:rPr>
        <w:t>plus</w:t>
      </w:r>
      <w:proofErr w:type="spellEnd"/>
      <w:r>
        <w:rPr>
          <w:rFonts w:ascii="Arial" w:hAnsi="Arial" w:cs="Arial"/>
          <w:sz w:val="20"/>
          <w:szCs w:val="20"/>
          <w:vertAlign w:val="superscript"/>
        </w:rPr>
        <w:t xml:space="preserve">  </w:t>
      </w:r>
      <w:r>
        <w:rPr>
          <w:rFonts w:ascii="Arial" w:hAnsi="Arial" w:cs="Arial"/>
          <w:sz w:val="20"/>
          <w:szCs w:val="20"/>
        </w:rPr>
        <w:t>screen</w:t>
      </w:r>
      <w:proofErr w:type="gramEnd"/>
    </w:p>
    <w:p w14:paraId="321E78FC" w14:textId="77777777" w:rsidR="008665BA" w:rsidRDefault="008665BA"/>
    <w:sectPr w:rsidR="008665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0E8"/>
    <w:rsid w:val="001360E8"/>
    <w:rsid w:val="007B4EBE"/>
    <w:rsid w:val="00866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745674-1C9A-467F-90F2-E5339F04C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4E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484</Words>
  <Characters>2761</Characters>
  <Application>Microsoft Office Word</Application>
  <DocSecurity>0</DocSecurity>
  <Lines>23</Lines>
  <Paragraphs>6</Paragraphs>
  <ScaleCrop>false</ScaleCrop>
  <Company/>
  <LinksUpToDate>false</LinksUpToDate>
  <CharactersWithSpaces>3239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</dc:creator>
  <cp:keywords/>
  <dc:description/>
  <cp:lastModifiedBy>Yun</cp:lastModifiedBy>
  <cp:revision>2</cp:revision>
  <dcterms:created xsi:type="dcterms:W3CDTF">2023-02-18T18:20:00Z</dcterms:created>
  <dcterms:modified xsi:type="dcterms:W3CDTF">2023-02-18T18:21:00Z</dcterms:modified>
</cp:coreProperties>
</file>