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E88" w:rsidRDefault="0052509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 xml:space="preserve">Quantitative analysis of cellular morphology during </w:t>
      </w:r>
      <w:r>
        <w:rPr>
          <w:b/>
          <w:i/>
          <w:color w:val="000000"/>
        </w:rPr>
        <w:t>in vitro</w:t>
      </w:r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decidualization</w:t>
      </w:r>
      <w:proofErr w:type="spellEnd"/>
    </w:p>
    <w:p w:rsidR="007E0E88" w:rsidRDefault="0052509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Luciana Ant</w:t>
      </w:r>
      <w:r>
        <w:rPr>
          <w:color w:val="000000"/>
          <w:vertAlign w:val="superscript"/>
        </w:rPr>
        <w:t>1</w:t>
      </w:r>
      <w:r>
        <w:rPr>
          <w:color w:val="000000"/>
        </w:rPr>
        <w:t xml:space="preserve">, François Le </w:t>
      </w:r>
      <w:proofErr w:type="gramStart"/>
      <w:r>
        <w:rPr>
          <w:color w:val="000000"/>
        </w:rPr>
        <w:t>Dily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Miguel Beato</w:t>
      </w:r>
      <w:r>
        <w:rPr>
          <w:vertAlign w:val="superscript"/>
        </w:rPr>
        <w:t>2,3</w:t>
      </w:r>
      <w:r>
        <w:rPr>
          <w:color w:val="000000"/>
        </w:rPr>
        <w:t>, Patricia Saragüeta</w:t>
      </w:r>
      <w:r>
        <w:rPr>
          <w:color w:val="000000"/>
          <w:vertAlign w:val="superscript"/>
        </w:rPr>
        <w:t>1*</w:t>
      </w:r>
      <w:r>
        <w:rPr>
          <w:color w:val="000000"/>
        </w:rPr>
        <w:t>.</w:t>
      </w:r>
    </w:p>
    <w:p w:rsidR="007E0E88" w:rsidRDefault="007E0E8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7E0E88" w:rsidRDefault="0052509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proofErr w:type="gramStart"/>
      <w:r>
        <w:rPr>
          <w:color w:val="000000"/>
          <w:vertAlign w:val="superscript"/>
        </w:rPr>
        <w:t>1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Instituto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Biología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Medicina</w:t>
      </w:r>
      <w:proofErr w:type="spellEnd"/>
      <w:r>
        <w:rPr>
          <w:color w:val="000000"/>
        </w:rPr>
        <w:t xml:space="preserve"> Experimental (IBYME-CONICET), Buenos Aires, Argentina.</w:t>
      </w:r>
      <w:proofErr w:type="gramEnd"/>
    </w:p>
    <w:p w:rsidR="007E0E88" w:rsidRDefault="0052509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vertAlign w:val="superscript"/>
        </w:rPr>
        <w:t>2</w:t>
      </w:r>
      <w:r>
        <w:rPr>
          <w:color w:val="000000"/>
        </w:rPr>
        <w:t xml:space="preserve"> Centro de </w:t>
      </w:r>
      <w:proofErr w:type="spellStart"/>
      <w:r>
        <w:rPr>
          <w:color w:val="000000"/>
        </w:rPr>
        <w:t>Regulación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Genómica</w:t>
      </w:r>
      <w:proofErr w:type="spellEnd"/>
      <w:r>
        <w:rPr>
          <w:color w:val="000000"/>
        </w:rPr>
        <w:t xml:space="preserve"> (CRG), Barcelona, Spain</w:t>
      </w:r>
    </w:p>
    <w:p w:rsidR="007E0E88" w:rsidRDefault="0052509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vertAlign w:val="superscript"/>
        </w:rPr>
        <w:t>3</w:t>
      </w:r>
      <w:r>
        <w:t xml:space="preserve"> </w:t>
      </w:r>
      <w:proofErr w:type="spellStart"/>
      <w:r>
        <w:t>Universitat</w:t>
      </w:r>
      <w:proofErr w:type="spellEnd"/>
      <w:r>
        <w:t xml:space="preserve"> </w:t>
      </w:r>
      <w:proofErr w:type="spellStart"/>
      <w:r>
        <w:t>Pompeu</w:t>
      </w:r>
      <w:proofErr w:type="spellEnd"/>
      <w:r>
        <w:t xml:space="preserve"> </w:t>
      </w:r>
      <w:proofErr w:type="spellStart"/>
      <w:r>
        <w:t>Fabra</w:t>
      </w:r>
      <w:bookmarkStart w:id="0" w:name="_GoBack"/>
      <w:bookmarkEnd w:id="0"/>
      <w:proofErr w:type="spellEnd"/>
      <w:r>
        <w:t xml:space="preserve"> (UPF) Barcelona</w:t>
      </w:r>
    </w:p>
    <w:p w:rsidR="007E0E88" w:rsidRDefault="007E0E8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7E0E88" w:rsidRDefault="007E0E8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7E0E88" w:rsidRDefault="0052509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color w:val="000000"/>
        </w:rPr>
        <w:t>Supplementary Materials and Methods</w:t>
      </w:r>
    </w:p>
    <w:p w:rsidR="007E0E88" w:rsidRDefault="007E0E88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</w:p>
    <w:p w:rsidR="007E0E88" w:rsidRDefault="0052509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The specific methods followed in this work can be found thoroughly explained in the corresponding scripts </w:t>
      </w:r>
    </w:p>
    <w:p w:rsidR="007E0E88" w:rsidRDefault="0052509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7E0E88" w:rsidRDefault="0052509E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>
        <w:rPr>
          <w:b/>
          <w:color w:val="000000"/>
        </w:rPr>
        <w:t>Supplemen</w:t>
      </w:r>
      <w:r>
        <w:rPr>
          <w:b/>
          <w:color w:val="000000"/>
        </w:rPr>
        <w:t>tary Figures.</w:t>
      </w:r>
    </w:p>
    <w:p w:rsidR="007E0E88" w:rsidRDefault="0052509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noProof/>
        </w:rPr>
        <w:drawing>
          <wp:anchor distT="0" distB="0" distL="0" distR="0" simplePos="0" relativeHeight="251658240" behindDoc="0" locked="0" layoutInCell="1" hidden="0" allowOverlap="1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5486400" cy="3442970"/>
            <wp:effectExtent l="0" t="0" r="0" b="0"/>
            <wp:wrapSquare wrapText="bothSides" distT="0" distB="0" distL="0" distR="0"/>
            <wp:docPr id="16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429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E0E88" w:rsidRDefault="0052509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Fig. S1: a. Representative TLM images of the THESCs at six days after treatment with OH, P4+E2+cAMP and R5020+E2+cAMP. b. Expression of </w:t>
      </w:r>
      <w:proofErr w:type="spellStart"/>
      <w:r>
        <w:rPr>
          <w:color w:val="000000"/>
        </w:rPr>
        <w:t>decidualization</w:t>
      </w:r>
      <w:proofErr w:type="spellEnd"/>
      <w:r>
        <w:rPr>
          <w:color w:val="000000"/>
        </w:rPr>
        <w:t xml:space="preserve"> markers PRL and IGFBP1 at T0, 1h and 3 and 6 days after treatment.</w:t>
      </w:r>
    </w:p>
    <w:p w:rsidR="007E0E88" w:rsidRDefault="0052509E">
      <w:pPr>
        <w:pBdr>
          <w:top w:val="nil"/>
          <w:left w:val="nil"/>
          <w:bottom w:val="nil"/>
          <w:right w:val="nil"/>
          <w:between w:val="nil"/>
        </w:pBdr>
      </w:pPr>
      <w:r>
        <w:rPr>
          <w:noProof/>
        </w:rPr>
        <w:lastRenderedPageBreak/>
        <w:drawing>
          <wp:inline distT="0" distB="0" distL="0" distR="0">
            <wp:extent cx="5486400" cy="4240530"/>
            <wp:effectExtent l="0" t="0" r="0" b="0"/>
            <wp:docPr id="1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405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E0E88" w:rsidRDefault="007E0E88">
      <w:pPr>
        <w:pBdr>
          <w:top w:val="nil"/>
          <w:left w:val="nil"/>
          <w:bottom w:val="nil"/>
          <w:right w:val="nil"/>
          <w:between w:val="nil"/>
        </w:pBdr>
      </w:pPr>
    </w:p>
    <w:p w:rsidR="007E0E88" w:rsidRDefault="0052509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    </w:t>
      </w:r>
    </w:p>
    <w:p w:rsidR="007E0E88" w:rsidRDefault="007E0E8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7E0E88" w:rsidRDefault="0052509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Fig. </w:t>
      </w:r>
      <w:proofErr w:type="gramStart"/>
      <w:r>
        <w:rPr>
          <w:color w:val="000000"/>
        </w:rPr>
        <w:t>S2 Exploratory Analysis.</w:t>
      </w:r>
      <w:proofErr w:type="gramEnd"/>
      <w:r>
        <w:rPr>
          <w:color w:val="000000"/>
        </w:rPr>
        <w:t xml:space="preserve"> a. Distribution of mean circularity per photo for each combination of treatment and day, depicting a normal distribution. b. Boxplot of mean circularity per photo.</w:t>
      </w:r>
    </w:p>
    <w:p w:rsidR="007E0E88" w:rsidRDefault="007E0E8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7E0E88" w:rsidRDefault="0052509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i/>
          <w:color w:val="000000"/>
        </w:rPr>
        <w:lastRenderedPageBreak/>
        <w:t xml:space="preserve">Fig S3 </w:t>
      </w:r>
      <w:r>
        <w:rPr>
          <w:i/>
          <w:color w:val="000000"/>
        </w:rPr>
        <w:t>Graphical validation of the assumptions for the two fi</w:t>
      </w:r>
      <w:r>
        <w:rPr>
          <w:i/>
          <w:color w:val="000000"/>
        </w:rPr>
        <w:t>nal models, the conditional model (top panels) and the mT0 model (bottom panels). Shapiro-</w:t>
      </w:r>
      <w:proofErr w:type="spellStart"/>
      <w:r>
        <w:rPr>
          <w:i/>
          <w:color w:val="000000"/>
        </w:rPr>
        <w:t>Wilk</w:t>
      </w:r>
      <w:proofErr w:type="spellEnd"/>
      <w:r>
        <w:rPr>
          <w:i/>
          <w:color w:val="000000"/>
        </w:rPr>
        <w:t xml:space="preserve"> tests did not show evidence of non-normality (p-value &gt; 0.05) for either of the models.</w:t>
      </w:r>
      <w:r>
        <w:rPr>
          <w:noProof/>
        </w:rPr>
        <w:drawing>
          <wp:anchor distT="0" distB="0" distL="0" distR="0" simplePos="0" relativeHeight="251659264" behindDoc="0" locked="0" layoutInCell="1" hidden="0" allowOverlap="1">
            <wp:simplePos x="0" y="0"/>
            <wp:positionH relativeFrom="column">
              <wp:posOffset>47625</wp:posOffset>
            </wp:positionH>
            <wp:positionV relativeFrom="paragraph">
              <wp:posOffset>36830</wp:posOffset>
            </wp:positionV>
            <wp:extent cx="5486400" cy="5506085"/>
            <wp:effectExtent l="0" t="0" r="0" b="0"/>
            <wp:wrapSquare wrapText="bothSides" distT="0" distB="0" distL="0" distR="0"/>
            <wp:docPr id="1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60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E0E88" w:rsidRDefault="007E0E88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i/>
          <w:color w:val="000000"/>
        </w:rPr>
      </w:pPr>
    </w:p>
    <w:p w:rsidR="007E0E88" w:rsidRDefault="007E0E88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i/>
          <w:color w:val="000000"/>
        </w:rPr>
      </w:pPr>
    </w:p>
    <w:p w:rsidR="007E0E88" w:rsidRDefault="0052509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i/>
          <w:color w:val="000000"/>
        </w:rPr>
        <w:t xml:space="preserve">  </w:t>
      </w:r>
      <w:r>
        <w:rPr>
          <w:noProof/>
        </w:rPr>
        <w:drawing>
          <wp:anchor distT="0" distB="0" distL="0" distR="0" simplePos="0" relativeHeight="251660288" behindDoc="0" locked="0" layoutInCell="1" hidden="0" allowOverlap="1">
            <wp:simplePos x="0" y="0"/>
            <wp:positionH relativeFrom="column">
              <wp:posOffset>15875</wp:posOffset>
            </wp:positionH>
            <wp:positionV relativeFrom="paragraph">
              <wp:posOffset>13970</wp:posOffset>
            </wp:positionV>
            <wp:extent cx="2743200" cy="803910"/>
            <wp:effectExtent l="0" t="0" r="0" b="0"/>
            <wp:wrapSquare wrapText="bothSides" distT="0" distB="0" distL="0" distR="0"/>
            <wp:docPr id="1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8039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E0E88" w:rsidRDefault="007E0E88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i/>
          <w:color w:val="000000"/>
        </w:rPr>
      </w:pPr>
    </w:p>
    <w:p w:rsidR="007E0E88" w:rsidRDefault="007E0E88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i/>
          <w:color w:val="000000"/>
        </w:rPr>
      </w:pPr>
    </w:p>
    <w:p w:rsidR="007E0E88" w:rsidRDefault="007E0E88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i/>
          <w:color w:val="000000"/>
        </w:rPr>
      </w:pPr>
    </w:p>
    <w:p w:rsidR="007E0E88" w:rsidRDefault="007E0E88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i/>
          <w:color w:val="000000"/>
        </w:rPr>
      </w:pPr>
    </w:p>
    <w:p w:rsidR="007E0E88" w:rsidRDefault="0052509E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</w:rPr>
      </w:pPr>
      <w:r>
        <w:rPr>
          <w:i/>
          <w:color w:val="000000"/>
        </w:rPr>
        <w:t xml:space="preserve">Table S1: </w:t>
      </w:r>
      <w:proofErr w:type="spellStart"/>
      <w:r>
        <w:rPr>
          <w:i/>
          <w:color w:val="000000"/>
        </w:rPr>
        <w:t>Anova</w:t>
      </w:r>
      <w:proofErr w:type="spellEnd"/>
      <w:r>
        <w:rPr>
          <w:i/>
          <w:color w:val="000000"/>
        </w:rPr>
        <w:t xml:space="preserve"> for the selected conditional model (m1). A p-v</w:t>
      </w:r>
      <w:r>
        <w:rPr>
          <w:i/>
          <w:color w:val="000000"/>
        </w:rPr>
        <w:t>alue &lt; 0.01 is considered significant.</w:t>
      </w:r>
    </w:p>
    <w:p w:rsidR="007E0E88" w:rsidRDefault="007E0E88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i/>
          <w:color w:val="000000"/>
        </w:rPr>
      </w:pPr>
    </w:p>
    <w:p w:rsidR="007E0E88" w:rsidRDefault="007E0E88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i/>
          <w:color w:val="000000"/>
        </w:rPr>
      </w:pPr>
    </w:p>
    <w:p w:rsidR="007E0E88" w:rsidRDefault="0052509E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</w:rPr>
      </w:pPr>
      <w:r>
        <w:rPr>
          <w:i/>
          <w:color w:val="000000"/>
        </w:rPr>
        <w:t xml:space="preserve"> </w:t>
      </w:r>
      <w:r>
        <w:rPr>
          <w:noProof/>
        </w:rPr>
        <w:drawing>
          <wp:anchor distT="0" distB="0" distL="0" distR="0" simplePos="0" relativeHeight="251661312" behindDoc="0" locked="0" layoutInCell="1" hidden="0" allowOverlap="1">
            <wp:simplePos x="0" y="0"/>
            <wp:positionH relativeFrom="column">
              <wp:posOffset>-19048</wp:posOffset>
            </wp:positionH>
            <wp:positionV relativeFrom="paragraph">
              <wp:posOffset>635</wp:posOffset>
            </wp:positionV>
            <wp:extent cx="3143250" cy="609600"/>
            <wp:effectExtent l="0" t="0" r="0" b="0"/>
            <wp:wrapSquare wrapText="bothSides" distT="0" distB="0" distL="0" distR="0"/>
            <wp:docPr id="15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609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E0E88" w:rsidRDefault="007E0E88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i/>
          <w:color w:val="000000"/>
        </w:rPr>
      </w:pPr>
    </w:p>
    <w:p w:rsidR="007E0E88" w:rsidRDefault="007E0E88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i/>
          <w:color w:val="000000"/>
        </w:rPr>
      </w:pPr>
    </w:p>
    <w:p w:rsidR="007E0E88" w:rsidRDefault="0052509E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</w:rPr>
      </w:pPr>
      <w:r>
        <w:rPr>
          <w:i/>
          <w:color w:val="000000"/>
        </w:rPr>
        <w:t xml:space="preserve">Table S2: </w:t>
      </w:r>
      <w:proofErr w:type="spellStart"/>
      <w:r>
        <w:rPr>
          <w:i/>
          <w:color w:val="000000"/>
        </w:rPr>
        <w:t>Anova</w:t>
      </w:r>
      <w:proofErr w:type="spellEnd"/>
      <w:r>
        <w:rPr>
          <w:i/>
          <w:color w:val="000000"/>
        </w:rPr>
        <w:t xml:space="preserve"> for the simple model comparing T0 and Day1. A p-value &lt; 0.01 is considered significant.</w:t>
      </w:r>
    </w:p>
    <w:p w:rsidR="007E0E88" w:rsidRDefault="007E0E8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sectPr w:rsidR="007E0E88">
      <w:pgSz w:w="12240" w:h="15840"/>
      <w:pgMar w:top="1440" w:right="1800" w:bottom="1440" w:left="180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Liberation Mono">
    <w:altName w:val="Courier New"/>
    <w:charset w:val="01"/>
    <w:family w:val="modern"/>
    <w:pitch w:val="fixed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9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7E0E88"/>
    <w:rsid w:val="0052509E"/>
    <w:rsid w:val="007E0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</w:pPr>
  </w:style>
  <w:style w:type="paragraph" w:styleId="Heading1">
    <w:name w:val="heading 1"/>
    <w:basedOn w:val="LO-normal"/>
    <w:next w:val="LO-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LO-normal"/>
    <w:next w:val="LO-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LO-normal"/>
    <w:next w:val="LO-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LO-normal"/>
    <w:next w:val="LO-normal"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LO-normal"/>
    <w:next w:val="LO-normal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LO-normal"/>
    <w:next w:val="LO-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LO-normal"/>
    <w:next w:val="LO-normal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"/>
  </w:style>
  <w:style w:type="character" w:customStyle="1" w:styleId="CommentTextChar">
    <w:name w:val="Comment Text Char"/>
    <w:basedOn w:val="DefaultParagraphFont"/>
    <w:qFormat/>
  </w:style>
  <w:style w:type="character" w:styleId="CommentReference">
    <w:name w:val="annotation reference"/>
    <w:basedOn w:val="DefaultParagraphFont"/>
    <w:qFormat/>
    <w:rPr>
      <w:sz w:val="18"/>
      <w:szCs w:val="18"/>
    </w:rPr>
  </w:style>
  <w:style w:type="character" w:customStyle="1" w:styleId="BalloonTextChar">
    <w:name w:val="Balloon Text Char"/>
    <w:basedOn w:val="DefaultParagraphFont"/>
    <w:qFormat/>
    <w:rPr>
      <w:rFonts w:ascii="Lucida Grande" w:hAnsi="Lucida Grande" w:cs="Lucida Grande"/>
      <w:sz w:val="18"/>
      <w:szCs w:val="18"/>
    </w:rPr>
  </w:style>
  <w:style w:type="character" w:customStyle="1" w:styleId="CommentSubjectChar">
    <w:name w:val="Comment Subject Char"/>
    <w:basedOn w:val="CommentTextChar"/>
    <w:qFormat/>
    <w:rPr>
      <w:b/>
      <w:bCs/>
      <w:sz w:val="20"/>
      <w:szCs w:val="20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character" w:customStyle="1" w:styleId="SourceText">
    <w:name w:val="Source Text"/>
    <w:qFormat/>
    <w:rPr>
      <w:rFonts w:ascii="Liberation Mono" w:eastAsia="Liberation Mono" w:hAnsi="Liberation Mono" w:cs="Liberation Mono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LO-normal1">
    <w:name w:val="LO-normal1"/>
    <w:qFormat/>
    <w:pPr>
      <w:overflowPunct w:val="0"/>
    </w:pPr>
  </w:style>
  <w:style w:type="paragraph" w:customStyle="1" w:styleId="LO-normal">
    <w:name w:val="LO-normal"/>
    <w:qFormat/>
    <w:pPr>
      <w:overflowPunct w:val="0"/>
    </w:pPr>
  </w:style>
  <w:style w:type="paragraph" w:styleId="CommentText">
    <w:name w:val="annotation text"/>
    <w:basedOn w:val="Normal"/>
    <w:qFormat/>
  </w:style>
  <w:style w:type="paragraph" w:styleId="BalloonText">
    <w:name w:val="Balloon Text"/>
    <w:basedOn w:val="Normal"/>
    <w:qFormat/>
    <w:rPr>
      <w:rFonts w:ascii="Lucida Grande" w:hAnsi="Lucida Grande" w:cs="Lucida Grande"/>
      <w:sz w:val="18"/>
      <w:szCs w:val="18"/>
    </w:rPr>
  </w:style>
  <w:style w:type="paragraph" w:styleId="CommentSubject">
    <w:name w:val="annotation subject"/>
    <w:basedOn w:val="CommentText"/>
    <w:next w:val="CommentText"/>
    <w:qFormat/>
    <w:rPr>
      <w:b/>
      <w:bCs/>
      <w:sz w:val="20"/>
      <w:szCs w:val="20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LO-normal3">
    <w:name w:val="LO-normal3"/>
    <w:qFormat/>
    <w:pPr>
      <w:overflowPunct w:val="0"/>
    </w:pPr>
  </w:style>
  <w:style w:type="paragraph" w:customStyle="1" w:styleId="PreformattedText">
    <w:name w:val="Preformatted Text"/>
    <w:basedOn w:val="Normal"/>
    <w:qFormat/>
    <w:rPr>
      <w:rFonts w:ascii="Liberation Mono" w:eastAsia="Liberation Mono" w:hAnsi="Liberation Mono" w:cs="Liberation Mono"/>
      <w:sz w:val="20"/>
      <w:szCs w:val="2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</w:pPr>
  </w:style>
  <w:style w:type="paragraph" w:styleId="Heading1">
    <w:name w:val="heading 1"/>
    <w:basedOn w:val="LO-normal"/>
    <w:next w:val="LO-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LO-normal"/>
    <w:next w:val="LO-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LO-normal"/>
    <w:next w:val="LO-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LO-normal"/>
    <w:next w:val="LO-normal"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LO-normal"/>
    <w:next w:val="LO-normal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LO-normal"/>
    <w:next w:val="LO-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LO-normal"/>
    <w:next w:val="LO-normal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"/>
  </w:style>
  <w:style w:type="character" w:customStyle="1" w:styleId="CommentTextChar">
    <w:name w:val="Comment Text Char"/>
    <w:basedOn w:val="DefaultParagraphFont"/>
    <w:qFormat/>
  </w:style>
  <w:style w:type="character" w:styleId="CommentReference">
    <w:name w:val="annotation reference"/>
    <w:basedOn w:val="DefaultParagraphFont"/>
    <w:qFormat/>
    <w:rPr>
      <w:sz w:val="18"/>
      <w:szCs w:val="18"/>
    </w:rPr>
  </w:style>
  <w:style w:type="character" w:customStyle="1" w:styleId="BalloonTextChar">
    <w:name w:val="Balloon Text Char"/>
    <w:basedOn w:val="DefaultParagraphFont"/>
    <w:qFormat/>
    <w:rPr>
      <w:rFonts w:ascii="Lucida Grande" w:hAnsi="Lucida Grande" w:cs="Lucida Grande"/>
      <w:sz w:val="18"/>
      <w:szCs w:val="18"/>
    </w:rPr>
  </w:style>
  <w:style w:type="character" w:customStyle="1" w:styleId="CommentSubjectChar">
    <w:name w:val="Comment Subject Char"/>
    <w:basedOn w:val="CommentTextChar"/>
    <w:qFormat/>
    <w:rPr>
      <w:b/>
      <w:bCs/>
      <w:sz w:val="20"/>
      <w:szCs w:val="20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character" w:customStyle="1" w:styleId="SourceText">
    <w:name w:val="Source Text"/>
    <w:qFormat/>
    <w:rPr>
      <w:rFonts w:ascii="Liberation Mono" w:eastAsia="Liberation Mono" w:hAnsi="Liberation Mono" w:cs="Liberation Mono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LO-normal1">
    <w:name w:val="LO-normal1"/>
    <w:qFormat/>
    <w:pPr>
      <w:overflowPunct w:val="0"/>
    </w:pPr>
  </w:style>
  <w:style w:type="paragraph" w:customStyle="1" w:styleId="LO-normal">
    <w:name w:val="LO-normal"/>
    <w:qFormat/>
    <w:pPr>
      <w:overflowPunct w:val="0"/>
    </w:pPr>
  </w:style>
  <w:style w:type="paragraph" w:styleId="CommentText">
    <w:name w:val="annotation text"/>
    <w:basedOn w:val="Normal"/>
    <w:qFormat/>
  </w:style>
  <w:style w:type="paragraph" w:styleId="BalloonText">
    <w:name w:val="Balloon Text"/>
    <w:basedOn w:val="Normal"/>
    <w:qFormat/>
    <w:rPr>
      <w:rFonts w:ascii="Lucida Grande" w:hAnsi="Lucida Grande" w:cs="Lucida Grande"/>
      <w:sz w:val="18"/>
      <w:szCs w:val="18"/>
    </w:rPr>
  </w:style>
  <w:style w:type="paragraph" w:styleId="CommentSubject">
    <w:name w:val="annotation subject"/>
    <w:basedOn w:val="CommentText"/>
    <w:next w:val="CommentText"/>
    <w:qFormat/>
    <w:rPr>
      <w:b/>
      <w:bCs/>
      <w:sz w:val="20"/>
      <w:szCs w:val="20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LO-normal3">
    <w:name w:val="LO-normal3"/>
    <w:qFormat/>
    <w:pPr>
      <w:overflowPunct w:val="0"/>
    </w:pPr>
  </w:style>
  <w:style w:type="paragraph" w:customStyle="1" w:styleId="PreformattedText">
    <w:name w:val="Preformatted Text"/>
    <w:basedOn w:val="Normal"/>
    <w:qFormat/>
    <w:rPr>
      <w:rFonts w:ascii="Liberation Mono" w:eastAsia="Liberation Mono" w:hAnsi="Liberation Mono" w:cs="Liberation Mono"/>
      <w:sz w:val="20"/>
      <w:szCs w:val="2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HkouwWUpOL5LikhPOl5sb2jTIOw==">AMUW2mW+MLrdedxmbhRKCu+We4NeOyfwxA5ZgxVXAqr0C96w4bwJusdPGubQ07GF2bdxKzzLHxip6byXDHV6w2iyn1unwSVpqFmZSGDDiz+/aKrIhCwoQ6Q=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209</Words>
  <Characters>1196</Characters>
  <Application>Microsoft Macintosh Word</Application>
  <DocSecurity>0</DocSecurity>
  <Lines>9</Lines>
  <Paragraphs>2</Paragraphs>
  <ScaleCrop>false</ScaleCrop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Saragueta</dc:creator>
  <cp:lastModifiedBy>Patricia Saragueta</cp:lastModifiedBy>
  <cp:revision>2</cp:revision>
  <dcterms:created xsi:type="dcterms:W3CDTF">2022-10-02T22:56:00Z</dcterms:created>
  <dcterms:modified xsi:type="dcterms:W3CDTF">2022-10-02T22:56:00Z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