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1B56C" w14:textId="77777777" w:rsidR="001C351E" w:rsidRDefault="001C351E" w:rsidP="001C351E">
      <w:pPr>
        <w:pStyle w:val="Lgende"/>
        <w:spacing w:line="360" w:lineRule="auto"/>
        <w:jc w:val="both"/>
        <w:rPr>
          <w:rFonts w:ascii="Times New Roman" w:hAnsi="Times New Roman" w:cs="Times New Roman"/>
          <w:b/>
          <w:bCs/>
          <w:i w:val="0"/>
          <w:iCs w:val="0"/>
          <w:color w:val="auto"/>
          <w:sz w:val="24"/>
          <w:szCs w:val="24"/>
          <w:lang w:val="en-US"/>
        </w:rPr>
      </w:pPr>
    </w:p>
    <w:p w14:paraId="2EBFBE3B" w14:textId="51660826" w:rsidR="001C351E" w:rsidRDefault="001C351E" w:rsidP="001C351E">
      <w:pPr>
        <w:pStyle w:val="Lgende"/>
        <w:spacing w:line="360" w:lineRule="auto"/>
        <w:jc w:val="both"/>
        <w:rPr>
          <w:rFonts w:ascii="Times New Roman" w:hAnsi="Times New Roman" w:cs="Times New Roman"/>
          <w:b/>
          <w:bCs/>
          <w:i w:val="0"/>
          <w:iCs w:val="0"/>
          <w:color w:val="auto"/>
          <w:sz w:val="24"/>
          <w:szCs w:val="24"/>
          <w:lang w:val="en-US"/>
        </w:rPr>
      </w:pPr>
      <w:r>
        <w:rPr>
          <w:rFonts w:ascii="Times New Roman" w:hAnsi="Times New Roman" w:cs="Times New Roman"/>
          <w:b/>
          <w:bCs/>
          <w:i w:val="0"/>
          <w:iCs w:val="0"/>
          <w:color w:val="auto"/>
          <w:sz w:val="24"/>
          <w:szCs w:val="24"/>
          <w:lang w:val="en-US"/>
        </w:rPr>
        <w:t xml:space="preserve">Legend of supplementary data </w:t>
      </w:r>
    </w:p>
    <w:p w14:paraId="7EA79007" w14:textId="556609A7" w:rsidR="00692B39" w:rsidRDefault="0073583C" w:rsidP="001C351E">
      <w:pPr>
        <w:pStyle w:val="Lgende"/>
        <w:spacing w:line="360" w:lineRule="auto"/>
        <w:jc w:val="both"/>
        <w:rPr>
          <w:rFonts w:ascii="Times New Roman" w:hAnsi="Times New Roman" w:cs="Times New Roman"/>
          <w:b/>
          <w:bCs/>
          <w:i w:val="0"/>
          <w:iCs w:val="0"/>
          <w:color w:val="auto"/>
          <w:sz w:val="24"/>
          <w:szCs w:val="24"/>
          <w:lang w:val="en-US"/>
        </w:rPr>
      </w:pPr>
      <w:r w:rsidRPr="00BB2067">
        <w:rPr>
          <w:rFonts w:ascii="Times New Roman" w:hAnsi="Times New Roman" w:cs="Times New Roman"/>
          <w:b/>
          <w:bCs/>
          <w:i w:val="0"/>
          <w:iCs w:val="0"/>
          <w:color w:val="auto"/>
          <w:sz w:val="24"/>
          <w:szCs w:val="24"/>
          <w:lang w:val="en-US"/>
        </w:rPr>
        <w:t xml:space="preserve">Supplementary data </w:t>
      </w:r>
      <w:r>
        <w:rPr>
          <w:rFonts w:ascii="Times New Roman" w:hAnsi="Times New Roman" w:cs="Times New Roman"/>
          <w:b/>
          <w:bCs/>
          <w:i w:val="0"/>
          <w:iCs w:val="0"/>
          <w:color w:val="auto"/>
          <w:sz w:val="24"/>
          <w:szCs w:val="24"/>
          <w:lang w:val="en-US"/>
        </w:rPr>
        <w:t>1</w:t>
      </w:r>
      <w:r w:rsidRPr="00BB2067">
        <w:rPr>
          <w:rFonts w:ascii="Times New Roman" w:hAnsi="Times New Roman" w:cs="Times New Roman"/>
          <w:b/>
          <w:bCs/>
          <w:i w:val="0"/>
          <w:iCs w:val="0"/>
          <w:color w:val="auto"/>
          <w:sz w:val="24"/>
          <w:szCs w:val="24"/>
          <w:lang w:val="en-US"/>
        </w:rPr>
        <w:t>.</w:t>
      </w:r>
      <w:r>
        <w:rPr>
          <w:rFonts w:ascii="Times New Roman" w:hAnsi="Times New Roman" w:cs="Times New Roman"/>
          <w:b/>
          <w:bCs/>
          <w:i w:val="0"/>
          <w:iCs w:val="0"/>
          <w:color w:val="auto"/>
          <w:sz w:val="24"/>
          <w:szCs w:val="24"/>
          <w:lang w:val="en-US"/>
        </w:rPr>
        <w:t xml:space="preserve"> </w:t>
      </w:r>
      <w:r w:rsidR="00692B39" w:rsidRPr="00692B39">
        <w:rPr>
          <w:rFonts w:ascii="Times New Roman" w:hAnsi="Times New Roman" w:cs="Times New Roman"/>
          <w:i w:val="0"/>
          <w:iCs w:val="0"/>
          <w:color w:val="auto"/>
          <w:sz w:val="24"/>
          <w:szCs w:val="24"/>
          <w:lang w:val="en-US"/>
        </w:rPr>
        <w:t>UMAP projection of PBMCs from AML patients grouped into different clusters, (1a - 1b) in UPN 23 and (1c-1d) in UPN 29. (1a) Grouping of PBMCs into twelve clusters (from 0 to 11) in UPN23</w:t>
      </w:r>
      <w:r w:rsidR="00692B39">
        <w:rPr>
          <w:rFonts w:ascii="Times New Roman" w:hAnsi="Times New Roman" w:cs="Times New Roman"/>
          <w:i w:val="0"/>
          <w:iCs w:val="0"/>
          <w:color w:val="auto"/>
          <w:sz w:val="24"/>
          <w:szCs w:val="24"/>
          <w:lang w:val="en-US"/>
        </w:rPr>
        <w:t>SC</w:t>
      </w:r>
      <w:r w:rsidR="00692B39" w:rsidRPr="00692B39">
        <w:rPr>
          <w:rFonts w:ascii="Times New Roman" w:hAnsi="Times New Roman" w:cs="Times New Roman"/>
          <w:i w:val="0"/>
          <w:iCs w:val="0"/>
          <w:color w:val="auto"/>
          <w:sz w:val="24"/>
          <w:szCs w:val="24"/>
          <w:lang w:val="en-US"/>
        </w:rPr>
        <w:t xml:space="preserve"> , and into eleven clusters in UPN23SC_m (1b). (1c) Grouping of cells into </w:t>
      </w:r>
      <w:r w:rsidR="00692B39">
        <w:rPr>
          <w:rFonts w:ascii="Times New Roman" w:hAnsi="Times New Roman" w:cs="Times New Roman"/>
          <w:i w:val="0"/>
          <w:iCs w:val="0"/>
          <w:color w:val="auto"/>
          <w:sz w:val="24"/>
          <w:szCs w:val="24"/>
          <w:lang w:val="en-US"/>
        </w:rPr>
        <w:t>sixteen</w:t>
      </w:r>
      <w:r w:rsidR="00692B39" w:rsidRPr="00692B39">
        <w:rPr>
          <w:rFonts w:ascii="Times New Roman" w:hAnsi="Times New Roman" w:cs="Times New Roman"/>
          <w:i w:val="0"/>
          <w:iCs w:val="0"/>
          <w:color w:val="auto"/>
          <w:sz w:val="24"/>
          <w:szCs w:val="24"/>
          <w:lang w:val="en-US"/>
        </w:rPr>
        <w:t xml:space="preserve"> different clusters in UPN29SC, compared to 13 clusters in UPN29SC_m (1d). Clusters are indicated with numbers, with percentages of cells in each </w:t>
      </w:r>
      <w:r w:rsidR="00692B39" w:rsidRPr="00692B39">
        <w:rPr>
          <w:rFonts w:ascii="Times New Roman" w:hAnsi="Times New Roman" w:cs="Times New Roman"/>
          <w:i w:val="0"/>
          <w:iCs w:val="0"/>
          <w:color w:val="auto"/>
          <w:sz w:val="24"/>
          <w:szCs w:val="24"/>
          <w:lang w:val="en-US"/>
        </w:rPr>
        <w:t>mentioned</w:t>
      </w:r>
      <w:r w:rsidR="00692B39" w:rsidRPr="00692B39">
        <w:rPr>
          <w:rFonts w:ascii="Times New Roman" w:hAnsi="Times New Roman" w:cs="Times New Roman"/>
          <w:i w:val="0"/>
          <w:iCs w:val="0"/>
          <w:color w:val="auto"/>
          <w:sz w:val="24"/>
          <w:szCs w:val="24"/>
          <w:lang w:val="en-US"/>
        </w:rPr>
        <w:t xml:space="preserve"> cluster in parentheses.</w:t>
      </w:r>
    </w:p>
    <w:p w14:paraId="0D8D7422" w14:textId="71B66E04" w:rsidR="001C351E" w:rsidRPr="00BB2067" w:rsidRDefault="001C351E" w:rsidP="001C351E">
      <w:pPr>
        <w:pStyle w:val="Lgende"/>
        <w:spacing w:line="360" w:lineRule="auto"/>
        <w:jc w:val="both"/>
        <w:rPr>
          <w:rFonts w:ascii="Times New Roman" w:hAnsi="Times New Roman" w:cs="Times New Roman"/>
          <w:i w:val="0"/>
          <w:iCs w:val="0"/>
          <w:color w:val="auto"/>
          <w:sz w:val="24"/>
          <w:szCs w:val="24"/>
          <w:lang w:val="en-US"/>
        </w:rPr>
      </w:pPr>
      <w:r w:rsidRPr="00BB2067">
        <w:rPr>
          <w:rFonts w:ascii="Times New Roman" w:hAnsi="Times New Roman" w:cs="Times New Roman"/>
          <w:b/>
          <w:bCs/>
          <w:i w:val="0"/>
          <w:iCs w:val="0"/>
          <w:color w:val="auto"/>
          <w:sz w:val="24"/>
          <w:szCs w:val="24"/>
          <w:lang w:val="en-US"/>
        </w:rPr>
        <w:t xml:space="preserve">Supplementary data </w:t>
      </w:r>
      <w:r w:rsidR="0073583C">
        <w:rPr>
          <w:rFonts w:ascii="Times New Roman" w:hAnsi="Times New Roman" w:cs="Times New Roman"/>
          <w:b/>
          <w:bCs/>
          <w:i w:val="0"/>
          <w:iCs w:val="0"/>
          <w:color w:val="auto"/>
          <w:sz w:val="24"/>
          <w:szCs w:val="24"/>
          <w:lang w:val="en-US"/>
        </w:rPr>
        <w:t>2</w:t>
      </w:r>
      <w:r w:rsidRPr="00BB2067">
        <w:rPr>
          <w:rFonts w:ascii="Times New Roman" w:hAnsi="Times New Roman" w:cs="Times New Roman"/>
          <w:b/>
          <w:bCs/>
          <w:i w:val="0"/>
          <w:iCs w:val="0"/>
          <w:color w:val="auto"/>
          <w:sz w:val="24"/>
          <w:szCs w:val="24"/>
          <w:lang w:val="en-US"/>
        </w:rPr>
        <w:t>.</w:t>
      </w:r>
      <w:r w:rsidRPr="00BB2067">
        <w:rPr>
          <w:rFonts w:ascii="Times New Roman" w:hAnsi="Times New Roman" w:cs="Times New Roman"/>
          <w:i w:val="0"/>
          <w:iCs w:val="0"/>
          <w:color w:val="auto"/>
          <w:sz w:val="24"/>
          <w:szCs w:val="24"/>
          <w:lang w:val="en-US"/>
        </w:rPr>
        <w:t xml:space="preserve"> Marker genes per cluster in cells in UPN23 and UPN29. </w:t>
      </w:r>
      <w:r w:rsidRPr="00BB2067">
        <w:rPr>
          <w:rFonts w:ascii="Times New Roman" w:hAnsi="Times New Roman" w:cs="Times New Roman"/>
          <w:b/>
          <w:bCs/>
          <w:i w:val="0"/>
          <w:iCs w:val="0"/>
          <w:color w:val="auto"/>
          <w:sz w:val="24"/>
          <w:szCs w:val="24"/>
          <w:lang w:val="en-US"/>
        </w:rPr>
        <w:t>(a)</w:t>
      </w:r>
      <w:r w:rsidRPr="00BB2067">
        <w:rPr>
          <w:rFonts w:ascii="Times New Roman" w:hAnsi="Times New Roman" w:cs="Times New Roman"/>
          <w:i w:val="0"/>
          <w:iCs w:val="0"/>
          <w:color w:val="auto"/>
          <w:sz w:val="24"/>
          <w:szCs w:val="24"/>
          <w:lang w:val="en-US"/>
        </w:rPr>
        <w:t xml:space="preserve"> Heat maps showing the most expressed genes in each cluster for UPN23 SC , </w:t>
      </w:r>
      <w:r w:rsidRPr="00BB2067">
        <w:rPr>
          <w:rFonts w:ascii="Times New Roman" w:hAnsi="Times New Roman" w:cs="Times New Roman"/>
          <w:b/>
          <w:bCs/>
          <w:i w:val="0"/>
          <w:iCs w:val="0"/>
          <w:color w:val="auto"/>
          <w:sz w:val="24"/>
          <w:szCs w:val="24"/>
          <w:lang w:val="en-US"/>
        </w:rPr>
        <w:t>(b)</w:t>
      </w:r>
      <w:r w:rsidRPr="00BB2067">
        <w:rPr>
          <w:rFonts w:ascii="Times New Roman" w:hAnsi="Times New Roman" w:cs="Times New Roman"/>
          <w:i w:val="0"/>
          <w:iCs w:val="0"/>
          <w:color w:val="auto"/>
          <w:sz w:val="24"/>
          <w:szCs w:val="24"/>
          <w:lang w:val="en-US"/>
        </w:rPr>
        <w:t xml:space="preserve"> in UPN23 </w:t>
      </w:r>
      <w:proofErr w:type="spellStart"/>
      <w:r w:rsidRPr="00BB2067">
        <w:rPr>
          <w:rFonts w:ascii="Times New Roman" w:hAnsi="Times New Roman" w:cs="Times New Roman"/>
          <w:i w:val="0"/>
          <w:iCs w:val="0"/>
          <w:color w:val="auto"/>
          <w:sz w:val="24"/>
          <w:szCs w:val="24"/>
          <w:lang w:val="en-US"/>
        </w:rPr>
        <w:t>SC_m</w:t>
      </w:r>
      <w:proofErr w:type="spellEnd"/>
      <w:r w:rsidRPr="00BB2067">
        <w:rPr>
          <w:rFonts w:ascii="Times New Roman" w:hAnsi="Times New Roman" w:cs="Times New Roman"/>
          <w:i w:val="0"/>
          <w:iCs w:val="0"/>
          <w:color w:val="auto"/>
          <w:sz w:val="24"/>
          <w:szCs w:val="24"/>
          <w:lang w:val="en-US"/>
        </w:rPr>
        <w:t xml:space="preserve">, </w:t>
      </w:r>
      <w:r w:rsidRPr="00BB2067">
        <w:rPr>
          <w:rFonts w:ascii="Times New Roman" w:hAnsi="Times New Roman" w:cs="Times New Roman"/>
          <w:b/>
          <w:bCs/>
          <w:i w:val="0"/>
          <w:iCs w:val="0"/>
          <w:color w:val="auto"/>
          <w:sz w:val="24"/>
          <w:szCs w:val="24"/>
          <w:lang w:val="en-US"/>
        </w:rPr>
        <w:t>(c)</w:t>
      </w:r>
      <w:r w:rsidRPr="00BB2067">
        <w:rPr>
          <w:rFonts w:ascii="Times New Roman" w:hAnsi="Times New Roman" w:cs="Times New Roman"/>
          <w:i w:val="0"/>
          <w:iCs w:val="0"/>
          <w:color w:val="auto"/>
          <w:sz w:val="24"/>
          <w:szCs w:val="24"/>
          <w:lang w:val="en-US"/>
        </w:rPr>
        <w:t xml:space="preserve"> in UPN29 SC and </w:t>
      </w:r>
      <w:r w:rsidRPr="00BB2067">
        <w:rPr>
          <w:rFonts w:ascii="Times New Roman" w:hAnsi="Times New Roman" w:cs="Times New Roman"/>
          <w:b/>
          <w:bCs/>
          <w:i w:val="0"/>
          <w:iCs w:val="0"/>
          <w:color w:val="auto"/>
          <w:sz w:val="24"/>
          <w:szCs w:val="24"/>
          <w:lang w:val="en-US"/>
        </w:rPr>
        <w:t>(d)</w:t>
      </w:r>
      <w:r w:rsidRPr="00BB2067">
        <w:rPr>
          <w:rFonts w:ascii="Times New Roman" w:hAnsi="Times New Roman" w:cs="Times New Roman"/>
          <w:i w:val="0"/>
          <w:iCs w:val="0"/>
          <w:color w:val="auto"/>
          <w:sz w:val="24"/>
          <w:szCs w:val="24"/>
          <w:lang w:val="en-US"/>
        </w:rPr>
        <w:t xml:space="preserve"> in UPN29 </w:t>
      </w:r>
      <w:proofErr w:type="spellStart"/>
      <w:r w:rsidRPr="00BB2067">
        <w:rPr>
          <w:rFonts w:ascii="Times New Roman" w:hAnsi="Times New Roman" w:cs="Times New Roman"/>
          <w:i w:val="0"/>
          <w:iCs w:val="0"/>
          <w:color w:val="auto"/>
          <w:sz w:val="24"/>
          <w:szCs w:val="24"/>
          <w:lang w:val="en-US"/>
        </w:rPr>
        <w:t>SC_m</w:t>
      </w:r>
      <w:proofErr w:type="spellEnd"/>
      <w:r w:rsidRPr="00BB2067">
        <w:rPr>
          <w:rFonts w:ascii="Times New Roman" w:hAnsi="Times New Roman" w:cs="Times New Roman"/>
          <w:i w:val="0"/>
          <w:iCs w:val="0"/>
          <w:color w:val="auto"/>
          <w:sz w:val="24"/>
          <w:szCs w:val="24"/>
          <w:lang w:val="en-US"/>
        </w:rPr>
        <w:t>. Blue arrows indicate genes specific to LB, LT and NK cells (such as MS4A1, CD79A and B, NKG7, GZMA and GNLY) and red arrows show genes involved in the leukemogenesis process (MPO and SOX4).</w:t>
      </w:r>
    </w:p>
    <w:p w14:paraId="7717A81F" w14:textId="77777777" w:rsidR="001C351E" w:rsidRPr="001C351E" w:rsidRDefault="001C351E">
      <w:pPr>
        <w:rPr>
          <w:lang w:val="en-US"/>
        </w:rPr>
      </w:pPr>
    </w:p>
    <w:sectPr w:rsidR="001C351E" w:rsidRPr="001C35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51E"/>
    <w:rsid w:val="001C351E"/>
    <w:rsid w:val="003739D0"/>
    <w:rsid w:val="00692B39"/>
    <w:rsid w:val="007358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680C"/>
  <w15:chartTrackingRefBased/>
  <w15:docId w15:val="{CA0378A0-6C8D-4B17-9AB9-ED7A2AF0F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1C351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767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madaci lamia</dc:creator>
  <cp:keywords/>
  <dc:description/>
  <cp:lastModifiedBy>Lamia Madaci</cp:lastModifiedBy>
  <cp:revision>2</cp:revision>
  <dcterms:created xsi:type="dcterms:W3CDTF">2022-08-07T21:05:00Z</dcterms:created>
  <dcterms:modified xsi:type="dcterms:W3CDTF">2023-02-08T14:22:00Z</dcterms:modified>
</cp:coreProperties>
</file>