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BFE8A" w14:textId="77777777" w:rsidR="006D28DB" w:rsidRDefault="006D28DB" w:rsidP="006D28D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Material</w:t>
      </w:r>
    </w:p>
    <w:p w14:paraId="7DD0BBD6" w14:textId="77777777" w:rsidR="006D28DB" w:rsidRDefault="006D28DB" w:rsidP="006D28D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C2FA6D" w14:textId="77777777" w:rsidR="006D28DB" w:rsidRDefault="006D28DB" w:rsidP="006D2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 – Summary statistics of seasonal </w:t>
      </w:r>
      <w:r w:rsidRPr="00F26CF0">
        <w:rPr>
          <w:rFonts w:ascii="Times New Roman" w:hAnsi="Times New Roman" w:cs="Times New Roman"/>
          <w:i/>
          <w:sz w:val="24"/>
          <w:szCs w:val="24"/>
        </w:rPr>
        <w:t>Vallisneria</w:t>
      </w:r>
      <w:r>
        <w:rPr>
          <w:rFonts w:ascii="Times New Roman" w:hAnsi="Times New Roman" w:cs="Times New Roman"/>
          <w:sz w:val="24"/>
          <w:szCs w:val="24"/>
        </w:rPr>
        <w:t xml:space="preserve"> Stress Index across sites </w:t>
      </w:r>
      <w:r w:rsidRPr="00117E8E">
        <w:rPr>
          <w:rFonts w:ascii="Times New Roman" w:hAnsi="Times New Roman" w:cs="Times New Roman"/>
          <w:sz w:val="24"/>
          <w:szCs w:val="24"/>
        </w:rPr>
        <w:t>for existing condition baseline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E8E">
        <w:rPr>
          <w:rFonts w:ascii="Times New Roman" w:hAnsi="Times New Roman" w:cs="Times New Roman"/>
          <w:sz w:val="24"/>
          <w:szCs w:val="24"/>
        </w:rPr>
        <w:t>(ECB19), no-action baseline (NA25f), and preferred alternative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E8E">
        <w:rPr>
          <w:rFonts w:ascii="Times New Roman" w:hAnsi="Times New Roman" w:cs="Times New Roman"/>
          <w:sz w:val="24"/>
          <w:szCs w:val="24"/>
        </w:rPr>
        <w:t>(PA25) observed during the period of simulation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080"/>
        <w:gridCol w:w="1440"/>
        <w:gridCol w:w="1008"/>
        <w:gridCol w:w="1008"/>
        <w:gridCol w:w="1152"/>
        <w:gridCol w:w="1008"/>
        <w:gridCol w:w="1008"/>
        <w:gridCol w:w="1008"/>
        <w:gridCol w:w="1152"/>
      </w:tblGrid>
      <w:tr w:rsidR="006D28DB" w14:paraId="4B64DBCD" w14:textId="77777777" w:rsidTr="00C33053">
        <w:trPr>
          <w:cantSplit/>
          <w:tblHeader/>
          <w:jc w:val="center"/>
        </w:trPr>
        <w:tc>
          <w:tcPr>
            <w:tcW w:w="108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E00D7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  <w:sz w:val="24"/>
                <w:szCs w:val="24"/>
              </w:rPr>
              <w:t>Site</w:t>
            </w:r>
          </w:p>
        </w:tc>
        <w:tc>
          <w:tcPr>
            <w:tcW w:w="144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2F865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  <w:sz w:val="24"/>
                <w:szCs w:val="24"/>
              </w:rPr>
              <w:t>Alternative</w:t>
            </w:r>
            <w:r>
              <w:rPr>
                <w:rFonts w:ascii="Times New Roman" w:eastAsia="Arial" w:hAnsi="Arial" w:cs="Arial"/>
                <w:color w:val="000000"/>
                <w:sz w:val="24"/>
                <w:szCs w:val="24"/>
                <w:vertAlign w:val="superscript"/>
              </w:rPr>
              <w:t xml:space="preserve"> 1   </w:t>
            </w:r>
          </w:p>
        </w:tc>
        <w:tc>
          <w:tcPr>
            <w:tcW w:w="1008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00EB0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008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0412A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  <w:sz w:val="24"/>
                <w:szCs w:val="24"/>
              </w:rPr>
              <w:t>Standard</w:t>
            </w:r>
            <w:r>
              <w:rPr>
                <w:rFonts w:ascii="Times New Roman" w:eastAsia="Arial" w:hAnsi="Arial" w:cs="Arial"/>
                <w:color w:val="000000"/>
                <w:sz w:val="24"/>
                <w:szCs w:val="24"/>
              </w:rPr>
              <w:br/>
              <w:t>Deviation</w:t>
            </w:r>
          </w:p>
        </w:tc>
        <w:tc>
          <w:tcPr>
            <w:tcW w:w="1152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0D02F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1008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F7285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Arial" w:hAnsi="Arial" w:cs="Arial"/>
                <w:color w:val="000000"/>
                <w:sz w:val="24"/>
                <w:szCs w:val="24"/>
              </w:rPr>
              <w:t>ᵗʰ</w:t>
            </w:r>
            <w:r>
              <w:rPr>
                <w:rFonts w:ascii="Times New Roman" w:eastAsia="Arial" w:hAnsi="Arial" w:cs="Arial"/>
                <w:color w:val="000000"/>
                <w:sz w:val="24"/>
                <w:szCs w:val="24"/>
              </w:rPr>
              <w:br/>
              <w:t>Quantile</w:t>
            </w:r>
          </w:p>
        </w:tc>
        <w:tc>
          <w:tcPr>
            <w:tcW w:w="1008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90AD1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  <w:sz w:val="24"/>
                <w:szCs w:val="24"/>
              </w:rPr>
              <w:t>Median</w:t>
            </w:r>
          </w:p>
        </w:tc>
        <w:tc>
          <w:tcPr>
            <w:tcW w:w="1008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0DE19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  <w:sz w:val="24"/>
                <w:szCs w:val="24"/>
              </w:rPr>
              <w:t>75</w:t>
            </w:r>
            <w:r>
              <w:rPr>
                <w:rFonts w:ascii="Times New Roman" w:eastAsia="Arial" w:hAnsi="Arial" w:cs="Arial"/>
                <w:color w:val="000000"/>
                <w:sz w:val="24"/>
                <w:szCs w:val="24"/>
              </w:rPr>
              <w:t>ᵗʰ</w:t>
            </w:r>
            <w:r>
              <w:rPr>
                <w:rFonts w:ascii="Times New Roman" w:eastAsia="Arial" w:hAnsi="Arial" w:cs="Arial"/>
                <w:color w:val="000000"/>
                <w:sz w:val="24"/>
                <w:szCs w:val="24"/>
              </w:rPr>
              <w:br/>
              <w:t>Quantile</w:t>
            </w:r>
          </w:p>
        </w:tc>
        <w:tc>
          <w:tcPr>
            <w:tcW w:w="1152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54DC1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  <w:sz w:val="24"/>
                <w:szCs w:val="24"/>
              </w:rPr>
              <w:t>Maximum</w:t>
            </w:r>
          </w:p>
        </w:tc>
      </w:tr>
      <w:tr w:rsidR="006D28DB" w14:paraId="3C842E48" w14:textId="77777777" w:rsidTr="00C33053">
        <w:trPr>
          <w:cantSplit/>
          <w:jc w:val="center"/>
        </w:trPr>
        <w:tc>
          <w:tcPr>
            <w:tcW w:w="1080" w:type="dxa"/>
            <w:vMerge w:val="restart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11685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</w:rPr>
              <w:t>BR31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9DE5B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</w:rPr>
              <w:t>ECB19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43495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0.15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204C7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0.19</w:t>
            </w:r>
          </w:p>
        </w:tc>
        <w:tc>
          <w:tcPr>
            <w:tcW w:w="11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E3F87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7F3D7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0.02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231C2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0.08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BB13A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0.19</w:t>
            </w:r>
          </w:p>
        </w:tc>
        <w:tc>
          <w:tcPr>
            <w:tcW w:w="11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AB811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0.79</w:t>
            </w:r>
          </w:p>
        </w:tc>
      </w:tr>
      <w:tr w:rsidR="006D28DB" w14:paraId="0B069D77" w14:textId="77777777" w:rsidTr="00C33053">
        <w:trPr>
          <w:cantSplit/>
          <w:jc w:val="center"/>
        </w:trPr>
        <w:tc>
          <w:tcPr>
            <w:tcW w:w="108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04C49" w14:textId="77777777" w:rsidR="006D28DB" w:rsidRDefault="006D28DB" w:rsidP="00C33053">
            <w:pPr>
              <w:spacing w:before="30" w:after="30"/>
              <w:ind w:left="30" w:right="30"/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B54F9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</w:rPr>
              <w:t>NA25f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7C718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0.04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DE079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0.07</w:t>
            </w:r>
          </w:p>
        </w:tc>
        <w:tc>
          <w:tcPr>
            <w:tcW w:w="11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96C6E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19625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9EFA5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0.02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B5D7E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0.04</w:t>
            </w:r>
          </w:p>
        </w:tc>
        <w:tc>
          <w:tcPr>
            <w:tcW w:w="11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E685D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0.49</w:t>
            </w:r>
          </w:p>
        </w:tc>
      </w:tr>
      <w:tr w:rsidR="006D28DB" w14:paraId="39630ACC" w14:textId="77777777" w:rsidTr="00C33053">
        <w:trPr>
          <w:cantSplit/>
          <w:jc w:val="center"/>
        </w:trPr>
        <w:tc>
          <w:tcPr>
            <w:tcW w:w="1080" w:type="dxa"/>
            <w:vMerge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3A471" w14:textId="77777777" w:rsidR="006D28DB" w:rsidRDefault="006D28DB" w:rsidP="00C33053">
            <w:pPr>
              <w:spacing w:before="30" w:after="30"/>
              <w:ind w:left="30" w:right="30"/>
            </w:pPr>
          </w:p>
        </w:tc>
        <w:tc>
          <w:tcPr>
            <w:tcW w:w="1440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83E19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</w:rPr>
              <w:t>PA25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2FDA8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0.03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9CED3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0.06</w:t>
            </w:r>
          </w:p>
        </w:tc>
        <w:tc>
          <w:tcPr>
            <w:tcW w:w="1152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068B8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E1C2E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BF98A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0DB1B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0.03</w:t>
            </w:r>
          </w:p>
        </w:tc>
        <w:tc>
          <w:tcPr>
            <w:tcW w:w="1152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26895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0.49</w:t>
            </w:r>
          </w:p>
        </w:tc>
      </w:tr>
      <w:tr w:rsidR="006D28DB" w14:paraId="3E038D77" w14:textId="77777777" w:rsidTr="00C33053">
        <w:trPr>
          <w:cantSplit/>
          <w:jc w:val="center"/>
        </w:trPr>
        <w:tc>
          <w:tcPr>
            <w:tcW w:w="1080" w:type="dxa"/>
            <w:vMerge w:val="restart"/>
            <w:tcBorders>
              <w:top w:val="single" w:sz="8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218D1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</w:rPr>
              <w:t>Val-I75</w:t>
            </w:r>
          </w:p>
        </w:tc>
        <w:tc>
          <w:tcPr>
            <w:tcW w:w="1440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EC233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</w:rPr>
              <w:t>ECB19</w:t>
            </w:r>
          </w:p>
        </w:tc>
        <w:tc>
          <w:tcPr>
            <w:tcW w:w="100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CE1D0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0.17</w:t>
            </w:r>
          </w:p>
        </w:tc>
        <w:tc>
          <w:tcPr>
            <w:tcW w:w="100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FC6BF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0.20</w:t>
            </w:r>
          </w:p>
        </w:tc>
        <w:tc>
          <w:tcPr>
            <w:tcW w:w="1152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87396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73867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0.02</w:t>
            </w:r>
          </w:p>
        </w:tc>
        <w:tc>
          <w:tcPr>
            <w:tcW w:w="100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BAB72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0.08</w:t>
            </w:r>
          </w:p>
        </w:tc>
        <w:tc>
          <w:tcPr>
            <w:tcW w:w="100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D2110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0.21</w:t>
            </w:r>
          </w:p>
        </w:tc>
        <w:tc>
          <w:tcPr>
            <w:tcW w:w="1152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A24D4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0.83</w:t>
            </w:r>
          </w:p>
        </w:tc>
      </w:tr>
      <w:tr w:rsidR="006D28DB" w14:paraId="24DF0999" w14:textId="77777777" w:rsidTr="00C33053">
        <w:trPr>
          <w:cantSplit/>
          <w:jc w:val="center"/>
        </w:trPr>
        <w:tc>
          <w:tcPr>
            <w:tcW w:w="108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6EDC4" w14:textId="77777777" w:rsidR="006D28DB" w:rsidRDefault="006D28DB" w:rsidP="00C33053">
            <w:pPr>
              <w:spacing w:before="30" w:after="30"/>
              <w:ind w:left="30" w:right="30"/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C4263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</w:rPr>
              <w:t>NA25f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B7CB3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0.05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BA35D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0.07</w:t>
            </w:r>
          </w:p>
        </w:tc>
        <w:tc>
          <w:tcPr>
            <w:tcW w:w="11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6F371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5E28F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15DBE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0.02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61B0A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0.05</w:t>
            </w:r>
          </w:p>
        </w:tc>
        <w:tc>
          <w:tcPr>
            <w:tcW w:w="11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82061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0.52</w:t>
            </w:r>
          </w:p>
        </w:tc>
      </w:tr>
      <w:tr w:rsidR="006D28DB" w14:paraId="191DE5F6" w14:textId="77777777" w:rsidTr="00C33053">
        <w:trPr>
          <w:cantSplit/>
          <w:jc w:val="center"/>
        </w:trPr>
        <w:tc>
          <w:tcPr>
            <w:tcW w:w="1080" w:type="dxa"/>
            <w:vMerge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FFCB0" w14:textId="77777777" w:rsidR="006D28DB" w:rsidRDefault="006D28DB" w:rsidP="00C33053">
            <w:pPr>
              <w:spacing w:before="30" w:after="30"/>
              <w:ind w:left="30" w:right="30"/>
            </w:pPr>
          </w:p>
        </w:tc>
        <w:tc>
          <w:tcPr>
            <w:tcW w:w="1440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DB811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</w:rPr>
              <w:t>PA25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B2CA1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0.04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C0F22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0.07</w:t>
            </w:r>
          </w:p>
        </w:tc>
        <w:tc>
          <w:tcPr>
            <w:tcW w:w="1152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D3B62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BE2A3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27559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0.02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CC8B4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0.04</w:t>
            </w:r>
          </w:p>
        </w:tc>
        <w:tc>
          <w:tcPr>
            <w:tcW w:w="1152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C4E1F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0.52</w:t>
            </w:r>
          </w:p>
        </w:tc>
      </w:tr>
      <w:tr w:rsidR="006D28DB" w14:paraId="2E636B5A" w14:textId="77777777" w:rsidTr="00C33053">
        <w:trPr>
          <w:cantSplit/>
          <w:jc w:val="center"/>
        </w:trPr>
        <w:tc>
          <w:tcPr>
            <w:tcW w:w="1080" w:type="dxa"/>
            <w:vMerge w:val="restart"/>
            <w:tcBorders>
              <w:top w:val="single" w:sz="8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BDB05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</w:rPr>
              <w:t>Bird-IS</w:t>
            </w:r>
          </w:p>
        </w:tc>
        <w:tc>
          <w:tcPr>
            <w:tcW w:w="1440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E21B1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</w:rPr>
              <w:t>ECB19</w:t>
            </w:r>
          </w:p>
        </w:tc>
        <w:tc>
          <w:tcPr>
            <w:tcW w:w="100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F32BA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0.19</w:t>
            </w:r>
          </w:p>
        </w:tc>
        <w:tc>
          <w:tcPr>
            <w:tcW w:w="100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A08F4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0.22</w:t>
            </w:r>
          </w:p>
        </w:tc>
        <w:tc>
          <w:tcPr>
            <w:tcW w:w="1152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62F7E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8A6BF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0.03</w:t>
            </w:r>
          </w:p>
        </w:tc>
        <w:tc>
          <w:tcPr>
            <w:tcW w:w="100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1F382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0.10</w:t>
            </w:r>
          </w:p>
        </w:tc>
        <w:tc>
          <w:tcPr>
            <w:tcW w:w="100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7A177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0.23</w:t>
            </w:r>
          </w:p>
        </w:tc>
        <w:tc>
          <w:tcPr>
            <w:tcW w:w="1152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A0089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0.88</w:t>
            </w:r>
          </w:p>
        </w:tc>
      </w:tr>
      <w:tr w:rsidR="006D28DB" w14:paraId="4C6D40A7" w14:textId="77777777" w:rsidTr="00C33053">
        <w:trPr>
          <w:cantSplit/>
          <w:jc w:val="center"/>
        </w:trPr>
        <w:tc>
          <w:tcPr>
            <w:tcW w:w="108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A1E88" w14:textId="77777777" w:rsidR="006D28DB" w:rsidRDefault="006D28DB" w:rsidP="00C33053">
            <w:pPr>
              <w:spacing w:before="30" w:after="30"/>
              <w:ind w:left="30" w:right="30"/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22226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</w:rPr>
              <w:t>NA25f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4BE01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0.05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A2106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0.08</w:t>
            </w:r>
          </w:p>
        </w:tc>
        <w:tc>
          <w:tcPr>
            <w:tcW w:w="11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1E9E8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70D2B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12B0D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0.03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D6903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0.06</w:t>
            </w:r>
          </w:p>
        </w:tc>
        <w:tc>
          <w:tcPr>
            <w:tcW w:w="11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28961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0.58</w:t>
            </w:r>
          </w:p>
        </w:tc>
      </w:tr>
      <w:tr w:rsidR="006D28DB" w14:paraId="1A9EA9AE" w14:textId="77777777" w:rsidTr="00C33053">
        <w:trPr>
          <w:cantSplit/>
          <w:jc w:val="center"/>
        </w:trPr>
        <w:tc>
          <w:tcPr>
            <w:tcW w:w="1080" w:type="dxa"/>
            <w:vMerge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62E99" w14:textId="77777777" w:rsidR="006D28DB" w:rsidRDefault="006D28DB" w:rsidP="00C33053">
            <w:pPr>
              <w:spacing w:before="30" w:after="30"/>
              <w:ind w:left="30" w:right="30"/>
            </w:pPr>
          </w:p>
        </w:tc>
        <w:tc>
          <w:tcPr>
            <w:tcW w:w="1440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65497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</w:rPr>
              <w:t>PA25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7D064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0.04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25443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0.08</w:t>
            </w:r>
          </w:p>
        </w:tc>
        <w:tc>
          <w:tcPr>
            <w:tcW w:w="1152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76734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F2011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DEE69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0.02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021DC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0.04</w:t>
            </w:r>
          </w:p>
        </w:tc>
        <w:tc>
          <w:tcPr>
            <w:tcW w:w="1152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FEE89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0.58</w:t>
            </w:r>
          </w:p>
        </w:tc>
      </w:tr>
      <w:tr w:rsidR="006D28DB" w14:paraId="276516F3" w14:textId="77777777" w:rsidTr="00C33053">
        <w:trPr>
          <w:cantSplit/>
          <w:jc w:val="center"/>
        </w:trPr>
        <w:tc>
          <w:tcPr>
            <w:tcW w:w="1080" w:type="dxa"/>
            <w:vMerge w:val="restart"/>
            <w:tcBorders>
              <w:top w:val="single" w:sz="8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03C9F" w14:textId="77777777" w:rsidR="006D28DB" w:rsidRDefault="006D28DB" w:rsidP="00C33053">
            <w:pPr>
              <w:spacing w:before="30" w:after="30"/>
              <w:ind w:left="30" w:right="30"/>
            </w:pPr>
            <w:proofErr w:type="spellStart"/>
            <w:r>
              <w:rPr>
                <w:rFonts w:ascii="Times New Roman" w:eastAsia="Arial" w:hAnsi="Arial" w:cs="Arial"/>
                <w:color w:val="000000"/>
              </w:rPr>
              <w:t>FtMyers</w:t>
            </w:r>
            <w:proofErr w:type="spellEnd"/>
          </w:p>
        </w:tc>
        <w:tc>
          <w:tcPr>
            <w:tcW w:w="1440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27361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</w:rPr>
              <w:t>ECB19</w:t>
            </w:r>
          </w:p>
        </w:tc>
        <w:tc>
          <w:tcPr>
            <w:tcW w:w="100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1455B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0.32</w:t>
            </w:r>
          </w:p>
        </w:tc>
        <w:tc>
          <w:tcPr>
            <w:tcW w:w="100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E63DD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0.27</w:t>
            </w:r>
          </w:p>
        </w:tc>
        <w:tc>
          <w:tcPr>
            <w:tcW w:w="1152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9EAC7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0B7CC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0.12</w:t>
            </w:r>
          </w:p>
        </w:tc>
        <w:tc>
          <w:tcPr>
            <w:tcW w:w="100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7EF58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0.24</w:t>
            </w:r>
          </w:p>
        </w:tc>
        <w:tc>
          <w:tcPr>
            <w:tcW w:w="1008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5BB8A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0.44</w:t>
            </w:r>
          </w:p>
        </w:tc>
        <w:tc>
          <w:tcPr>
            <w:tcW w:w="1152" w:type="dxa"/>
            <w:tcBorders>
              <w:top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87C4A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0.99</w:t>
            </w:r>
          </w:p>
        </w:tc>
      </w:tr>
      <w:tr w:rsidR="006D28DB" w14:paraId="21DA709A" w14:textId="77777777" w:rsidTr="00C33053">
        <w:trPr>
          <w:cantSplit/>
          <w:jc w:val="center"/>
        </w:trPr>
        <w:tc>
          <w:tcPr>
            <w:tcW w:w="108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E299D" w14:textId="77777777" w:rsidR="006D28DB" w:rsidRDefault="006D28DB" w:rsidP="00C33053">
            <w:pPr>
              <w:spacing w:before="30" w:after="30"/>
              <w:ind w:left="30" w:right="30"/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F54DC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</w:rPr>
              <w:t>NA25f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75A41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0.18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E63C1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0.17</w:t>
            </w:r>
          </w:p>
        </w:tc>
        <w:tc>
          <w:tcPr>
            <w:tcW w:w="11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5AB92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3CC52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0.05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215D2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0.14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BDD53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0.25</w:t>
            </w:r>
          </w:p>
        </w:tc>
        <w:tc>
          <w:tcPr>
            <w:tcW w:w="11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6904C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0.80</w:t>
            </w:r>
          </w:p>
        </w:tc>
      </w:tr>
      <w:tr w:rsidR="006D28DB" w14:paraId="709A9CA3" w14:textId="77777777" w:rsidTr="00C33053">
        <w:trPr>
          <w:cantSplit/>
          <w:jc w:val="center"/>
        </w:trPr>
        <w:tc>
          <w:tcPr>
            <w:tcW w:w="1080" w:type="dxa"/>
            <w:vMerge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E983D" w14:textId="77777777" w:rsidR="006D28DB" w:rsidRDefault="006D28DB" w:rsidP="00C33053">
            <w:pPr>
              <w:spacing w:before="30" w:after="30"/>
              <w:ind w:left="30" w:right="30"/>
            </w:pPr>
          </w:p>
        </w:tc>
        <w:tc>
          <w:tcPr>
            <w:tcW w:w="1440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34343" w14:textId="77777777" w:rsidR="006D28DB" w:rsidRDefault="006D28DB" w:rsidP="00C33053">
            <w:pPr>
              <w:spacing w:before="30" w:after="30"/>
              <w:ind w:left="30" w:right="30"/>
            </w:pPr>
            <w:r>
              <w:rPr>
                <w:rFonts w:ascii="Times New Roman" w:eastAsia="Arial" w:hAnsi="Arial" w:cs="Arial"/>
                <w:color w:val="000000"/>
              </w:rPr>
              <w:t>PA25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838C8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0.14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72985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0.15</w:t>
            </w:r>
          </w:p>
        </w:tc>
        <w:tc>
          <w:tcPr>
            <w:tcW w:w="1152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0BD7E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0.01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24D03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0.04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13572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0.10</w:t>
            </w:r>
          </w:p>
        </w:tc>
        <w:tc>
          <w:tcPr>
            <w:tcW w:w="1008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C2996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0.20</w:t>
            </w:r>
          </w:p>
        </w:tc>
        <w:tc>
          <w:tcPr>
            <w:tcW w:w="1152" w:type="dxa"/>
            <w:tcBorders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42ACB" w14:textId="77777777" w:rsidR="006D28DB" w:rsidRDefault="006D28DB" w:rsidP="00C33053">
            <w:pPr>
              <w:spacing w:before="30" w:after="30"/>
              <w:ind w:left="30" w:right="30"/>
              <w:jc w:val="center"/>
            </w:pPr>
            <w:r>
              <w:rPr>
                <w:rFonts w:ascii="Times New Roman" w:eastAsia="Arial" w:hAnsi="Arial" w:cs="Arial"/>
                <w:color w:val="000000"/>
              </w:rPr>
              <w:t>0.80</w:t>
            </w:r>
          </w:p>
        </w:tc>
      </w:tr>
      <w:tr w:rsidR="006D28DB" w14:paraId="7776FAFF" w14:textId="77777777" w:rsidTr="00C33053">
        <w:trPr>
          <w:cantSplit/>
          <w:jc w:val="center"/>
        </w:trPr>
        <w:tc>
          <w:tcPr>
            <w:tcW w:w="9864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812D2" w14:textId="77777777" w:rsidR="006D28DB" w:rsidRDefault="006D28DB" w:rsidP="00C33053">
            <w:pPr>
              <w:spacing w:before="100" w:after="100"/>
              <w:ind w:left="100" w:right="100"/>
            </w:pPr>
            <w:r>
              <w:rPr>
                <w:rFonts w:ascii="Times New Roman" w:eastAsia="Arial" w:hAnsi="Arial" w:cs="Arial"/>
                <w:color w:val="000000"/>
                <w:vertAlign w:val="superscript"/>
              </w:rPr>
              <w:t xml:space="preserve"> 1 </w:t>
            </w:r>
            <w:r>
              <w:rPr>
                <w:rFonts w:ascii="Times New Roman" w:eastAsia="Arial" w:hAnsi="Arial" w:cs="Arial"/>
                <w:color w:val="000000"/>
              </w:rPr>
              <w:t xml:space="preserve">ECB19 = existing condition </w:t>
            </w:r>
            <w:proofErr w:type="gramStart"/>
            <w:r>
              <w:rPr>
                <w:rFonts w:ascii="Times New Roman" w:eastAsia="Arial" w:hAnsi="Arial" w:cs="Arial"/>
                <w:color w:val="000000"/>
              </w:rPr>
              <w:t xml:space="preserve">baseline; </w:t>
            </w:r>
            <w:r>
              <w:rPr>
                <w:rFonts w:ascii="Times New Roman" w:eastAsia="Arial" w:hAnsi="Arial" w:cs="Arial"/>
                <w:color w:val="000000"/>
                <w:vertAlign w:val="superscript"/>
              </w:rPr>
              <w:t xml:space="preserve"> </w:t>
            </w:r>
            <w:r>
              <w:rPr>
                <w:rFonts w:ascii="Times New Roman" w:eastAsia="Arial" w:hAnsi="Arial" w:cs="Arial"/>
                <w:color w:val="000000"/>
              </w:rPr>
              <w:t>NA</w:t>
            </w:r>
            <w:proofErr w:type="gramEnd"/>
            <w:r>
              <w:rPr>
                <w:rFonts w:ascii="Times New Roman" w:eastAsia="Arial" w:hAnsi="Arial" w:cs="Arial"/>
                <w:color w:val="000000"/>
              </w:rPr>
              <w:t xml:space="preserve">25f = no action baseline; </w:t>
            </w:r>
            <w:r>
              <w:rPr>
                <w:rFonts w:ascii="Times New Roman" w:eastAsia="Arial" w:hAnsi="Arial" w:cs="Arial"/>
                <w:color w:val="000000"/>
                <w:vertAlign w:val="superscript"/>
              </w:rPr>
              <w:t xml:space="preserve"> </w:t>
            </w:r>
            <w:r>
              <w:rPr>
                <w:rFonts w:ascii="Times New Roman" w:eastAsia="Arial" w:hAnsi="Arial" w:cs="Arial"/>
                <w:color w:val="000000"/>
              </w:rPr>
              <w:t>PA25 = preferred alternative</w:t>
            </w:r>
          </w:p>
        </w:tc>
      </w:tr>
    </w:tbl>
    <w:p w14:paraId="2A87FA74" w14:textId="77777777" w:rsidR="006D28DB" w:rsidRDefault="006D28DB" w:rsidP="006D28D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A00AAF" w14:textId="77777777" w:rsidR="006D28DB" w:rsidRPr="00773D65" w:rsidRDefault="006D28DB" w:rsidP="006D28D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C6AD8C" w14:textId="77777777" w:rsidR="006D28DB" w:rsidRDefault="006D28DB" w:rsidP="006D28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F5001E" wp14:editId="7A126BD8">
            <wp:extent cx="59436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Figure S1 – Discharge duration curve for total discharges from S-79 (Caloosahatchee River Estuary) and S-80 (St. Lucie River Estuary) for each alternative during the simulated period of record. Alternatives include the e</w:t>
      </w:r>
      <w:r w:rsidRPr="00117E8E">
        <w:rPr>
          <w:rFonts w:ascii="Times New Roman" w:hAnsi="Times New Roman" w:cs="Times New Roman"/>
          <w:sz w:val="24"/>
          <w:szCs w:val="24"/>
        </w:rPr>
        <w:t>xisting condition baseline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E8E">
        <w:rPr>
          <w:rFonts w:ascii="Times New Roman" w:hAnsi="Times New Roman" w:cs="Times New Roman"/>
          <w:sz w:val="24"/>
          <w:szCs w:val="24"/>
        </w:rPr>
        <w:t>(ECB19) no-action baseline (NA25f), and preferred alternative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E8E">
        <w:rPr>
          <w:rFonts w:ascii="Times New Roman" w:hAnsi="Times New Roman" w:cs="Times New Roman"/>
          <w:sz w:val="24"/>
          <w:szCs w:val="24"/>
        </w:rPr>
        <w:t>(PA25)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FCA2C2" w14:textId="77777777" w:rsidR="006D28DB" w:rsidRDefault="006D28DB" w:rsidP="006D2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DFCD095" w14:textId="77777777" w:rsidR="006D28DB" w:rsidRDefault="006D28DB" w:rsidP="006D28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C026D2" wp14:editId="799E08BF">
            <wp:extent cx="4572000" cy="5029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AB161" w14:textId="77777777" w:rsidR="006D28DB" w:rsidRDefault="006D28DB" w:rsidP="006D28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S2 – Annual average simulated salinity </w:t>
      </w:r>
      <w:r w:rsidRPr="00117E8E">
        <w:rPr>
          <w:rFonts w:ascii="Times New Roman" w:hAnsi="Times New Roman" w:cs="Times New Roman"/>
          <w:sz w:val="24"/>
          <w:szCs w:val="24"/>
        </w:rPr>
        <w:t>for existing condition baseline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E8E">
        <w:rPr>
          <w:rFonts w:ascii="Times New Roman" w:hAnsi="Times New Roman" w:cs="Times New Roman"/>
          <w:sz w:val="24"/>
          <w:szCs w:val="24"/>
        </w:rPr>
        <w:t>(ECB19), no-action baseline (NA25f), and preferred alternative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E8E">
        <w:rPr>
          <w:rFonts w:ascii="Times New Roman" w:hAnsi="Times New Roman" w:cs="Times New Roman"/>
          <w:sz w:val="24"/>
          <w:szCs w:val="24"/>
        </w:rPr>
        <w:t>(PA25) observed during the period of simulation</w:t>
      </w:r>
      <w:r>
        <w:rPr>
          <w:rFonts w:ascii="Times New Roman" w:hAnsi="Times New Roman" w:cs="Times New Roman"/>
          <w:sz w:val="24"/>
          <w:szCs w:val="24"/>
        </w:rPr>
        <w:t xml:space="preserve"> at salinity simulation sites (Fig 1) in the upper Caloosahatchee River Estuary.</w:t>
      </w:r>
    </w:p>
    <w:p w14:paraId="3ED3BA7E" w14:textId="77777777" w:rsidR="006D28DB" w:rsidRDefault="006D28DB" w:rsidP="006D28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64F1C" w14:textId="77777777" w:rsidR="006D28DB" w:rsidRDefault="006D28DB" w:rsidP="006D28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5CF20" w14:textId="77777777" w:rsidR="006D28DB" w:rsidRDefault="006D28DB" w:rsidP="006D2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57ABF5" w14:textId="77777777" w:rsidR="006D28DB" w:rsidRDefault="006D28DB" w:rsidP="006D28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C28C03" wp14:editId="4882160C">
            <wp:extent cx="5943600" cy="4572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CABB9" w14:textId="77777777" w:rsidR="006D28DB" w:rsidRDefault="006D28DB" w:rsidP="006D28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S3 – Annual mean wet and dry season </w:t>
      </w:r>
      <w:r w:rsidRPr="00117E8E">
        <w:rPr>
          <w:rFonts w:ascii="Times New Roman" w:hAnsi="Times New Roman" w:cs="Times New Roman"/>
          <w:i/>
          <w:sz w:val="24"/>
          <w:szCs w:val="24"/>
        </w:rPr>
        <w:t>Vallisneria</w:t>
      </w:r>
      <w:r>
        <w:rPr>
          <w:rFonts w:ascii="Times New Roman" w:hAnsi="Times New Roman" w:cs="Times New Roman"/>
          <w:sz w:val="24"/>
          <w:szCs w:val="24"/>
        </w:rPr>
        <w:t xml:space="preserve"> Stress Index </w:t>
      </w:r>
      <w:r w:rsidRPr="00117E8E">
        <w:rPr>
          <w:rFonts w:ascii="Times New Roman" w:hAnsi="Times New Roman" w:cs="Times New Roman"/>
          <w:sz w:val="24"/>
          <w:szCs w:val="24"/>
        </w:rPr>
        <w:t>for existing condition baseline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E8E">
        <w:rPr>
          <w:rFonts w:ascii="Times New Roman" w:hAnsi="Times New Roman" w:cs="Times New Roman"/>
          <w:sz w:val="24"/>
          <w:szCs w:val="24"/>
        </w:rPr>
        <w:t>(ECB19), no-action baseline (NA25f), and preferred alternative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E8E">
        <w:rPr>
          <w:rFonts w:ascii="Times New Roman" w:hAnsi="Times New Roman" w:cs="Times New Roman"/>
          <w:sz w:val="24"/>
          <w:szCs w:val="24"/>
        </w:rPr>
        <w:t>(PA25) observed during the period of simulation</w:t>
      </w:r>
      <w:r>
        <w:rPr>
          <w:rFonts w:ascii="Times New Roman" w:hAnsi="Times New Roman" w:cs="Times New Roman"/>
          <w:sz w:val="24"/>
          <w:szCs w:val="24"/>
        </w:rPr>
        <w:t xml:space="preserve"> at salinity simulation sites (Fig 1) in the upper Caloosahatchee River </w:t>
      </w:r>
    </w:p>
    <w:p w14:paraId="1B04AA42" w14:textId="77777777" w:rsidR="006D28DB" w:rsidRDefault="006D28DB" w:rsidP="006D2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04557C" w14:textId="77777777" w:rsidR="006D28DB" w:rsidRDefault="006D28DB" w:rsidP="006D28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94A4B9" wp14:editId="7E80294A">
            <wp:extent cx="59436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02FAB" w14:textId="77777777" w:rsidR="006D28DB" w:rsidRDefault="006D28DB" w:rsidP="006D28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S4 – Average percent distribution of regulatory discharge from Lake Okeechobee to the Caloosahatchee River (S-77), St. Lucie River (S-308), Water Conservation Areas (S-351 and S-352), and Lake Worth Lagoon (S-271) </w:t>
      </w:r>
      <w:r w:rsidRPr="00117E8E">
        <w:rPr>
          <w:rFonts w:ascii="Times New Roman" w:hAnsi="Times New Roman" w:cs="Times New Roman"/>
          <w:sz w:val="24"/>
          <w:szCs w:val="24"/>
        </w:rPr>
        <w:t>for existing condition baseline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E8E">
        <w:rPr>
          <w:rFonts w:ascii="Times New Roman" w:hAnsi="Times New Roman" w:cs="Times New Roman"/>
          <w:sz w:val="24"/>
          <w:szCs w:val="24"/>
        </w:rPr>
        <w:t>(ECB19), no-action baseline (NA25f), and preferred alternative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E8E">
        <w:rPr>
          <w:rFonts w:ascii="Times New Roman" w:hAnsi="Times New Roman" w:cs="Times New Roman"/>
          <w:sz w:val="24"/>
          <w:szCs w:val="24"/>
        </w:rPr>
        <w:t>(PA25) observed during the period of simulation.</w:t>
      </w:r>
    </w:p>
    <w:p w14:paraId="014180C0" w14:textId="77777777" w:rsidR="006D28DB" w:rsidRPr="00123D37" w:rsidRDefault="006D28DB" w:rsidP="006D28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F5DE2" w14:textId="77777777" w:rsidR="0039678E" w:rsidRDefault="0039678E"/>
    <w:sectPr w:rsidR="0039678E" w:rsidSect="00123D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0C24F" w14:textId="77777777" w:rsidR="00500168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09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565916" w14:textId="77777777" w:rsidR="00500168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A4610D" w14:textId="77777777" w:rsidR="00500168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B671" w14:textId="77777777" w:rsidR="00500168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D0528" w14:textId="77777777" w:rsidR="00500168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4C4EC" w14:textId="77777777" w:rsidR="00500168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4F4E0" w14:textId="77777777" w:rsidR="00500168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8DB"/>
    <w:rsid w:val="0039678E"/>
    <w:rsid w:val="006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CB5B1"/>
  <w15:chartTrackingRefBased/>
  <w15:docId w15:val="{6AB92B43-54C0-4FD7-8806-3BBFC5AC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8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8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8DB"/>
  </w:style>
  <w:style w:type="paragraph" w:styleId="Footer">
    <w:name w:val="footer"/>
    <w:basedOn w:val="Normal"/>
    <w:link w:val="FooterChar"/>
    <w:uiPriority w:val="99"/>
    <w:unhideWhenUsed/>
    <w:rsid w:val="006D28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8DB"/>
  </w:style>
  <w:style w:type="character" w:styleId="LineNumber">
    <w:name w:val="line number"/>
    <w:basedOn w:val="DefaultParagraphFont"/>
    <w:uiPriority w:val="99"/>
    <w:semiHidden/>
    <w:unhideWhenUsed/>
    <w:rsid w:val="006D2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2.xm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316</Words>
  <Characters>1919</Characters>
  <Application>Microsoft Office Word</Application>
  <DocSecurity>0</DocSecurity>
  <Lines>54</Lines>
  <Paragraphs>36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Julian</dc:creator>
  <cp:keywords/>
  <dc:description/>
  <cp:lastModifiedBy>Paul Julian</cp:lastModifiedBy>
  <cp:revision>1</cp:revision>
  <dcterms:created xsi:type="dcterms:W3CDTF">2023-02-07T15:18:00Z</dcterms:created>
  <dcterms:modified xsi:type="dcterms:W3CDTF">2023-02-07T15:19:00Z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0d9dc8c0-43f8-4874-89a7-92ddacbd93b8</vt:lpwstr>
  </property>
</Properties>
</file>