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b w:val="0"/>
        </w:rPr>
      </w:pPr>
      <w:r>
        <w:t>Supplementary Material</w:t>
      </w:r>
    </w:p>
    <w:p>
      <w:pPr>
        <w:pStyle w:val="34"/>
        <w:spacing w:line="360" w:lineRule="auto"/>
        <w:jc w:val="center"/>
        <w:rPr>
          <w:rFonts w:hint="eastAsia"/>
        </w:rPr>
      </w:pPr>
      <w:r>
        <w:rPr>
          <w:rFonts w:hint="eastAsia"/>
        </w:rPr>
        <w:t>Cost-effectiveness analysis of sorafenib, lenvatinib, atezolizumab plus bevacizumab and sintilimab plus bevacizumab for the treatment of advanced hepatocellular carcinoma in China</w:t>
      </w:r>
    </w:p>
    <w:p>
      <w:pPr>
        <w:rPr>
          <w:rFonts w:hint="eastAsia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bookmarkStart w:id="0" w:name="_Toc445712557"/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Gong Hongyu1,2,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 xml:space="preserve"> Ph.D. candidate, Teaching assistant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ONG Siew Chin1*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, MD, Professor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Li Fan3,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 xml:space="preserve"> MD, Professor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 xml:space="preserve">Zhao </w:t>
      </w:r>
      <w:r>
        <w:rPr>
          <w:rFonts w:hint="eastAsia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K</w:t>
      </w:r>
      <w:bookmarkStart w:id="1" w:name="_GoBack"/>
      <w:bookmarkEnd w:id="1"/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eying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3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 xml:space="preserve">, 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MD, Associate professor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Weng Zhiying3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, MD, Professor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Jiang Zhengyou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4, Ph.D. candidate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vertAlign w:val="superscript"/>
          <w:lang w:val="en-US" w:eastAsia="en-US" w:bidi="en-US"/>
        </w:rPr>
        <w:t>1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>School of Pharmaceutical Sciences, Universiti Sains Malaysia, 11800 USM Penang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>Penang City, Malaysia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vertAlign w:val="superscript"/>
          <w:lang w:val="en-US" w:eastAsia="en-US" w:bidi="en-US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 xml:space="preserve">Incubation Center for Scientific and Technological Achievements, Kunming Medical University, 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 xml:space="preserve">Chunrong west road 1168,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>Kunming City, China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vertAlign w:val="superscript"/>
          <w:lang w:val="en-US" w:eastAsia="en-US" w:bidi="en-US"/>
        </w:rPr>
        <w:t>3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>School of Pharmaceutical Science &amp;Yunnan Key Laboratory of Pharmacology for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>Natural Products, Kunming Medical University,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 xml:space="preserve"> Chunrong west road 1168,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>Kunming City, China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vertAlign w:val="superscript"/>
          <w:lang w:val="en-US" w:eastAsia="en-US" w:bidi="en-US"/>
        </w:rPr>
        <w:t>4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en-US" w:bidi="en-US"/>
        </w:rPr>
        <w:t>School of Public Health, Kunming Medical University, Chunrong west road 1168, Kunming City, China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vertAlign w:val="superscript"/>
          <w:lang w:val="en-US" w:eastAsia="zh-CN" w:bidi="en-US"/>
        </w:rPr>
        <w:t>5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School of management, Universiti Sains Malaysia, 11800 USM Penang, Penang City, Malaysia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 xml:space="preserve">* Correspondence author: 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ONG Siew Chin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siewchinong@usm.my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Universiti Sains Malaysia,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  <w:t>Phone: 604-6533888 Ext: 4725 (office)</w:t>
      </w:r>
    </w:p>
    <w:p>
      <w:pPr>
        <w:spacing w:after="0" w:line="240" w:lineRule="auto"/>
        <w:ind w:right="-298" w:rightChars="-124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t>Table S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fldChar w:fldCharType="begin"/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instrText xml:space="preserve"> SEQ Table \* ARABIC </w:instrTex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fldChar w:fldCharType="separate"/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t>1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fldChar w:fldCharType="end"/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t xml:space="preserve"> Inclusion and exclusion criteria of the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NCT01761266, NCT03434379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t xml:space="preserve"> and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NCT03794440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en-US" w:bidi="en-US"/>
        </w:rPr>
        <w:t xml:space="preserve"> studies</w:t>
      </w:r>
      <w:bookmarkEnd w:id="0"/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Criteria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NCT01761266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NCT03434379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 xml:space="preserve"> 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NCT03794440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Age requirements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≥18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≥18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≥18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Previous treatment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 xml:space="preserve">No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received previous systemic therapy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No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 xml:space="preserve"> previously received systemic therapy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o previous systemic therapy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How HCC diagnosed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istologically or cytologically, or confirmed clinically in accordance with American Association for the Study of Liver Diseases criteria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istologic or cytologic analysis or clinical features according to the American Association for the Study of Liver Diseases criteria for patients with cirrhosis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istologically, cytologically, or clinically confirmed per the American Association for the Study of Liver Disease criteria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Lesions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O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ne or more measurable 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instrText xml:space="preserve"> HYPERLINK "https://www.sciencedirect.com/topics/medicine-and-dentistry/target-lesion" \o "Learn more about target lesions from ScienceDirect's AI-generated Topic Pages" </w:instrTex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fldChar w:fldCharType="separate"/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target lesions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fldChar w:fldCharType="end"/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N/A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O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ne or more measurable target lesions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Life expectancy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12 weeks+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N/A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12 weeks+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 xml:space="preserve">BCLC stage 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B or C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N/A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B or 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ECO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G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0 or 1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0 or 1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0 or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Child-Pugh liver function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A</w:t>
            </w:r>
          </w:p>
        </w:tc>
        <w:tc>
          <w:tcPr>
            <w:tcW w:w="2131" w:type="dxa"/>
            <w:vAlign w:val="top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A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≤7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E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xclusion criteria</w:t>
            </w:r>
          </w:p>
        </w:tc>
        <w:tc>
          <w:tcPr>
            <w:tcW w:w="2130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W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ith 50% or higher liver occupation,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obvious invasion of the bile duct, or invasion at the main portal vein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 xml:space="preserve"> history of autoimmune disease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；high risk of bleeding</w:t>
            </w:r>
          </w:p>
        </w:tc>
        <w:tc>
          <w:tcPr>
            <w:tcW w:w="2131" w:type="dxa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 xml:space="preserve">A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history of autoimmune</w:t>
            </w:r>
          </w:p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disease,liver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transplantation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 xml:space="preserve">,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 xml:space="preserve">acute or chronic active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HBV</w:t>
            </w:r>
          </w:p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>o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r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u w:val="none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lang w:val="en-US" w:eastAsia="en-US" w:bidi="en-US"/>
              </w:rPr>
              <w:t>HCV infection</w:t>
            </w:r>
          </w:p>
        </w:tc>
      </w:tr>
    </w:tbl>
    <w:p>
      <w:pP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8"/>
          <w:szCs w:val="18"/>
          <w:shd w:val="clear" w:fill="auto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auto"/>
          <w:lang w:bidi="ar"/>
        </w:rPr>
        <w:t>Abbreviations: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auto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bidi="ar"/>
        </w:rPr>
        <w:t>BCLC stage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zh-CN" w:bidi="ar"/>
        </w:rPr>
        <w:t xml:space="preserve">, barcelona clinic liver cancer stage; ECOG, Eastern Cooperative Oncology Group; HCC, Hepatocellular carcinoma; HBV, 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en-US" w:bidi="ar"/>
        </w:rPr>
        <w:t xml:space="preserve">hepatitis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en-US" w:bidi="ar"/>
        </w:rPr>
        <w:t xml:space="preserve"> virus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zh-CN" w:bidi="ar"/>
        </w:rPr>
        <w:t xml:space="preserve">; 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en-US" w:bidi="ar"/>
        </w:rPr>
        <w:t>HCV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en-US" w:bidi="ar"/>
        </w:rPr>
        <w:t>hepatitis C virus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shd w:val="clear" w:fill="auto"/>
          <w:lang w:val="en-US" w:eastAsia="zh-CN" w:bidi="ar"/>
        </w:rPr>
        <w:t>；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S1:The Replicated Kaplan-Meier survival Curves of sorafenib in  NCT01761266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Trial</w:t>
      </w:r>
    </w:p>
    <w:p>
      <w:pPr>
        <w:ind w:right="-298" w:rightChars="-124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3040" cy="3954780"/>
            <wp:effectExtent l="0" t="0" r="10160" b="7620"/>
            <wp:docPr id="2" name="图片 2" descr="索拉非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索拉非尼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auto"/>
          <w:lang w:bidi="ar"/>
        </w:rPr>
        <w:t>Abbreviations: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/>
          <w:lang w:val="en-US" w:eastAsia="zh-CN" w:bidi="ar"/>
        </w:rPr>
        <w:t xml:space="preserve"> PFS, progression-free survival; OS, overall survival</w:t>
      </w:r>
    </w:p>
    <w:p>
      <w:pPr>
        <w:ind w:right="-298" w:rightChars="-124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Figure S2:The Replicated Kaplan-Meier survival Curves of lenvatinib in  NCT01761266 Trial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3040" cy="3954780"/>
            <wp:effectExtent l="0" t="0" r="10160" b="7620"/>
            <wp:docPr id="3" name="图片 3" descr="仑伐替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仑伐替尼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auto"/>
          <w:lang w:bidi="ar"/>
        </w:rPr>
        <w:t>Abbreviations: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/>
          <w:lang w:val="en-US" w:eastAsia="zh-CN" w:bidi="ar"/>
        </w:rPr>
        <w:t xml:space="preserve"> PFS, progression-free survival; OS, overall survival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Figure S3:The Replicated Kaplan-Meier survival Curves of S+B in NCT03794440 Trial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3040" cy="3954780"/>
            <wp:effectExtent l="0" t="0" r="10160" b="7620"/>
            <wp:docPr id="4" name="图片 4" descr="S+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+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auto"/>
          <w:lang w:bidi="ar"/>
        </w:rPr>
        <w:t>Abbreviations: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/>
          <w:lang w:val="en-US" w:eastAsia="zh-CN" w:bidi="ar"/>
        </w:rPr>
        <w:t xml:space="preserve"> PFS, progression-free survival; OS, overall survival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Figure S4:The Replicated Kaplan-Meier survival Curves of A+B in NCT03434379 Trial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3040" cy="3954780"/>
            <wp:effectExtent l="0" t="0" r="10160" b="7620"/>
            <wp:docPr id="6" name="图片 6" descr="A+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+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auto"/>
          <w:lang w:bidi="ar"/>
        </w:rPr>
        <w:t>Abbreviations: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18"/>
          <w:szCs w:val="18"/>
          <w:shd w:val="clear"/>
          <w:lang w:val="en-US" w:eastAsia="zh-CN" w:bidi="ar"/>
        </w:rPr>
        <w:t xml:space="preserve"> PFS, progression-free survival; OS, overall survival；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Table S2：One-way sensitivity analysis of sorafenib and lenvatinib, discounted (per patient)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</w:p>
    <w:tbl>
      <w:tblPr>
        <w:tblStyle w:val="20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1396"/>
        <w:gridCol w:w="1418"/>
        <w:gridCol w:w="1441"/>
        <w:gridCol w:w="954"/>
        <w:gridCol w:w="1211"/>
        <w:gridCol w:w="1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Name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Low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Base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High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Impact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Low-INMB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High-INMB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insurance_lenvatinib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-9164.48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-2710.55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cost_monthly_lenvatinib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2358.14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2947.67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3537.20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-8957.86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-2917.17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util_PF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-7470.95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-4404.08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insurance_sorafenib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-7188.88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-4686.15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util_PD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-7149.45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-4725.58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cost_monthly_sorafenib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1371.43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1714.29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2057.14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-7077.58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-4797.45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cPostProgress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1419.55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1774.44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2129.32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-6404.11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-5470.92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cost_test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-5996.19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-5878.84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cost_hypertension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-5976.96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-5898.07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cost_HFSR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-5940.32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-5934.72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disc_rate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-5937.52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-5937.52</w:t>
            </w:r>
          </w:p>
        </w:tc>
      </w:tr>
    </w:tbl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en-US" w:bidi="en-US"/>
        </w:rPr>
        <w:t>Abbreviations:</w:t>
      </w: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 xml:space="preserve"> PFS, progression-free survival; PD, progressed disease; HFSR, hand-foot skin reaction; disc_rate, discount rate;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Table S3：One-way sensitivity analysis of sorafenib and sintilimab–bevacizumab, discounted (per patient)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</w:p>
    <w:tbl>
      <w:tblPr>
        <w:tblStyle w:val="20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1"/>
        <w:gridCol w:w="1216"/>
        <w:gridCol w:w="1235"/>
        <w:gridCol w:w="1254"/>
        <w:gridCol w:w="841"/>
        <w:gridCol w:w="1060"/>
        <w:gridCol w:w="10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Name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Low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Base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High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Impact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Low-INMB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High-INMB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insurance_sintilimab_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bevacizumab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-17522.29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-6457.72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cChemo_monthly_sintilimab_bevacizumab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3816.66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4770.83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5724.99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-17253.37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-6726.64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util_PFS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-13268.47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-10711.54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insurance_sorafenib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-13241.37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-10738.64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cost_monthly_sorafenib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1371.43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1714.29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2057.14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-13130.07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-10849.94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util_PD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-12972.86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-11007.15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cost_PostProgress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1419.55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1774.44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2129.32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-12368.41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-11611.60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cost_test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-12061.50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-11918.51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cost_hypertension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-12032.47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-11947.53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cost_HFSR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-11992.80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-11987.20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disc_rate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-11990.00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-11990.00</w:t>
            </w:r>
          </w:p>
        </w:tc>
      </w:tr>
    </w:tbl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Abbreviations: PFS, progression-free survival; PD, progressed disease; HFSR, hand-foot skin reaction; disc_rate, discount rate;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Table S4：One-way sensitivity analysis of sorafenib and atezolizumab–bevacizumab, discounted (per patient)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</w:p>
    <w:tbl>
      <w:tblPr>
        <w:tblStyle w:val="20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224"/>
        <w:gridCol w:w="1243"/>
        <w:gridCol w:w="1263"/>
        <w:gridCol w:w="846"/>
        <w:gridCol w:w="1066"/>
        <w:gridCol w:w="1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Name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Low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Base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 High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Impact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Low-INMB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High-INMB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cost_monthly_atezolizumab_bevacizumab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8481.08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10601.35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12721.62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-117640.11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-70233.05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utility_PD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-99516.28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-88356.88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cost_PostProgress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1419.55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1774.44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2129.32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-96084.78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-91788.38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insurance_sorafenib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-95187.95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-92685.21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cost_monthly_sorafenib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1371.43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1714.29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2057.14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-95076.64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-92796.52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utility_PFS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-94714.95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-93158.21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cost_test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-94192.88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-93680.28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cost_hypertension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-94022.66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-93850.51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cost_HFSR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-93939.38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-93933.78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disc_rate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Increase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-93936.58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-93936.58</w:t>
            </w:r>
          </w:p>
        </w:tc>
      </w:tr>
    </w:tbl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Abbreviations: PFS, progression-free survival; PD, progressed disease; HFSR, hand-foot skin reaction; disc_rate, discount rate;</w:t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24"/>
          <w:szCs w:val="24"/>
          <w:u w:val="none"/>
          <w:lang w:val="en-US" w:eastAsia="zh-CN" w:bidi="en-US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Figure S5：One-way sensitivity analysis of ICER of sorafenib and lenvatinib, discounted (per patient), payer system perspective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5444490" cy="4169410"/>
            <wp:effectExtent l="0" t="0" r="3810" b="889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44490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Abbreviations: PartSA, partitioned survival analysis; I</w:t>
      </w:r>
      <w:r>
        <w:rPr>
          <w:rFonts w:hint="eastAsia" w:ascii="Times New Roman" w:hAnsi="Times New Roman" w:cs="Times New Roman"/>
          <w:sz w:val="18"/>
          <w:szCs w:val="18"/>
          <w:u w:val="none"/>
          <w:lang w:val="en-US" w:eastAsia="zh-CN" w:bidi="en-US"/>
        </w:rPr>
        <w:t>CER</w:t>
      </w: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 xml:space="preserve">, incremental </w:t>
      </w:r>
      <w:r>
        <w:rPr>
          <w:rFonts w:hint="eastAsia" w:ascii="Times New Roman" w:hAnsi="Times New Roman" w:cs="Times New Roman"/>
          <w:sz w:val="18"/>
          <w:szCs w:val="18"/>
          <w:u w:val="none"/>
          <w:lang w:val="en-US" w:eastAsia="zh-CN" w:bidi="en-US"/>
        </w:rPr>
        <w:t>cost-effectiveness ration</w:t>
      </w: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; PF, progression free; PD, progressed-disease; HFSR, hand-foot skin reaction; disc_rate, discount rate;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 xml:space="preserve">Figure S6：One-way sensitivity analysis of ICER of sorafenib and </w:t>
      </w:r>
      <w:r>
        <w:rPr>
          <w:rFonts w:hint="eastAsia" w:ascii="Times New Roman" w:hAnsi="Times New Roman" w:cs="Times New Roman"/>
          <w:b/>
          <w:bCs/>
          <w:sz w:val="24"/>
          <w:szCs w:val="24"/>
          <w:u w:val="none"/>
          <w:lang w:val="en-US" w:eastAsia="zh-CN" w:bidi="en-US"/>
        </w:rPr>
        <w:t>s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intilimab–bevacizumab, discounted (per patient), payer system perspective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5444490" cy="4169410"/>
            <wp:effectExtent l="0" t="0" r="3810" b="889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44490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Abbreviations: PartSA, partitioned survival analysis; I</w:t>
      </w:r>
      <w:r>
        <w:rPr>
          <w:rFonts w:hint="eastAsia" w:ascii="Times New Roman" w:hAnsi="Times New Roman" w:cs="Times New Roman"/>
          <w:sz w:val="18"/>
          <w:szCs w:val="18"/>
          <w:u w:val="none"/>
          <w:lang w:val="en-US" w:eastAsia="zh-CN" w:bidi="en-US"/>
        </w:rPr>
        <w:t>CER</w:t>
      </w: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 xml:space="preserve">, incremental </w:t>
      </w:r>
      <w:r>
        <w:rPr>
          <w:rFonts w:hint="eastAsia" w:ascii="Times New Roman" w:hAnsi="Times New Roman" w:cs="Times New Roman"/>
          <w:sz w:val="18"/>
          <w:szCs w:val="18"/>
          <w:u w:val="none"/>
          <w:lang w:val="en-US" w:eastAsia="zh-CN" w:bidi="en-US"/>
        </w:rPr>
        <w:t>cost-effectiveness ration</w:t>
      </w: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; PF, progression free; PD, progressed-disease; HFSR, hand-foot skin reaction; disc_rate, discount rate;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 xml:space="preserve">Figure S7：One-way sensitivity analysis of ICER of sorafenib and </w:t>
      </w:r>
      <w:r>
        <w:rPr>
          <w:rFonts w:hint="eastAsia" w:ascii="Times New Roman" w:hAnsi="Times New Roman" w:cs="Times New Roman"/>
          <w:b/>
          <w:bCs/>
          <w:sz w:val="24"/>
          <w:szCs w:val="24"/>
          <w:u w:val="none"/>
          <w:lang w:val="en-US" w:eastAsia="zh-CN" w:bidi="en-US"/>
        </w:rPr>
        <w:t>a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u w:val="none"/>
          <w:lang w:val="en-US" w:eastAsia="zh-CN" w:bidi="en-US"/>
        </w:rPr>
        <w:t>tezolizumab–bevacizumab, discounted (per patient), payer system perspective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5444490" cy="4169410"/>
            <wp:effectExtent l="0" t="0" r="381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44490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ind w:right="-298" w:rightChars="-124"/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Abbreviations: PartSA, partitioned survival analysis; I</w:t>
      </w:r>
      <w:r>
        <w:rPr>
          <w:rFonts w:hint="eastAsia" w:ascii="Times New Roman" w:hAnsi="Times New Roman" w:cs="Times New Roman"/>
          <w:sz w:val="18"/>
          <w:szCs w:val="18"/>
          <w:u w:val="none"/>
          <w:lang w:val="en-US" w:eastAsia="zh-CN" w:bidi="en-US"/>
        </w:rPr>
        <w:t>CER</w:t>
      </w: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 xml:space="preserve">, incremental </w:t>
      </w:r>
      <w:r>
        <w:rPr>
          <w:rFonts w:hint="eastAsia" w:ascii="Times New Roman" w:hAnsi="Times New Roman" w:cs="Times New Roman"/>
          <w:sz w:val="18"/>
          <w:szCs w:val="18"/>
          <w:u w:val="none"/>
          <w:lang w:val="en-US" w:eastAsia="zh-CN" w:bidi="en-US"/>
        </w:rPr>
        <w:t>cost-effectiveness ration</w:t>
      </w:r>
      <w:r>
        <w:rPr>
          <w:rFonts w:hint="default" w:ascii="Times New Roman" w:hAnsi="Times New Roman" w:cs="Times New Roman" w:eastAsiaTheme="minorEastAsia"/>
          <w:sz w:val="18"/>
          <w:szCs w:val="18"/>
          <w:u w:val="none"/>
          <w:lang w:val="en-US" w:eastAsia="zh-CN" w:bidi="en-US"/>
        </w:rPr>
        <w:t>; PF, progression free; PD, progressed-disease; HFSR, hand-foot skin reaction; disc_rate, discount rate;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before="240"/>
      </w:pP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  <w:color w:val="A6A6A6" w:themeColor="background1" w:themeShade="A6"/>
        <w:lang w:val="en-GB" w:eastAsia="en-GB"/>
      </w:rPr>
      <w:drawing>
        <wp:inline distT="0" distB="0" distL="0" distR="0">
          <wp:extent cx="1382395" cy="496570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hNGJmN2VhYTg1NjJkM2FhOTZlODFkNWIxMGYxYWE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13A5520C"/>
    <w:rsid w:val="172178BA"/>
    <w:rsid w:val="203412A0"/>
    <w:rsid w:val="22B24AB5"/>
    <w:rsid w:val="338A22B7"/>
    <w:rsid w:val="452F5F46"/>
    <w:rsid w:val="559C54E1"/>
    <w:rsid w:val="5D34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Balloon Text Char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paragraph" w:customStyle="1" w:styleId="53">
    <w:name w:val="Revision"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6.xml"/><Relationship Id="rId22" Type="http://schemas.openxmlformats.org/officeDocument/2006/relationships/customXml" Target="../customXml/item5.xml"/><Relationship Id="rId21" Type="http://schemas.openxmlformats.org/officeDocument/2006/relationships/customXml" Target="../customXml/item4.xml"/><Relationship Id="rId20" Type="http://schemas.openxmlformats.org/officeDocument/2006/relationships/customXml" Target="../customXml/item3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A3D4929F-83D0-432F-8F82-6D4423C25F5E}">
  <ds:schemaRefs/>
</ds:datastoreItem>
</file>

<file path=customXml/itemProps5.xml><?xml version="1.0" encoding="utf-8"?>
<ds:datastoreItem xmlns:ds="http://schemas.openxmlformats.org/officeDocument/2006/customXml" ds:itemID="{DFF441E3-103C-4487-877D-08CD22337C19}">
  <ds:schemaRefs/>
</ds:datastoreItem>
</file>

<file path=customXml/itemProps6.xml><?xml version="1.0" encoding="utf-8"?>
<ds:datastoreItem xmlns:ds="http://schemas.openxmlformats.org/officeDocument/2006/customXml" ds:itemID="{114314AF-3C36-4C2C-B599-40A76C6FFF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14</Pages>
  <Words>887</Words>
  <Characters>6266</Characters>
  <Lines>7</Lines>
  <Paragraphs>2</Paragraphs>
  <TotalTime>0</TotalTime>
  <ScaleCrop>false</ScaleCrop>
  <LinksUpToDate>false</LinksUpToDate>
  <CharactersWithSpaces>6815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圭岚</cp:lastModifiedBy>
  <cp:lastPrinted>2013-10-03T12:51:00Z</cp:lastPrinted>
  <dcterms:modified xsi:type="dcterms:W3CDTF">2023-02-08T14:05:25Z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2052-11.1.0.13703</vt:lpwstr>
  </property>
  <property fmtid="{D5CDD505-2E9C-101B-9397-08002B2CF9AE}" pid="11" name="ICV">
    <vt:lpwstr>ECBF61111A0846E1A19CF5DF3EB63EDB</vt:lpwstr>
  </property>
</Properties>
</file>