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EB46" w14:textId="77777777" w:rsidR="00BC5E36" w:rsidRPr="00C24BB6" w:rsidRDefault="00BC5E36" w:rsidP="00BC5E36">
      <w:pPr>
        <w:rPr>
          <w:rFonts w:ascii="Times" w:hAnsi="Times"/>
          <w:u w:val="single"/>
          <w:lang w:val="en-US"/>
        </w:rPr>
      </w:pPr>
      <w:r w:rsidRPr="00C24BB6">
        <w:rPr>
          <w:rFonts w:ascii="Times" w:hAnsi="Times"/>
          <w:u w:val="single"/>
          <w:lang w:val="en-US"/>
        </w:rPr>
        <w:t>Appendix</w:t>
      </w:r>
    </w:p>
    <w:p w14:paraId="5342B3B8" w14:textId="77777777" w:rsidR="00BC5E36" w:rsidRPr="00C24BB6" w:rsidRDefault="00BC5E36" w:rsidP="00BC5E36">
      <w:pPr>
        <w:rPr>
          <w:rFonts w:ascii="Times" w:hAnsi="Times"/>
          <w:lang w:val="en-US"/>
        </w:rPr>
      </w:pPr>
    </w:p>
    <w:p w14:paraId="40F58B23" w14:textId="77777777" w:rsidR="00BC5E36" w:rsidRPr="00C24BB6" w:rsidRDefault="00BC5E36" w:rsidP="00BC5E36">
      <w:pPr>
        <w:rPr>
          <w:rFonts w:ascii="Times" w:hAnsi="Times"/>
          <w:sz w:val="23"/>
          <w:szCs w:val="23"/>
          <w:u w:val="single"/>
          <w:lang w:val="en-US"/>
        </w:rPr>
      </w:pPr>
      <w:r w:rsidRPr="00C24BB6">
        <w:rPr>
          <w:rFonts w:ascii="Times" w:hAnsi="Times"/>
          <w:sz w:val="23"/>
          <w:szCs w:val="23"/>
          <w:lang w:val="en-US"/>
        </w:rPr>
        <w:t>Figure 1. Flowchart for recruitment from the survey study to enrollment for the interview study</w:t>
      </w:r>
    </w:p>
    <w:p w14:paraId="26E789C5" w14:textId="77777777" w:rsidR="00BC5E36" w:rsidRDefault="00BC5E36" w:rsidP="00BC5E36">
      <w:pPr>
        <w:rPr>
          <w:rFonts w:ascii="Times" w:hAnsi="Times"/>
          <w:u w:val="single"/>
          <w:lang w:val="en-US"/>
        </w:rPr>
      </w:pPr>
    </w:p>
    <w:p w14:paraId="1B9D0C0E" w14:textId="77777777" w:rsidR="00BC5E36" w:rsidRDefault="00BC5E36" w:rsidP="00BC5E36">
      <w:pPr>
        <w:rPr>
          <w:rFonts w:ascii="Times" w:hAnsi="Times"/>
          <w:u w:val="single"/>
          <w:lang w:val="en-US"/>
        </w:rPr>
      </w:pPr>
      <w:r w:rsidRPr="00F200CE">
        <w:rPr>
          <w:rFonts w:ascii="Times" w:hAnsi="Times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066FBAE6" wp14:editId="0761C14E">
            <wp:simplePos x="0" y="0"/>
            <wp:positionH relativeFrom="column">
              <wp:posOffset>611505</wp:posOffset>
            </wp:positionH>
            <wp:positionV relativeFrom="paragraph">
              <wp:posOffset>24130</wp:posOffset>
            </wp:positionV>
            <wp:extent cx="4228465" cy="4104005"/>
            <wp:effectExtent l="25400" t="25400" r="26035" b="23495"/>
            <wp:wrapTight wrapText="bothSides">
              <wp:wrapPolygon edited="0">
                <wp:start x="-130" y="-134"/>
                <wp:lineTo x="-130" y="21657"/>
                <wp:lineTo x="21668" y="21657"/>
                <wp:lineTo x="21668" y="-134"/>
                <wp:lineTo x="-130" y="-134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4104005"/>
                    </a:xfrm>
                    <a:prstGeom prst="rect">
                      <a:avLst/>
                    </a:prstGeom>
                    <a:ln w="15875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4457B" w14:textId="77777777" w:rsidR="00BC5E36" w:rsidRDefault="00BC5E36" w:rsidP="00BC5E36">
      <w:pPr>
        <w:rPr>
          <w:rFonts w:ascii="Times" w:hAnsi="Times"/>
          <w:u w:val="single"/>
          <w:lang w:val="en-US"/>
        </w:rPr>
      </w:pPr>
    </w:p>
    <w:p w14:paraId="3A4A7C11" w14:textId="77777777" w:rsidR="00BC5E36" w:rsidRDefault="00BC5E36" w:rsidP="00BC5E36">
      <w:pPr>
        <w:rPr>
          <w:rFonts w:ascii="Times" w:hAnsi="Times"/>
          <w:u w:val="single"/>
          <w:lang w:val="en-US"/>
        </w:rPr>
      </w:pPr>
    </w:p>
    <w:p w14:paraId="56865FBB" w14:textId="77777777" w:rsidR="00BC5E36" w:rsidRDefault="00BC5E36" w:rsidP="00BC5E36">
      <w:pPr>
        <w:jc w:val="center"/>
        <w:rPr>
          <w:rFonts w:ascii="Times" w:hAnsi="Times"/>
          <w:u w:val="single"/>
          <w:lang w:val="en-US"/>
        </w:rPr>
      </w:pPr>
    </w:p>
    <w:p w14:paraId="7C1374AD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17018B2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4702448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2D2C99CD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2315176E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7B309526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1D6C9DE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780B153F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5C3B1CA7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62C71BCA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0B820E85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773BAA4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4DCBF381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2449721C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30AB5245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37800073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449E1E62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010070F1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08F99124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6941BF69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A59005E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636FD071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539C6507" w14:textId="77777777" w:rsidR="00BC5E36" w:rsidRDefault="00BC5E36" w:rsidP="00BC5E36">
      <w:pPr>
        <w:jc w:val="center"/>
        <w:rPr>
          <w:rFonts w:ascii="Times" w:hAnsi="Times"/>
          <w:sz w:val="22"/>
          <w:szCs w:val="22"/>
          <w:lang w:val="en-US"/>
        </w:rPr>
      </w:pPr>
    </w:p>
    <w:tbl>
      <w:tblPr>
        <w:tblStyle w:val="TableGridLight"/>
        <w:tblW w:w="9555" w:type="dxa"/>
        <w:tblLayout w:type="fixed"/>
        <w:tblLook w:val="04A0" w:firstRow="1" w:lastRow="0" w:firstColumn="1" w:lastColumn="0" w:noHBand="0" w:noVBand="1"/>
      </w:tblPr>
      <w:tblGrid>
        <w:gridCol w:w="2549"/>
        <w:gridCol w:w="3006"/>
        <w:gridCol w:w="1953"/>
        <w:gridCol w:w="2047"/>
      </w:tblGrid>
      <w:tr w:rsidR="00BC5E36" w:rsidRPr="00B13BCC" w14:paraId="77E1AE2C" w14:textId="77777777" w:rsidTr="00C537A9">
        <w:trPr>
          <w:trHeight w:val="385"/>
        </w:trPr>
        <w:tc>
          <w:tcPr>
            <w:tcW w:w="9555" w:type="dxa"/>
            <w:gridSpan w:val="4"/>
            <w:noWrap/>
          </w:tcPr>
          <w:p w14:paraId="31DC9F8D" w14:textId="77777777" w:rsidR="00BC5E36" w:rsidRPr="00C24BB6" w:rsidRDefault="00BC5E36" w:rsidP="00C537A9">
            <w:pPr>
              <w:rPr>
                <w:rFonts w:ascii="Times" w:hAnsi="Times" w:cs="Calibri"/>
                <w:color w:val="000000"/>
                <w:sz w:val="23"/>
                <w:szCs w:val="23"/>
              </w:rPr>
            </w:pPr>
            <w:r w:rsidRPr="00C24BB6">
              <w:rPr>
                <w:rFonts w:ascii="Times" w:hAnsi="Times" w:cs="Calibri"/>
                <w:color w:val="000000"/>
                <w:sz w:val="23"/>
                <w:szCs w:val="23"/>
              </w:rPr>
              <w:t>Table 1. Demographic and clinical strata for women invited and enrolled in the study</w:t>
            </w:r>
          </w:p>
        </w:tc>
      </w:tr>
      <w:tr w:rsidR="00BC5E36" w:rsidRPr="00B13BCC" w14:paraId="5F8B670E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27E3D8E7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Strata</w:t>
            </w:r>
          </w:p>
        </w:tc>
        <w:tc>
          <w:tcPr>
            <w:tcW w:w="3006" w:type="dxa"/>
            <w:noWrap/>
            <w:hideMark/>
          </w:tcPr>
          <w:p w14:paraId="6B04E6C3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Sub-group</w:t>
            </w:r>
          </w:p>
        </w:tc>
        <w:tc>
          <w:tcPr>
            <w:tcW w:w="1953" w:type="dxa"/>
          </w:tcPr>
          <w:p w14:paraId="3615C6A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Invited (N=63)</w:t>
            </w:r>
          </w:p>
          <w:p w14:paraId="7C736376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 N </w:t>
            </w: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047" w:type="dxa"/>
          </w:tcPr>
          <w:p w14:paraId="71BBA1CC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Enrolled (N=37)</w:t>
            </w:r>
          </w:p>
          <w:p w14:paraId="463AF9B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 N</w:t>
            </w: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%)</w:t>
            </w:r>
          </w:p>
        </w:tc>
      </w:tr>
      <w:tr w:rsidR="00BC5E36" w:rsidRPr="00B13BCC" w14:paraId="0D1BF5A7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01FD620D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I. Age</w:t>
            </w:r>
          </w:p>
        </w:tc>
        <w:tc>
          <w:tcPr>
            <w:tcW w:w="3006" w:type="dxa"/>
            <w:noWrap/>
            <w:hideMark/>
          </w:tcPr>
          <w:p w14:paraId="70A737A7" w14:textId="77777777" w:rsidR="00BC5E36" w:rsidRPr="00BB6343" w:rsidRDefault="00BC5E36" w:rsidP="00C537A9">
            <w:pPr>
              <w:jc w:val="both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49 years or younger </w:t>
            </w:r>
          </w:p>
        </w:tc>
        <w:tc>
          <w:tcPr>
            <w:tcW w:w="1953" w:type="dxa"/>
          </w:tcPr>
          <w:p w14:paraId="5A0F04F2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33.3)</w:t>
            </w:r>
          </w:p>
        </w:tc>
        <w:tc>
          <w:tcPr>
            <w:tcW w:w="2047" w:type="dxa"/>
          </w:tcPr>
          <w:p w14:paraId="0D3D8B76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16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43.2)</w:t>
            </w:r>
          </w:p>
        </w:tc>
      </w:tr>
      <w:tr w:rsidR="00BC5E36" w:rsidRPr="00B13BCC" w14:paraId="1FB9071F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04ABBB99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4B488B56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50 to 64 years of age</w:t>
            </w:r>
          </w:p>
        </w:tc>
        <w:tc>
          <w:tcPr>
            <w:tcW w:w="1953" w:type="dxa"/>
          </w:tcPr>
          <w:p w14:paraId="39164945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20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31.7)</w:t>
            </w:r>
          </w:p>
        </w:tc>
        <w:tc>
          <w:tcPr>
            <w:tcW w:w="2047" w:type="dxa"/>
          </w:tcPr>
          <w:p w14:paraId="2705AC8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10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27.0)</w:t>
            </w:r>
          </w:p>
        </w:tc>
      </w:tr>
      <w:tr w:rsidR="00BC5E36" w:rsidRPr="00B13BCC" w14:paraId="679478AB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1852F3B3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415BDFC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65 years or older </w:t>
            </w:r>
          </w:p>
        </w:tc>
        <w:tc>
          <w:tcPr>
            <w:tcW w:w="1953" w:type="dxa"/>
          </w:tcPr>
          <w:p w14:paraId="7CA4FFFA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22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34.9)</w:t>
            </w:r>
          </w:p>
        </w:tc>
        <w:tc>
          <w:tcPr>
            <w:tcW w:w="2047" w:type="dxa"/>
          </w:tcPr>
          <w:p w14:paraId="60FD117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29.7)</w:t>
            </w:r>
          </w:p>
        </w:tc>
      </w:tr>
      <w:tr w:rsidR="00BC5E36" w:rsidRPr="00B13BCC" w14:paraId="0FF62422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45E621EB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II. Time since diagnosis</w:t>
            </w:r>
          </w:p>
        </w:tc>
        <w:tc>
          <w:tcPr>
            <w:tcW w:w="3006" w:type="dxa"/>
            <w:noWrap/>
            <w:hideMark/>
          </w:tcPr>
          <w:p w14:paraId="28B0207F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Diagnosed within 2020 </w:t>
            </w:r>
          </w:p>
        </w:tc>
        <w:tc>
          <w:tcPr>
            <w:tcW w:w="1953" w:type="dxa"/>
          </w:tcPr>
          <w:p w14:paraId="07DB5FBD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33.3)</w:t>
            </w:r>
          </w:p>
        </w:tc>
        <w:tc>
          <w:tcPr>
            <w:tcW w:w="2047" w:type="dxa"/>
          </w:tcPr>
          <w:p w14:paraId="05F4809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15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40.5)</w:t>
            </w:r>
          </w:p>
        </w:tc>
      </w:tr>
      <w:tr w:rsidR="00BC5E36" w:rsidRPr="00B13BCC" w14:paraId="209F1ED7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70D4E8D1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32F48A2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Diagnosed 1-2 years prior </w:t>
            </w:r>
          </w:p>
        </w:tc>
        <w:tc>
          <w:tcPr>
            <w:tcW w:w="1953" w:type="dxa"/>
          </w:tcPr>
          <w:p w14:paraId="6A65715B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33.3)</w:t>
            </w:r>
          </w:p>
        </w:tc>
        <w:tc>
          <w:tcPr>
            <w:tcW w:w="2047" w:type="dxa"/>
          </w:tcPr>
          <w:p w14:paraId="50BA92D0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29.7)</w:t>
            </w:r>
          </w:p>
        </w:tc>
      </w:tr>
      <w:tr w:rsidR="00BC5E36" w:rsidRPr="00B13BCC" w14:paraId="4138B216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136ED974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1E98E53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Diagnosed 3-5 years prior  </w:t>
            </w:r>
          </w:p>
        </w:tc>
        <w:tc>
          <w:tcPr>
            <w:tcW w:w="1953" w:type="dxa"/>
          </w:tcPr>
          <w:p w14:paraId="6A9E8A61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33.3)</w:t>
            </w:r>
          </w:p>
        </w:tc>
        <w:tc>
          <w:tcPr>
            <w:tcW w:w="2047" w:type="dxa"/>
          </w:tcPr>
          <w:p w14:paraId="5F2FA0CD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29.7)</w:t>
            </w:r>
          </w:p>
        </w:tc>
      </w:tr>
      <w:tr w:rsidR="00BC5E36" w:rsidRPr="00B13BCC" w14:paraId="0AF9005A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3714D920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III. SES</w:t>
            </w:r>
          </w:p>
        </w:tc>
        <w:tc>
          <w:tcPr>
            <w:tcW w:w="3006" w:type="dxa"/>
            <w:noWrap/>
            <w:hideMark/>
          </w:tcPr>
          <w:p w14:paraId="35DA6004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953" w:type="dxa"/>
          </w:tcPr>
          <w:p w14:paraId="15A2468F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20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31.7)</w:t>
            </w:r>
          </w:p>
        </w:tc>
        <w:tc>
          <w:tcPr>
            <w:tcW w:w="2047" w:type="dxa"/>
          </w:tcPr>
          <w:p w14:paraId="0D798BE8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13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35.1)</w:t>
            </w:r>
          </w:p>
        </w:tc>
      </w:tr>
      <w:tr w:rsidR="00BC5E36" w:rsidRPr="00B13BCC" w14:paraId="080C52A2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0D8F3199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496E7733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Mid</w:t>
            </w:r>
          </w:p>
        </w:tc>
        <w:tc>
          <w:tcPr>
            <w:tcW w:w="1953" w:type="dxa"/>
          </w:tcPr>
          <w:p w14:paraId="2DDFB758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33.3)</w:t>
            </w:r>
          </w:p>
        </w:tc>
        <w:tc>
          <w:tcPr>
            <w:tcW w:w="2047" w:type="dxa"/>
          </w:tcPr>
          <w:p w14:paraId="7A89804F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11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29.7)</w:t>
            </w:r>
          </w:p>
        </w:tc>
      </w:tr>
      <w:tr w:rsidR="00BC5E36" w:rsidRPr="00B13BCC" w14:paraId="0718D5EF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5BCAD51C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006" w:type="dxa"/>
            <w:noWrap/>
            <w:hideMark/>
          </w:tcPr>
          <w:p w14:paraId="0F5E7F3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53" w:type="dxa"/>
          </w:tcPr>
          <w:p w14:paraId="37435E56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22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34.9)</w:t>
            </w:r>
          </w:p>
        </w:tc>
        <w:tc>
          <w:tcPr>
            <w:tcW w:w="2047" w:type="dxa"/>
          </w:tcPr>
          <w:p w14:paraId="2E86DEA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13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35.1)</w:t>
            </w: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softHyphen/>
            </w: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softHyphen/>
            </w:r>
          </w:p>
        </w:tc>
      </w:tr>
      <w:tr w:rsidR="00BC5E36" w:rsidRPr="00B13BCC" w14:paraId="27A0FC2F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5ED3F1D0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  <w:u w:val="single"/>
              </w:rPr>
              <w:t>IV. Region</w:t>
            </w:r>
          </w:p>
        </w:tc>
        <w:tc>
          <w:tcPr>
            <w:tcW w:w="3006" w:type="dxa"/>
            <w:noWrap/>
            <w:hideMark/>
          </w:tcPr>
          <w:p w14:paraId="03F0970D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 xml:space="preserve">Urban </w:t>
            </w:r>
          </w:p>
        </w:tc>
        <w:tc>
          <w:tcPr>
            <w:tcW w:w="1953" w:type="dxa"/>
          </w:tcPr>
          <w:p w14:paraId="3FDF8312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36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57.1)</w:t>
            </w:r>
          </w:p>
        </w:tc>
        <w:tc>
          <w:tcPr>
            <w:tcW w:w="2047" w:type="dxa"/>
          </w:tcPr>
          <w:p w14:paraId="7CB42FF6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22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59.5)</w:t>
            </w:r>
          </w:p>
        </w:tc>
      </w:tr>
      <w:tr w:rsidR="00BC5E36" w:rsidRPr="00B13BCC" w14:paraId="366E1568" w14:textId="77777777" w:rsidTr="00C537A9">
        <w:trPr>
          <w:trHeight w:val="385"/>
        </w:trPr>
        <w:tc>
          <w:tcPr>
            <w:tcW w:w="2549" w:type="dxa"/>
            <w:noWrap/>
            <w:hideMark/>
          </w:tcPr>
          <w:p w14:paraId="65F76ED0" w14:textId="77777777" w:rsidR="00BC5E36" w:rsidRPr="00BB6343" w:rsidRDefault="00BC5E36" w:rsidP="00C537A9">
            <w:pPr>
              <w:rPr>
                <w:rFonts w:ascii="Times" w:hAnsi="Times" w:cs="Calibri"/>
                <w:b/>
                <w:bCs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noWrap/>
            <w:hideMark/>
          </w:tcPr>
          <w:p w14:paraId="6063164D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953" w:type="dxa"/>
          </w:tcPr>
          <w:p w14:paraId="545B61A9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27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42.9)</w:t>
            </w:r>
          </w:p>
        </w:tc>
        <w:tc>
          <w:tcPr>
            <w:tcW w:w="2047" w:type="dxa"/>
          </w:tcPr>
          <w:p w14:paraId="50BE7A7E" w14:textId="77777777" w:rsidR="00BC5E36" w:rsidRPr="00BB6343" w:rsidRDefault="00BC5E36" w:rsidP="00C537A9">
            <w:pPr>
              <w:rPr>
                <w:rFonts w:ascii="Times" w:hAnsi="Times" w:cs="Calibri"/>
                <w:color w:val="000000"/>
                <w:sz w:val="22"/>
                <w:szCs w:val="22"/>
              </w:rPr>
            </w:pPr>
            <w:proofErr w:type="gramStart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15  (</w:t>
            </w:r>
            <w:proofErr w:type="gramEnd"/>
            <w:r w:rsidRPr="00BB6343">
              <w:rPr>
                <w:rFonts w:ascii="Times" w:hAnsi="Times" w:cs="Calibri"/>
                <w:color w:val="000000"/>
                <w:sz w:val="22"/>
                <w:szCs w:val="22"/>
              </w:rPr>
              <w:t>40.5)</w:t>
            </w:r>
          </w:p>
        </w:tc>
      </w:tr>
    </w:tbl>
    <w:p w14:paraId="38380442" w14:textId="77777777" w:rsidR="00BC5E36" w:rsidRPr="007A529B" w:rsidRDefault="00BC5E36" w:rsidP="00BC5E36">
      <w:pPr>
        <w:jc w:val="center"/>
        <w:rPr>
          <w:rFonts w:ascii="Times" w:hAnsi="Times"/>
          <w:sz w:val="23"/>
          <w:szCs w:val="23"/>
          <w:u w:val="single"/>
          <w:lang w:val="en-US"/>
        </w:rPr>
      </w:pPr>
      <w:r w:rsidRPr="00C24BB6">
        <w:rPr>
          <w:rFonts w:ascii="Times" w:hAnsi="Times"/>
          <w:sz w:val="23"/>
          <w:szCs w:val="23"/>
          <w:lang w:val="en-US"/>
        </w:rPr>
        <w:lastRenderedPageBreak/>
        <w:t>Figure 2. Concept map with main themes and subthemes</w:t>
      </w:r>
    </w:p>
    <w:p w14:paraId="58082AC5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4C5DBCC1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  <w:r>
        <w:rPr>
          <w:rFonts w:ascii="Cambria" w:hAnsi="Cambria"/>
          <w:bCs/>
          <w:noProof/>
          <w:color w:val="000000" w:themeColor="text1"/>
          <w:bdr w:val="single" w:sz="4" w:space="0" w:color="auto"/>
          <w:lang w:val="en-US"/>
        </w:rPr>
        <w:drawing>
          <wp:anchor distT="0" distB="0" distL="114300" distR="114300" simplePos="0" relativeHeight="251659264" behindDoc="1" locked="0" layoutInCell="1" allowOverlap="1" wp14:anchorId="4C418635" wp14:editId="08C673ED">
            <wp:simplePos x="0" y="0"/>
            <wp:positionH relativeFrom="column">
              <wp:posOffset>342128</wp:posOffset>
            </wp:positionH>
            <wp:positionV relativeFrom="paragraph">
              <wp:posOffset>16510</wp:posOffset>
            </wp:positionV>
            <wp:extent cx="4953635" cy="2771140"/>
            <wp:effectExtent l="38100" t="38100" r="88265" b="86360"/>
            <wp:wrapTight wrapText="bothSides">
              <wp:wrapPolygon edited="0">
                <wp:start x="-55" y="-297"/>
                <wp:lineTo x="-166" y="-198"/>
                <wp:lineTo x="-166" y="21778"/>
                <wp:lineTo x="-55" y="22174"/>
                <wp:lineTo x="21819" y="22174"/>
                <wp:lineTo x="21929" y="21976"/>
                <wp:lineTo x="21929" y="1386"/>
                <wp:lineTo x="21819" y="-99"/>
                <wp:lineTo x="21819" y="-297"/>
                <wp:lineTo x="-55" y="-297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" t="7671" r="873" b="7482"/>
                    <a:stretch/>
                  </pic:blipFill>
                  <pic:spPr bwMode="auto">
                    <a:xfrm>
                      <a:off x="0" y="0"/>
                      <a:ext cx="4953635" cy="277114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F1540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1A7F09A0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16A0FCA5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3908FE4A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29102723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6BBA43C7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63C70FDE" w14:textId="77777777" w:rsidR="00BC5E36" w:rsidRDefault="00BC5E36" w:rsidP="00BC5E36">
      <w:pPr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66B8AB1C" w14:textId="77777777" w:rsidR="00BC5E36" w:rsidRDefault="00BC5E36" w:rsidP="00BC5E36">
      <w:pPr>
        <w:jc w:val="center"/>
        <w:rPr>
          <w:rFonts w:ascii="Cambria" w:hAnsi="Cambria"/>
          <w:bCs/>
          <w:color w:val="000000" w:themeColor="text1"/>
          <w:bdr w:val="single" w:sz="4" w:space="0" w:color="auto"/>
        </w:rPr>
      </w:pPr>
    </w:p>
    <w:p w14:paraId="55894DDA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0F7C87A1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376BE063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408C18F2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59A5D3BB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49B88247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466AB35C" w14:textId="77777777" w:rsidR="00BC5E36" w:rsidRDefault="00BC5E36" w:rsidP="00BC5E36">
      <w:pPr>
        <w:jc w:val="center"/>
        <w:rPr>
          <w:rFonts w:ascii="Times" w:hAnsi="Times"/>
          <w:lang w:val="en-US"/>
        </w:rPr>
      </w:pPr>
    </w:p>
    <w:p w14:paraId="1795BEBC" w14:textId="77777777" w:rsidR="00A93EA1" w:rsidRDefault="00A93EA1"/>
    <w:sectPr w:rsidR="00A93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6"/>
    <w:rsid w:val="004058CA"/>
    <w:rsid w:val="008345F5"/>
    <w:rsid w:val="00A93EA1"/>
    <w:rsid w:val="00BC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D5B901"/>
  <w15:chartTrackingRefBased/>
  <w15:docId w15:val="{E7D0E5B1-0CB4-5148-9A51-FEA45ED6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C5E36"/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Myers</dc:creator>
  <cp:keywords/>
  <dc:description/>
  <cp:lastModifiedBy>Charlotte Myers</cp:lastModifiedBy>
  <cp:revision>1</cp:revision>
  <dcterms:created xsi:type="dcterms:W3CDTF">2023-02-21T15:18:00Z</dcterms:created>
  <dcterms:modified xsi:type="dcterms:W3CDTF">2023-02-21T15:22:00Z</dcterms:modified>
</cp:coreProperties>
</file>