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SimSun" w:cs="Times New Roman"/>
          <w:b/>
          <w:bCs/>
          <w:i w:val="0"/>
          <w:iCs w:val="0"/>
          <w:sz w:val="24"/>
          <w:szCs w:val="24"/>
          <w:lang w:val="en-GB"/>
        </w:rPr>
      </w:pPr>
      <w:r>
        <w:rPr>
          <w:rFonts w:hint="default" w:eastAsia="SimSun" w:cs="Times New Roman"/>
          <w:b/>
          <w:bCs/>
          <w:i w:val="0"/>
          <w:iCs w:val="0"/>
          <w:sz w:val="24"/>
          <w:szCs w:val="24"/>
          <w:lang w:val="en-GB"/>
        </w:rPr>
        <w:t xml:space="preserve">Patient survey - Why did you stop taking the JAK inhibitor? </w:t>
      </w:r>
    </w:p>
    <w:p>
      <w:pPr>
        <w:rPr>
          <w:rFonts w:hint="default" w:eastAsia="SimSun" w:cs="Times New Roman"/>
          <w:i w:val="0"/>
          <w:iCs w:val="0"/>
          <w:sz w:val="24"/>
          <w:szCs w:val="24"/>
          <w:lang w:val="en-GB"/>
        </w:rPr>
      </w:pPr>
      <w:r>
        <w:rPr>
          <w:rFonts w:hint="default" w:eastAsia="SimSun" w:cs="Times New Roman"/>
          <w:b/>
          <w:bCs/>
          <w:i w:val="0"/>
          <w:iCs w:val="0"/>
          <w:sz w:val="24"/>
          <w:szCs w:val="24"/>
          <w:lang w:val="en-GB"/>
        </w:rPr>
        <w:t>(corresponding to Figure 8)</w:t>
      </w:r>
    </w:p>
    <w:tbl>
      <w:tblPr>
        <w:tblStyle w:val="7"/>
        <w:tblpPr w:leftFromText="180" w:rightFromText="180" w:vertAnchor="page" w:horzAnchor="page" w:tblpX="1915" w:tblpY="2238"/>
        <w:tblOverlap w:val="never"/>
        <w:tblW w:w="738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1"/>
        <w:gridCol w:w="624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3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 w:val="0"/>
              <w:jc w:val="left"/>
              <w:rPr>
                <w:rFonts w:hint="default"/>
                <w:b/>
                <w:bCs/>
                <w:i w:val="0"/>
                <w:iCs w:val="0"/>
                <w:sz w:val="22"/>
                <w:szCs w:val="22"/>
                <w:lang w:val="en-GB"/>
              </w:rPr>
            </w:pPr>
            <w:r>
              <w:rPr>
                <w:rFonts w:hint="default"/>
                <w:b/>
                <w:bCs/>
                <w:i w:val="0"/>
                <w:iCs w:val="0"/>
                <w:sz w:val="22"/>
                <w:szCs w:val="22"/>
                <w:lang w:val="en-GB"/>
              </w:rPr>
              <w:t>Themes</w:t>
            </w:r>
          </w:p>
        </w:tc>
        <w:tc>
          <w:tcPr>
            <w:tcW w:w="624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 w:val="0"/>
              <w:jc w:val="left"/>
              <w:rPr>
                <w:rFonts w:hint="default"/>
                <w:b/>
                <w:bCs/>
                <w:i w:val="0"/>
                <w:iCs w:val="0"/>
                <w:sz w:val="22"/>
                <w:szCs w:val="22"/>
                <w:lang w:val="en-GB"/>
              </w:rPr>
            </w:pPr>
            <w:r>
              <w:rPr>
                <w:rFonts w:hint="default"/>
                <w:b/>
                <w:bCs/>
                <w:i w:val="0"/>
                <w:iCs w:val="0"/>
                <w:sz w:val="22"/>
                <w:szCs w:val="22"/>
                <w:lang w:val="en-GB"/>
              </w:rPr>
              <w:t>All responses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0" w:hRule="atLeast"/>
        </w:trPr>
        <w:tc>
          <w:tcPr>
            <w:tcW w:w="113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 w:val="0"/>
              <w:spacing w:after="0" w:line="250" w:lineRule="auto"/>
              <w:jc w:val="both"/>
              <w:rPr>
                <w:rFonts w:hint="default"/>
                <w:i w:val="0"/>
                <w:iCs w:val="0"/>
                <w:lang w:val="en-GB"/>
              </w:rPr>
            </w:pPr>
            <w:r>
              <w:rPr>
                <w:rFonts w:hint="default"/>
                <w:i w:val="0"/>
                <w:iCs w:val="0"/>
                <w:lang w:val="en-GB"/>
              </w:rPr>
              <w:t>Inefficacy</w:t>
            </w:r>
          </w:p>
        </w:tc>
        <w:tc>
          <w:tcPr>
            <w:tcW w:w="624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 w:val="0"/>
              <w:spacing w:after="0" w:line="250" w:lineRule="auto"/>
              <w:jc w:val="both"/>
              <w:rPr>
                <w:rFonts w:hint="default"/>
                <w:i w:val="0"/>
                <w:iCs w:val="0"/>
                <w:lang w:val="en-GB"/>
              </w:rPr>
            </w:pPr>
            <w:r>
              <w:rPr>
                <w:rFonts w:hint="default"/>
                <w:i w:val="0"/>
                <w:iCs w:val="0"/>
                <w:lang w:val="en-GB"/>
              </w:rPr>
              <w:t>“It did not control my RA…”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 - P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atient </w:t>
            </w:r>
            <w:r>
              <w:rPr>
                <w:rFonts w:hint="default"/>
                <w:i w:val="0"/>
                <w:iCs w:val="0"/>
                <w:lang w:val="en-GB"/>
              </w:rPr>
              <w:t>4 (Baricitinib, RA)</w:t>
            </w:r>
          </w:p>
          <w:p>
            <w:pPr>
              <w:widowControl w:val="0"/>
              <w:spacing w:after="0" w:line="250" w:lineRule="auto"/>
              <w:jc w:val="both"/>
              <w:rPr>
                <w:rFonts w:hint="default"/>
                <w:i w:val="0"/>
                <w:iCs w:val="0"/>
                <w:lang w:val="en-GB"/>
              </w:rPr>
            </w:pPr>
            <w:r>
              <w:rPr>
                <w:rFonts w:hint="default"/>
                <w:i w:val="0"/>
                <w:iCs w:val="0"/>
                <w:lang w:val="en-GB"/>
              </w:rPr>
              <w:t>“Stopped working.” - P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atient </w:t>
            </w:r>
            <w:r>
              <w:rPr>
                <w:rFonts w:hint="default"/>
                <w:i w:val="0"/>
                <w:iCs w:val="0"/>
                <w:lang w:val="en-GB"/>
              </w:rPr>
              <w:t>38 (Tofacitinib, PsA)</w:t>
            </w:r>
          </w:p>
          <w:p>
            <w:pPr>
              <w:widowControl w:val="0"/>
              <w:spacing w:after="0" w:line="250" w:lineRule="auto"/>
              <w:jc w:val="both"/>
              <w:rPr>
                <w:rFonts w:hint="default"/>
                <w:i w:val="0"/>
                <w:iCs w:val="0"/>
                <w:lang w:val="en-GB"/>
              </w:rPr>
            </w:pPr>
            <w:r>
              <w:rPr>
                <w:rFonts w:hint="default"/>
                <w:i w:val="0"/>
                <w:iCs w:val="0"/>
                <w:lang w:val="en-GB"/>
              </w:rPr>
              <w:t>“...it wasn't as effective as Toczilizumab has previously been for me.”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 </w:t>
            </w:r>
          </w:p>
          <w:p>
            <w:pPr>
              <w:widowControl w:val="0"/>
              <w:spacing w:after="0" w:line="250" w:lineRule="auto"/>
              <w:jc w:val="both"/>
              <w:rPr>
                <w:rFonts w:hint="default"/>
                <w:i w:val="0"/>
                <w:iCs w:val="0"/>
                <w:lang w:val="en-GB"/>
              </w:rPr>
            </w:pPr>
            <w:r>
              <w:rPr>
                <w:rFonts w:hint="default"/>
                <w:i w:val="0"/>
                <w:iCs w:val="0"/>
                <w:lang w:val="en-GB"/>
              </w:rPr>
              <w:t>- P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atient 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46 </w:t>
            </w:r>
            <w:r>
              <w:rPr>
                <w:i w:val="0"/>
                <w:iCs w:val="0"/>
              </w:rPr>
              <w:t>(Tofacitinib, RA</w:t>
            </w:r>
            <w:r>
              <w:rPr>
                <w:rFonts w:hint="default"/>
                <w:i w:val="0"/>
                <w:iCs w:val="0"/>
                <w:lang w:val="en-GB"/>
              </w:rPr>
              <w:t>)</w:t>
            </w:r>
          </w:p>
          <w:p>
            <w:pPr>
              <w:widowControl w:val="0"/>
              <w:spacing w:after="0" w:line="250" w:lineRule="auto"/>
              <w:jc w:val="both"/>
              <w:rPr>
                <w:rFonts w:hint="default"/>
                <w:i w:val="0"/>
                <w:iCs w:val="0"/>
                <w:lang w:val="en-GB"/>
              </w:rPr>
            </w:pPr>
            <w:r>
              <w:rPr>
                <w:rFonts w:hint="default"/>
                <w:i w:val="0"/>
                <w:iCs w:val="0"/>
                <w:lang w:val="en-GB"/>
              </w:rPr>
              <w:t>“Active arthritis.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” - Patient 60 </w:t>
            </w:r>
            <w:r>
              <w:rPr>
                <w:rFonts w:hint="default"/>
                <w:i w:val="0"/>
                <w:iCs w:val="0"/>
                <w:lang w:val="en-GB"/>
              </w:rPr>
              <w:t>(Tofacitinib, PsA)</w:t>
            </w:r>
          </w:p>
          <w:p>
            <w:pPr>
              <w:widowControl w:val="0"/>
              <w:spacing w:after="0" w:line="250" w:lineRule="auto"/>
              <w:jc w:val="both"/>
              <w:rPr>
                <w:rFonts w:hint="default"/>
                <w:i w:val="0"/>
                <w:iCs w:val="0"/>
                <w:lang w:val="en-GB"/>
              </w:rPr>
            </w:pPr>
            <w:r>
              <w:rPr>
                <w:rFonts w:hint="default"/>
                <w:i w:val="0"/>
                <w:iCs w:val="0"/>
                <w:lang w:val="en-GB"/>
              </w:rPr>
              <w:t>“Didn’t work.”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 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- Patient 79 </w:t>
            </w:r>
            <w:r>
              <w:rPr>
                <w:rFonts w:hint="default"/>
                <w:i w:val="0"/>
                <w:iCs w:val="0"/>
                <w:lang w:val="en-GB"/>
              </w:rPr>
              <w:t>(Tofacitinib, RA)</w:t>
            </w:r>
          </w:p>
          <w:p>
            <w:pPr>
              <w:widowControl w:val="0"/>
              <w:spacing w:after="0" w:line="250" w:lineRule="auto"/>
              <w:jc w:val="both"/>
              <w:rPr>
                <w:rFonts w:hint="default"/>
                <w:i w:val="0"/>
                <w:iCs w:val="0"/>
                <w:lang w:val="en-GB"/>
              </w:rPr>
            </w:pPr>
            <w:r>
              <w:rPr>
                <w:rFonts w:hint="default"/>
                <w:i w:val="0"/>
                <w:iCs w:val="0"/>
                <w:lang w:val="en-GB"/>
              </w:rPr>
              <w:t>“Not effective.”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 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- Patient 81 </w:t>
            </w:r>
            <w:r>
              <w:rPr>
                <w:rFonts w:hint="default"/>
                <w:i w:val="0"/>
                <w:iCs w:val="0"/>
                <w:lang w:val="en-GB"/>
              </w:rPr>
              <w:t>(Tofacitinib, RA)</w:t>
            </w:r>
          </w:p>
          <w:p>
            <w:pPr>
              <w:widowControl w:val="0"/>
              <w:spacing w:after="0" w:line="250" w:lineRule="auto"/>
              <w:jc w:val="both"/>
              <w:rPr>
                <w:rFonts w:hint="default"/>
                <w:i w:val="0"/>
                <w:iCs w:val="0"/>
                <w:lang w:val="en-GB"/>
              </w:rPr>
            </w:pPr>
            <w:r>
              <w:rPr>
                <w:rFonts w:hint="default"/>
                <w:i w:val="0"/>
                <w:iCs w:val="0"/>
                <w:lang w:val="en-GB"/>
              </w:rPr>
              <w:t xml:space="preserve">“Ceased effectiveness.” </w:t>
            </w:r>
            <w:r>
              <w:rPr>
                <w:rFonts w:hint="default"/>
                <w:i w:val="0"/>
                <w:iCs w:val="0"/>
                <w:lang w:val="en-GB"/>
              </w:rPr>
              <w:t>- P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atient </w:t>
            </w:r>
            <w:r>
              <w:rPr>
                <w:rFonts w:hint="default"/>
                <w:i w:val="0"/>
                <w:iCs w:val="0"/>
                <w:lang w:val="en-GB"/>
              </w:rPr>
              <w:t>83 (Baricitinib, RA)</w:t>
            </w:r>
          </w:p>
          <w:p>
            <w:pPr>
              <w:widowControl w:val="0"/>
              <w:spacing w:after="0" w:line="250" w:lineRule="auto"/>
              <w:jc w:val="both"/>
              <w:rPr>
                <w:rFonts w:hint="default"/>
                <w:i w:val="0"/>
                <w:iCs w:val="0"/>
                <w:lang w:val="en-GB"/>
              </w:rPr>
            </w:pPr>
            <w:r>
              <w:rPr>
                <w:rFonts w:hint="default"/>
                <w:i w:val="0"/>
                <w:iCs w:val="0"/>
                <w:lang w:val="en-GB"/>
              </w:rPr>
              <w:t>“It did not work.”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 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- Patient 116 </w:t>
            </w:r>
            <w:r>
              <w:rPr>
                <w:rFonts w:hint="default"/>
                <w:i w:val="0"/>
                <w:iCs w:val="0"/>
                <w:lang w:val="en-GB"/>
              </w:rPr>
              <w:t>(Tofacitinib, PsA)</w:t>
            </w:r>
          </w:p>
          <w:p>
            <w:pPr>
              <w:widowControl w:val="0"/>
              <w:spacing w:after="0" w:line="250" w:lineRule="auto"/>
              <w:jc w:val="both"/>
              <w:rPr>
                <w:rFonts w:hint="default"/>
                <w:i w:val="0"/>
                <w:iCs w:val="0"/>
                <w:lang w:val="en-GB"/>
              </w:rPr>
            </w:pPr>
            <w:r>
              <w:rPr>
                <w:rFonts w:hint="default"/>
                <w:i w:val="0"/>
                <w:iCs w:val="0"/>
                <w:lang w:val="en-GB"/>
              </w:rPr>
              <w:t>“Ineffective.”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 - P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atient </w:t>
            </w:r>
            <w:r>
              <w:rPr>
                <w:rFonts w:hint="default"/>
                <w:i w:val="0"/>
                <w:iCs w:val="0"/>
                <w:lang w:val="en-GB"/>
              </w:rPr>
              <w:t>127 (Baricitinib, RA)</w:t>
            </w:r>
          </w:p>
          <w:p>
            <w:pPr>
              <w:widowControl w:val="0"/>
              <w:spacing w:after="0" w:line="250" w:lineRule="auto"/>
              <w:jc w:val="both"/>
              <w:rPr>
                <w:rFonts w:hint="default"/>
                <w:i w:val="0"/>
                <w:iCs w:val="0"/>
                <w:lang w:val="en-GB"/>
              </w:rPr>
            </w:pPr>
            <w:r>
              <w:rPr>
                <w:rFonts w:hint="default"/>
                <w:i w:val="0"/>
                <w:iCs w:val="0"/>
                <w:lang w:val="en-GB"/>
              </w:rPr>
              <w:t xml:space="preserve">“It wasn’t effective.” </w:t>
            </w:r>
            <w:r>
              <w:rPr>
                <w:rFonts w:hint="default"/>
                <w:i w:val="0"/>
                <w:iCs w:val="0"/>
                <w:lang w:val="en-GB"/>
              </w:rPr>
              <w:t>- P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atient 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130 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 </w:t>
            </w:r>
            <w:r>
              <w:rPr>
                <w:rFonts w:hint="default"/>
                <w:i w:val="0"/>
                <w:iCs w:val="0"/>
                <w:lang w:val="en-GB"/>
              </w:rPr>
              <w:t>(Tofacitinib, PsA)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8" w:hRule="atLeast"/>
        </w:trPr>
        <w:tc>
          <w:tcPr>
            <w:tcW w:w="113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 w:val="0"/>
              <w:spacing w:after="0" w:line="250" w:lineRule="auto"/>
              <w:jc w:val="both"/>
              <w:rPr>
                <w:rFonts w:hint="default"/>
                <w:i w:val="0"/>
                <w:iCs w:val="0"/>
                <w:lang w:val="en-GB"/>
              </w:rPr>
            </w:pPr>
            <w:r>
              <w:rPr>
                <w:rFonts w:hint="default"/>
                <w:i w:val="0"/>
                <w:iCs w:val="0"/>
                <w:lang w:val="en-GB"/>
              </w:rPr>
              <w:t>Non-MACE adverse effects</w:t>
            </w:r>
          </w:p>
        </w:tc>
        <w:tc>
          <w:tcPr>
            <w:tcW w:w="624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 w:val="0"/>
              <w:spacing w:after="0" w:line="250" w:lineRule="auto"/>
              <w:jc w:val="both"/>
              <w:rPr>
                <w:rFonts w:hint="default"/>
                <w:i w:val="0"/>
                <w:iCs w:val="0"/>
                <w:lang w:val="en-GB"/>
              </w:rPr>
            </w:pPr>
            <w:r>
              <w:rPr>
                <w:rFonts w:hint="default"/>
                <w:i w:val="0"/>
                <w:iCs w:val="0"/>
                <w:lang w:val="en-GB"/>
              </w:rPr>
              <w:t xml:space="preserve">“...and a major side effect was that it made me feel generally unwell.” </w:t>
            </w:r>
          </w:p>
          <w:p>
            <w:pPr>
              <w:widowControl w:val="0"/>
              <w:spacing w:after="0" w:line="250" w:lineRule="auto"/>
              <w:jc w:val="both"/>
              <w:rPr>
                <w:rFonts w:hint="default"/>
                <w:i w:val="0"/>
                <w:iCs w:val="0"/>
                <w:lang w:val="en-GB"/>
              </w:rPr>
            </w:pPr>
            <w:r>
              <w:rPr>
                <w:rFonts w:hint="default"/>
                <w:i w:val="0"/>
                <w:iCs w:val="0"/>
                <w:lang w:val="en-GB"/>
              </w:rPr>
              <w:t>- P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atient </w:t>
            </w:r>
            <w:r>
              <w:rPr>
                <w:rFonts w:hint="default"/>
                <w:i w:val="0"/>
                <w:iCs w:val="0"/>
                <w:lang w:val="en-GB"/>
              </w:rPr>
              <w:t>4 (Baricitinib, RA)</w:t>
            </w:r>
          </w:p>
          <w:p>
            <w:pPr>
              <w:widowControl w:val="0"/>
              <w:spacing w:after="0" w:line="250" w:lineRule="auto"/>
              <w:jc w:val="both"/>
              <w:rPr>
                <w:rFonts w:hint="default"/>
                <w:i w:val="0"/>
                <w:iCs w:val="0"/>
                <w:lang w:val="en-GB"/>
              </w:rPr>
            </w:pPr>
            <w:r>
              <w:rPr>
                <w:rFonts w:hint="default"/>
                <w:i w:val="0"/>
                <w:iCs w:val="0"/>
                <w:lang w:val="en-GB"/>
              </w:rPr>
              <w:t>“Side effects were diarrhoea for a prolonged amount of time (weeks), vomiting, stomach pain and discomfort.”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 - P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atient </w:t>
            </w:r>
            <w:r>
              <w:rPr>
                <w:rFonts w:hint="default"/>
                <w:i w:val="0"/>
                <w:iCs w:val="0"/>
                <w:lang w:val="en-GB"/>
              </w:rPr>
              <w:t>41 (Filgotinib, RA)</w:t>
            </w:r>
          </w:p>
          <w:p>
            <w:pPr>
              <w:widowControl w:val="0"/>
              <w:spacing w:after="0" w:line="250" w:lineRule="auto"/>
              <w:jc w:val="both"/>
              <w:rPr>
                <w:rFonts w:hint="default"/>
                <w:i w:val="0"/>
                <w:iCs w:val="0"/>
                <w:lang w:val="en-GB"/>
              </w:rPr>
            </w:pPr>
            <w:r>
              <w:rPr>
                <w:rFonts w:hint="default"/>
                <w:i w:val="0"/>
                <w:iCs w:val="0"/>
                <w:lang w:val="en-GB"/>
              </w:rPr>
              <w:t>“Inflammatory markers were high, wasn't feeling the best...”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 - P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atient </w:t>
            </w:r>
            <w:r>
              <w:rPr>
                <w:rFonts w:hint="default"/>
                <w:i w:val="0"/>
                <w:iCs w:val="0"/>
                <w:lang w:val="en-GB"/>
              </w:rPr>
              <w:t>46 (Tofacitinib, RA)</w:t>
            </w:r>
          </w:p>
          <w:p>
            <w:pPr>
              <w:widowControl w:val="0"/>
              <w:spacing w:after="0" w:line="250" w:lineRule="auto"/>
              <w:jc w:val="both"/>
              <w:rPr>
                <w:rFonts w:hint="default"/>
                <w:i w:val="0"/>
                <w:iCs w:val="0"/>
                <w:lang w:val="en-GB"/>
              </w:rPr>
            </w:pPr>
            <w:r>
              <w:rPr>
                <w:rFonts w:hint="default"/>
                <w:i w:val="0"/>
                <w:iCs w:val="0"/>
                <w:lang w:val="en-GB"/>
              </w:rPr>
              <w:t xml:space="preserve">“The XXX [hospital] clinic asked me to stop after having had blood test.” </w:t>
            </w:r>
          </w:p>
          <w:p>
            <w:pPr>
              <w:widowControl w:val="0"/>
              <w:spacing w:after="0" w:line="250" w:lineRule="auto"/>
              <w:jc w:val="both"/>
              <w:rPr>
                <w:rFonts w:hint="default"/>
                <w:i w:val="0"/>
                <w:iCs w:val="0"/>
                <w:lang w:val="en-GB"/>
              </w:rPr>
            </w:pPr>
            <w:r>
              <w:rPr>
                <w:rFonts w:hint="default"/>
                <w:i w:val="0"/>
                <w:iCs w:val="0"/>
                <w:lang w:val="en-GB"/>
              </w:rPr>
              <w:t>- P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atient </w:t>
            </w:r>
            <w:r>
              <w:rPr>
                <w:rFonts w:hint="default"/>
                <w:i w:val="0"/>
                <w:iCs w:val="0"/>
                <w:lang w:val="en-GB"/>
              </w:rPr>
              <w:t>87 (Unknown JAKi, RA)</w:t>
            </w:r>
          </w:p>
          <w:p>
            <w:pPr>
              <w:widowControl w:val="0"/>
              <w:spacing w:after="0" w:line="250" w:lineRule="auto"/>
              <w:jc w:val="both"/>
              <w:rPr>
                <w:rFonts w:hint="default"/>
                <w:i w:val="0"/>
                <w:iCs w:val="0"/>
                <w:lang w:val="en-GB"/>
              </w:rPr>
            </w:pPr>
            <w:r>
              <w:rPr>
                <w:rFonts w:hint="default"/>
                <w:i w:val="0"/>
                <w:iCs w:val="0"/>
                <w:lang w:val="en-GB"/>
              </w:rPr>
              <w:t>“Side effect..leg muscles sore felt like severe bruising and total fatigue of lower leg, felt unable to walk..GP advised me to stop meds.”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 - P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atient </w:t>
            </w:r>
            <w:r>
              <w:rPr>
                <w:rFonts w:hint="default"/>
                <w:i w:val="0"/>
                <w:iCs w:val="0"/>
                <w:lang w:val="en-GB"/>
              </w:rPr>
              <w:t>93 (Tofacitinib, PsA)</w:t>
            </w:r>
          </w:p>
          <w:p>
            <w:pPr>
              <w:widowControl w:val="0"/>
              <w:spacing w:after="0" w:line="250" w:lineRule="auto"/>
              <w:jc w:val="both"/>
              <w:rPr>
                <w:rFonts w:hint="default"/>
                <w:i w:val="0"/>
                <w:iCs w:val="0"/>
                <w:lang w:val="en-GB"/>
              </w:rPr>
            </w:pPr>
            <w:r>
              <w:rPr>
                <w:rFonts w:hint="default"/>
                <w:i w:val="0"/>
                <w:iCs w:val="0"/>
                <w:lang w:val="en-GB"/>
              </w:rPr>
              <w:t xml:space="preserve">“It made me neutropenic.” </w:t>
            </w:r>
            <w:r>
              <w:rPr>
                <w:rFonts w:hint="default"/>
                <w:i w:val="0"/>
                <w:iCs w:val="0"/>
                <w:lang w:val="en-GB"/>
              </w:rPr>
              <w:t>- P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atient </w:t>
            </w:r>
            <w:r>
              <w:rPr>
                <w:rFonts w:hint="default"/>
                <w:i w:val="0"/>
                <w:iCs w:val="0"/>
                <w:lang w:val="en-GB"/>
              </w:rPr>
              <w:t>123 (Unknown JAKi, RA)</w:t>
            </w:r>
          </w:p>
          <w:p>
            <w:pPr>
              <w:widowControl w:val="0"/>
              <w:spacing w:after="0" w:line="250" w:lineRule="auto"/>
              <w:jc w:val="both"/>
              <w:rPr>
                <w:rFonts w:hint="default"/>
                <w:i w:val="0"/>
                <w:iCs w:val="0"/>
                <w:lang w:val="en-GB"/>
              </w:rPr>
            </w:pPr>
            <w:r>
              <w:rPr>
                <w:rFonts w:hint="default"/>
                <w:i w:val="0"/>
                <w:iCs w:val="0"/>
                <w:lang w:val="en-GB"/>
              </w:rPr>
              <w:t xml:space="preserve">“Neutropenia.” </w:t>
            </w:r>
            <w:r>
              <w:rPr>
                <w:rFonts w:hint="default"/>
                <w:i w:val="0"/>
                <w:iCs w:val="0"/>
                <w:lang w:val="en-GB"/>
              </w:rPr>
              <w:t>- P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atient 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133 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 </w:t>
            </w:r>
            <w:r>
              <w:rPr>
                <w:rFonts w:hint="default"/>
                <w:i w:val="0"/>
                <w:iCs w:val="0"/>
                <w:lang w:val="en-GB"/>
              </w:rPr>
              <w:t>(Tofacitinib, PsA)</w:t>
            </w:r>
          </w:p>
          <w:p>
            <w:pPr>
              <w:widowControl w:val="0"/>
              <w:spacing w:after="0" w:line="250" w:lineRule="auto"/>
              <w:jc w:val="both"/>
              <w:rPr>
                <w:rFonts w:hint="default"/>
                <w:i w:val="0"/>
                <w:iCs w:val="0"/>
                <w:lang w:val="en-GB"/>
              </w:rPr>
            </w:pPr>
            <w:r>
              <w:rPr>
                <w:rFonts w:hint="default"/>
                <w:i w:val="0"/>
                <w:iCs w:val="0"/>
                <w:lang w:val="en-GB"/>
              </w:rPr>
              <w:t xml:space="preserve">“It gave me continuous chest infections and pneumonia.” </w:t>
            </w:r>
            <w:r>
              <w:rPr>
                <w:rFonts w:hint="default"/>
                <w:i w:val="0"/>
                <w:iCs w:val="0"/>
                <w:lang w:val="en-GB"/>
              </w:rPr>
              <w:t>- P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atient </w:t>
            </w:r>
            <w:r>
              <w:rPr>
                <w:rFonts w:hint="default"/>
                <w:i w:val="0"/>
                <w:iCs w:val="0"/>
                <w:lang w:val="en-GB"/>
              </w:rPr>
              <w:t>139 (Baricitinib, RA)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113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 w:val="0"/>
              <w:spacing w:after="0" w:line="250" w:lineRule="auto"/>
              <w:jc w:val="both"/>
              <w:rPr>
                <w:rFonts w:hint="default"/>
                <w:i w:val="0"/>
                <w:iCs w:val="0"/>
                <w:lang w:val="en-GB"/>
              </w:rPr>
            </w:pPr>
            <w:r>
              <w:rPr>
                <w:rFonts w:hint="default"/>
                <w:i w:val="0"/>
                <w:iCs w:val="0"/>
                <w:lang w:val="en-GB"/>
              </w:rPr>
              <w:t>MACE</w:t>
            </w:r>
          </w:p>
        </w:tc>
        <w:tc>
          <w:tcPr>
            <w:tcW w:w="624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 w:val="0"/>
              <w:spacing w:after="0" w:line="250" w:lineRule="auto"/>
              <w:jc w:val="both"/>
              <w:rPr>
                <w:rFonts w:hint="default"/>
                <w:i w:val="0"/>
                <w:iCs w:val="0"/>
                <w:lang w:val="en-GB"/>
              </w:rPr>
            </w:pPr>
            <w:r>
              <w:rPr>
                <w:i w:val="0"/>
                <w:iCs w:val="0"/>
              </w:rPr>
              <w:t>“Advised to stop in hospital for heart attack.”</w:t>
            </w:r>
            <w:r>
              <w:rPr>
                <w:i w:val="0"/>
                <w:iCs w:val="0"/>
              </w:rPr>
              <w:t xml:space="preserve"> - P</w:t>
            </w:r>
            <w:r>
              <w:rPr>
                <w:rFonts w:hint="default"/>
                <w:i w:val="0"/>
                <w:iCs w:val="0"/>
                <w:lang w:val="en-GB"/>
              </w:rPr>
              <w:t xml:space="preserve">atient </w:t>
            </w:r>
            <w:r>
              <w:rPr>
                <w:i w:val="0"/>
                <w:iCs w:val="0"/>
              </w:rPr>
              <w:t>8</w:t>
            </w:r>
            <w:r>
              <w:rPr>
                <w:rFonts w:hint="default"/>
                <w:i w:val="0"/>
                <w:iCs w:val="0"/>
                <w:lang w:val="en-GB"/>
              </w:rPr>
              <w:t>6</w:t>
            </w:r>
            <w:r>
              <w:rPr>
                <w:i w:val="0"/>
                <w:iCs w:val="0"/>
              </w:rPr>
              <w:t xml:space="preserve"> (Tofacitinib, RA</w:t>
            </w:r>
            <w:r>
              <w:rPr>
                <w:rFonts w:hint="default"/>
                <w:i w:val="0"/>
                <w:iCs w:val="0"/>
                <w:lang w:val="en-GB"/>
              </w:rPr>
              <w:t>)</w:t>
            </w:r>
          </w:p>
        </w:tc>
      </w:tr>
    </w:tbl>
    <w:p>
      <w:pPr>
        <w:rPr>
          <w:i w:val="0"/>
          <w:iCs w:val="0"/>
          <w:lang w:val="en-GB"/>
        </w:rPr>
      </w:pPr>
    </w:p>
    <w:p>
      <w:pPr>
        <w:rPr>
          <w:rFonts w:hint="default"/>
          <w:i w:val="0"/>
          <w:iCs w:val="0"/>
          <w:lang w:val="en-GB"/>
        </w:rPr>
      </w:pPr>
    </w:p>
    <w:p>
      <w:pPr>
        <w:rPr>
          <w:rFonts w:hint="default"/>
          <w:i w:val="0"/>
          <w:iCs w:val="0"/>
          <w:lang w:val="en-GB"/>
        </w:rPr>
      </w:pPr>
    </w:p>
    <w:p>
      <w:pPr>
        <w:rPr>
          <w:rFonts w:hint="default"/>
          <w:i w:val="0"/>
          <w:iCs w:val="0"/>
          <w:lang w:val="en-GB"/>
        </w:rPr>
      </w:pPr>
    </w:p>
    <w:p>
      <w:pPr>
        <w:rPr>
          <w:rFonts w:hint="default"/>
          <w:i w:val="0"/>
          <w:iCs w:val="0"/>
          <w:lang w:val="en-GB"/>
        </w:rPr>
      </w:pPr>
    </w:p>
    <w:p>
      <w:pPr>
        <w:rPr>
          <w:rFonts w:hint="default"/>
          <w:i w:val="0"/>
          <w:iCs w:val="0"/>
          <w:lang w:val="en-GB"/>
        </w:rPr>
      </w:pPr>
    </w:p>
    <w:p>
      <w:pPr>
        <w:rPr>
          <w:rFonts w:hint="default"/>
          <w:i w:val="0"/>
          <w:iCs w:val="0"/>
          <w:lang w:val="en-GB"/>
        </w:rPr>
      </w:pPr>
    </w:p>
    <w:p>
      <w:pPr>
        <w:rPr>
          <w:rFonts w:hint="default"/>
          <w:i w:val="0"/>
          <w:iCs w:val="0"/>
          <w:lang w:val="en-GB"/>
        </w:rPr>
      </w:pPr>
    </w:p>
    <w:p>
      <w:pPr>
        <w:rPr>
          <w:rFonts w:hint="default"/>
          <w:i w:val="0"/>
          <w:iCs w:val="0"/>
          <w:lang w:val="en-GB"/>
        </w:rPr>
      </w:pPr>
      <w:bookmarkStart w:id="0" w:name="_GoBack"/>
    </w:p>
    <w:bookmarkEnd w:id="0"/>
    <w:p>
      <w:pPr>
        <w:rPr>
          <w:rFonts w:hint="default"/>
          <w:i w:val="0"/>
          <w:iCs w:val="0"/>
          <w:lang w:val="en-GB"/>
        </w:rPr>
      </w:pPr>
    </w:p>
    <w:p>
      <w:pPr>
        <w:rPr>
          <w:rFonts w:hint="default"/>
          <w:i w:val="0"/>
          <w:iCs w:val="0"/>
          <w:lang w:val="en-GB"/>
        </w:rPr>
      </w:pPr>
    </w:p>
    <w:p>
      <w:pPr>
        <w:rPr>
          <w:rFonts w:hint="default"/>
          <w:i w:val="0"/>
          <w:iCs w:val="0"/>
          <w:lang w:val="en-GB"/>
        </w:rPr>
      </w:pPr>
    </w:p>
    <w:p>
      <w:pPr>
        <w:rPr>
          <w:rFonts w:hint="default"/>
          <w:i w:val="0"/>
          <w:iCs w:val="0"/>
          <w:lang w:val="en-GB"/>
        </w:rPr>
      </w:pPr>
    </w:p>
    <w:p>
      <w:pPr>
        <w:rPr>
          <w:rFonts w:hint="default"/>
          <w:i w:val="0"/>
          <w:iCs w:val="0"/>
          <w:lang w:val="en-GB"/>
        </w:rPr>
      </w:pPr>
    </w:p>
    <w:p>
      <w:pPr>
        <w:rPr>
          <w:rFonts w:hint="default"/>
          <w:i w:val="0"/>
          <w:iCs w:val="0"/>
          <w:lang w:val="en-GB"/>
        </w:rPr>
      </w:pPr>
    </w:p>
    <w:p>
      <w:pPr>
        <w:rPr>
          <w:rFonts w:hint="default"/>
          <w:i w:val="0"/>
          <w:iCs w:val="0"/>
          <w:lang w:val="en-GB"/>
        </w:rPr>
      </w:pPr>
    </w:p>
    <w:p>
      <w:pPr>
        <w:rPr>
          <w:rFonts w:hint="default"/>
          <w:i w:val="0"/>
          <w:iCs w:val="0"/>
          <w:lang w:val="en-GB"/>
        </w:rPr>
      </w:pPr>
    </w:p>
    <w:p>
      <w:pPr>
        <w:rPr>
          <w:rFonts w:hint="default"/>
          <w:i w:val="0"/>
          <w:iCs w:val="0"/>
          <w:lang w:val="en-GB"/>
        </w:rPr>
      </w:pPr>
    </w:p>
    <w:p>
      <w:pPr>
        <w:rPr>
          <w:rFonts w:hint="default"/>
          <w:i w:val="0"/>
          <w:iCs w:val="0"/>
          <w:lang w:val="en-GB"/>
        </w:rPr>
      </w:pPr>
    </w:p>
    <w:p>
      <w:pPr>
        <w:rPr>
          <w:rFonts w:hint="default"/>
          <w:i w:val="0"/>
          <w:iCs w:val="0"/>
          <w:lang w:val="en-GB"/>
        </w:rPr>
      </w:pPr>
    </w:p>
    <w:p>
      <w:pPr>
        <w:rPr>
          <w:rFonts w:hint="default"/>
          <w:i w:val="0"/>
          <w:iCs w:val="0"/>
          <w:lang w:val="en-GB"/>
        </w:rPr>
      </w:pPr>
    </w:p>
    <w:p>
      <w:pPr>
        <w:rPr>
          <w:rFonts w:hint="default"/>
          <w:i w:val="0"/>
          <w:iCs w:val="0"/>
          <w:lang w:val="en-GB"/>
        </w:rPr>
      </w:pPr>
    </w:p>
    <w:p>
      <w:pPr>
        <w:rPr>
          <w:rFonts w:hint="default"/>
          <w:i w:val="0"/>
          <w:iCs w:val="0"/>
          <w:lang w:val="en-GB"/>
        </w:rPr>
      </w:pPr>
    </w:p>
    <w:p>
      <w:pPr>
        <w:rPr>
          <w:rFonts w:hint="default"/>
          <w:i w:val="0"/>
          <w:iCs w:val="0"/>
          <w:lang w:val="en-GB"/>
        </w:rPr>
      </w:pPr>
    </w:p>
    <w:p>
      <w:pPr>
        <w:rPr>
          <w:rFonts w:hint="default"/>
          <w:i w:val="0"/>
          <w:iCs w:val="0"/>
          <w:lang w:val="en-GB"/>
        </w:rPr>
      </w:pPr>
    </w:p>
    <w:p>
      <w:pPr>
        <w:rPr>
          <w:rFonts w:hint="default"/>
          <w:i w:val="0"/>
          <w:iCs w:val="0"/>
          <w:lang w:val="en-GB"/>
        </w:rPr>
      </w:pPr>
    </w:p>
    <w:p>
      <w:pPr>
        <w:rPr>
          <w:rFonts w:hint="default"/>
          <w:i w:val="0"/>
          <w:iCs w:val="0"/>
          <w:lang w:val="en-GB"/>
        </w:rPr>
      </w:pPr>
    </w:p>
    <w:p>
      <w:pPr>
        <w:rPr>
          <w:rFonts w:hint="default"/>
          <w:i w:val="0"/>
          <w:iCs w:val="0"/>
          <w:lang w:val="en-GB"/>
        </w:rPr>
      </w:pPr>
    </w:p>
    <w:p>
      <w:pPr>
        <w:rPr>
          <w:rFonts w:hint="default"/>
          <w:i w:val="0"/>
          <w:iCs w:val="0"/>
          <w:lang w:val="en-GB"/>
        </w:rPr>
      </w:pPr>
    </w:p>
    <w:p>
      <w:pPr>
        <w:rPr>
          <w:rFonts w:hint="default"/>
          <w:i w:val="0"/>
          <w:iCs w:val="0"/>
          <w:lang w:val="en-GB"/>
        </w:rPr>
      </w:pPr>
    </w:p>
    <w:p>
      <w:pPr>
        <w:rPr>
          <w:rFonts w:hint="default"/>
          <w:i w:val="0"/>
          <w:iCs w:val="0"/>
          <w:lang w:val="en-GB"/>
        </w:rPr>
      </w:pPr>
    </w:p>
    <w:p>
      <w:pPr>
        <w:rPr>
          <w:rFonts w:hint="default" w:eastAsia="SimSun" w:cs="Times New Roman"/>
          <w:i w:val="0"/>
          <w:iCs w:val="0"/>
          <w:lang w:val="en-GB"/>
        </w:rPr>
      </w:pPr>
      <w:r>
        <w:rPr>
          <w:rFonts w:hint="default"/>
          <w:i w:val="0"/>
          <w:iCs w:val="0"/>
          <w:lang w:val="en-GB"/>
        </w:rPr>
        <w:t>GP = General practitioner; JAKi = janus kinase inhibitor</w:t>
      </w:r>
      <w:r>
        <w:rPr>
          <w:rFonts w:hint="default" w:eastAsia="SimSun" w:cs="Times New Roman"/>
          <w:i w:val="0"/>
          <w:iCs w:val="0"/>
          <w:lang w:val="en-GB"/>
        </w:rPr>
        <w:t xml:space="preserve">; MACE = major adverse cardiovascular </w:t>
      </w:r>
    </w:p>
    <w:p>
      <w:pPr>
        <w:rPr>
          <w:rFonts w:hint="default" w:eastAsia="SimSun" w:cs="Times New Roman"/>
          <w:i w:val="0"/>
          <w:iCs w:val="0"/>
          <w:lang w:val="en-GB"/>
        </w:rPr>
      </w:pPr>
      <w:r>
        <w:rPr>
          <w:rFonts w:hint="default" w:eastAsia="SimSun" w:cs="Times New Roman"/>
          <w:i w:val="0"/>
          <w:iCs w:val="0"/>
          <w:lang w:val="en-GB"/>
        </w:rPr>
        <w:t xml:space="preserve">event; </w:t>
      </w:r>
      <w:r>
        <w:rPr>
          <w:rFonts w:eastAsia="SimSun" w:cs="Times New Roman"/>
          <w:i w:val="0"/>
          <w:iCs w:val="0"/>
          <w:lang w:val="en-GB"/>
        </w:rPr>
        <w:t>PsA = psoriatic arthritis</w:t>
      </w:r>
      <w:r>
        <w:rPr>
          <w:rFonts w:hint="default" w:eastAsia="SimSun" w:cs="Times New Roman"/>
          <w:i w:val="0"/>
          <w:iCs w:val="0"/>
          <w:lang w:val="en-GB"/>
        </w:rPr>
        <w:t>; RA = rheumatoid arthritis</w:t>
      </w:r>
    </w:p>
    <w:p>
      <w:pPr>
        <w:ind w:firstLine="100"/>
        <w:rPr>
          <w:rFonts w:hint="default"/>
          <w:i w:val="0"/>
          <w:iCs w:val="0"/>
          <w:lang w:val="en-GB"/>
        </w:rPr>
      </w:pPr>
    </w:p>
    <w:sectPr>
      <w:pgSz w:w="11906" w:h="16838"/>
      <w:pgMar w:top="1440" w:right="1800" w:bottom="1440" w:left="1800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283"/>
  <w:drawingGridVerticalSpacing w:val="156"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8AC"/>
    <w:rsid w:val="00A438AC"/>
    <w:rsid w:val="00E269FD"/>
    <w:rsid w:val="01B61115"/>
    <w:rsid w:val="01FB5754"/>
    <w:rsid w:val="025B5D36"/>
    <w:rsid w:val="0305399D"/>
    <w:rsid w:val="03253AFD"/>
    <w:rsid w:val="0374413D"/>
    <w:rsid w:val="0388556B"/>
    <w:rsid w:val="040F1BAA"/>
    <w:rsid w:val="06695AAF"/>
    <w:rsid w:val="073A569E"/>
    <w:rsid w:val="0802440D"/>
    <w:rsid w:val="0865202A"/>
    <w:rsid w:val="08D96452"/>
    <w:rsid w:val="11B81D23"/>
    <w:rsid w:val="127C0968"/>
    <w:rsid w:val="127F48AC"/>
    <w:rsid w:val="1382549E"/>
    <w:rsid w:val="144C7025"/>
    <w:rsid w:val="157140A6"/>
    <w:rsid w:val="1576198E"/>
    <w:rsid w:val="16C15493"/>
    <w:rsid w:val="1AEC6857"/>
    <w:rsid w:val="1BFE65ED"/>
    <w:rsid w:val="1DF745D2"/>
    <w:rsid w:val="1EEE7443"/>
    <w:rsid w:val="1F354C5D"/>
    <w:rsid w:val="1F874AC1"/>
    <w:rsid w:val="1FCD53FD"/>
    <w:rsid w:val="20F1283F"/>
    <w:rsid w:val="24924DC4"/>
    <w:rsid w:val="290B2783"/>
    <w:rsid w:val="29D87771"/>
    <w:rsid w:val="29DA4864"/>
    <w:rsid w:val="30343F5E"/>
    <w:rsid w:val="34245B5A"/>
    <w:rsid w:val="358D2CB9"/>
    <w:rsid w:val="3765559F"/>
    <w:rsid w:val="38033928"/>
    <w:rsid w:val="390E6DAE"/>
    <w:rsid w:val="3D2959BD"/>
    <w:rsid w:val="3FA41114"/>
    <w:rsid w:val="41CE72D4"/>
    <w:rsid w:val="42B914BF"/>
    <w:rsid w:val="42CC02B0"/>
    <w:rsid w:val="45E137C0"/>
    <w:rsid w:val="469E0243"/>
    <w:rsid w:val="49B77EAC"/>
    <w:rsid w:val="4CE37103"/>
    <w:rsid w:val="53626F09"/>
    <w:rsid w:val="54B856EF"/>
    <w:rsid w:val="55204172"/>
    <w:rsid w:val="567B5AE6"/>
    <w:rsid w:val="568F78CF"/>
    <w:rsid w:val="56BA1F0E"/>
    <w:rsid w:val="57780025"/>
    <w:rsid w:val="57EE7DD3"/>
    <w:rsid w:val="59EF71EF"/>
    <w:rsid w:val="5A5F25C6"/>
    <w:rsid w:val="5B4236BA"/>
    <w:rsid w:val="5D4A6E99"/>
    <w:rsid w:val="61464639"/>
    <w:rsid w:val="61A369FF"/>
    <w:rsid w:val="62222B0A"/>
    <w:rsid w:val="629A468F"/>
    <w:rsid w:val="65B50CB0"/>
    <w:rsid w:val="65F8567D"/>
    <w:rsid w:val="69120BEF"/>
    <w:rsid w:val="69CD0E47"/>
    <w:rsid w:val="6ACD7633"/>
    <w:rsid w:val="6CFA3D10"/>
    <w:rsid w:val="6D256BA1"/>
    <w:rsid w:val="6D350EF8"/>
    <w:rsid w:val="6E1B5E0A"/>
    <w:rsid w:val="6E9016DC"/>
    <w:rsid w:val="74ED29D4"/>
    <w:rsid w:val="757C7EE4"/>
    <w:rsid w:val="76524305"/>
    <w:rsid w:val="79840511"/>
    <w:rsid w:val="7A2D7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nhideWhenUsed="0" w:uiPriority="9" w:semiHidden="0" w:name="heading 8"/>
    <w:lsdException w:qFormat="1" w:unhideWhenUsed="0" w:uiPriority="9" w:semiHidden="0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39" w:semiHidden="0" w:name="toc 1"/>
    <w:lsdException w:unhideWhenUsed="0" w:uiPriority="39" w:semiHidden="0" w:name="toc 2"/>
    <w:lsdException w:unhideWhenUsed="0" w:uiPriority="39" w:semiHidden="0" w:name="toc 3"/>
    <w:lsdException w:unhideWhenUsed="0" w:uiPriority="39" w:semiHidden="0" w:name="toc 4"/>
    <w:lsdException w:unhideWhenUsed="0" w:uiPriority="39" w:semiHidden="0" w:name="toc 5"/>
    <w:lsdException w:unhideWhenUsed="0" w:uiPriority="39" w:semiHidden="0" w:name="toc 6"/>
    <w:lsdException w:unhideWhenUsed="0" w:uiPriority="39" w:semiHidden="0" w:name="toc 7"/>
    <w:lsdException w:unhideWhenUsed="0" w:uiPriority="39" w:semiHidden="0" w:name="toc 8"/>
    <w:lsdException w:unhideWhenUsed="0" w:uiPriority="39" w:semiHidden="0" w:name="toc 9"/>
    <w:lsdException w:unhideWhenUsed="0" w:uiPriority="99" w:semiHidden="0" w:name="Normal Indent"/>
    <w:lsdException w:unhideWhenUsed="0" w:uiPriority="99" w:semiHidden="0" w:name="footnote text"/>
    <w:lsdException w:qFormat="1"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99" w:semiHidden="0" w:name="index heading"/>
    <w:lsdException w:qFormat="1" w:unhideWhenUsed="0" w:uiPriority="35" w:semiHidden="0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qFormat="1"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10" w:semiHidden="0" w:name="Title"/>
    <w:lsdException w:unhideWhenUsed="0" w:uiPriority="99" w:semiHidden="0" w:name="Closing"/>
    <w:lsdException w:unhideWhenUsed="0" w:uiPriority="99" w:semiHidden="0" w:name="Signature"/>
    <w:lsdException w:qFormat="1" w:uiPriority="1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qFormat="1" w:unhideWhenUsed="0" w:uiPriority="11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uiPriority="99" w:name="Normal Table"/>
    <w:lsdException w:qFormat="1"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Calibri" w:cs="Calibri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annotation reference"/>
    <w:basedOn w:val="2"/>
    <w:qFormat/>
    <w:uiPriority w:val="99"/>
    <w:rPr>
      <w:sz w:val="16"/>
      <w:szCs w:val="16"/>
    </w:rPr>
  </w:style>
  <w:style w:type="paragraph" w:styleId="5">
    <w:name w:val="annotation text"/>
    <w:basedOn w:val="1"/>
    <w:link w:val="14"/>
    <w:qFormat/>
    <w:uiPriority w:val="99"/>
  </w:style>
  <w:style w:type="paragraph" w:styleId="6">
    <w:name w:val="annotation subject"/>
    <w:basedOn w:val="5"/>
    <w:next w:val="5"/>
    <w:link w:val="15"/>
    <w:qFormat/>
    <w:uiPriority w:val="99"/>
    <w:rPr>
      <w:b/>
      <w:bCs/>
    </w:rPr>
  </w:style>
  <w:style w:type="table" w:styleId="7">
    <w:name w:val="Table Grid"/>
    <w:qFormat/>
    <w:uiPriority w:val="59"/>
    <w:pPr>
      <w:widowControl w:val="0"/>
      <w:jc w:val="both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Comment Text1"/>
    <w:qFormat/>
    <w:uiPriority w:val="0"/>
    <w:rPr>
      <w:rFonts w:ascii="Calibri" w:hAnsi="Calibri" w:eastAsia="Calibri" w:cs="Calibri"/>
      <w:lang w:val="en-US" w:eastAsia="zh-CN" w:bidi="ar-SA"/>
    </w:rPr>
  </w:style>
  <w:style w:type="paragraph" w:customStyle="1" w:styleId="9">
    <w:name w:val="Comment Subject1"/>
    <w:basedOn w:val="8"/>
    <w:next w:val="8"/>
    <w:qFormat/>
    <w:uiPriority w:val="0"/>
    <w:rPr>
      <w:b/>
      <w:bCs/>
    </w:rPr>
  </w:style>
  <w:style w:type="paragraph" w:customStyle="1" w:styleId="10">
    <w:name w:val="[Normal]"/>
    <w:qFormat/>
    <w:uiPriority w:val="0"/>
    <w:pPr>
      <w:widowControl w:val="0"/>
    </w:pPr>
    <w:rPr>
      <w:rFonts w:ascii="Arial" w:hAnsi="Arial" w:eastAsia="SimSun" w:cs="Times New Roman"/>
      <w:sz w:val="24"/>
      <w:szCs w:val="24"/>
      <w:lang w:val="en-GB" w:eastAsia="en-GB" w:bidi="ar-SA"/>
    </w:rPr>
  </w:style>
  <w:style w:type="character" w:customStyle="1" w:styleId="11">
    <w:name w:val="Comment Reference1"/>
    <w:basedOn w:val="2"/>
    <w:qFormat/>
    <w:uiPriority w:val="0"/>
    <w:rPr>
      <w:sz w:val="16"/>
      <w:szCs w:val="16"/>
    </w:rPr>
  </w:style>
  <w:style w:type="character" w:customStyle="1" w:styleId="12">
    <w:name w:val="Comment Text Char"/>
    <w:basedOn w:val="2"/>
    <w:qFormat/>
    <w:uiPriority w:val="0"/>
    <w:rPr>
      <w:rFonts w:ascii="Calibri" w:hAnsi="Calibri" w:eastAsia="Calibri" w:cs="Calibri"/>
      <w:lang w:val="en-US" w:eastAsia="zh-CN"/>
    </w:rPr>
  </w:style>
  <w:style w:type="character" w:customStyle="1" w:styleId="13">
    <w:name w:val="Comment Subject Char"/>
    <w:basedOn w:val="12"/>
    <w:qFormat/>
    <w:uiPriority w:val="0"/>
    <w:rPr>
      <w:rFonts w:ascii="Calibri" w:hAnsi="Calibri" w:eastAsia="Calibri" w:cs="Calibri"/>
      <w:b/>
      <w:bCs/>
      <w:lang w:val="en-US" w:eastAsia="zh-CN"/>
    </w:rPr>
  </w:style>
  <w:style w:type="character" w:customStyle="1" w:styleId="14">
    <w:name w:val="Comment Text Char1"/>
    <w:basedOn w:val="2"/>
    <w:link w:val="5"/>
    <w:qFormat/>
    <w:uiPriority w:val="99"/>
    <w:rPr>
      <w:rFonts w:ascii="Calibri" w:hAnsi="Calibri" w:eastAsia="Calibri" w:cs="Calibri"/>
      <w:lang w:val="en-US" w:eastAsia="zh-CN"/>
    </w:rPr>
  </w:style>
  <w:style w:type="character" w:customStyle="1" w:styleId="15">
    <w:name w:val="Comment Subject Char1"/>
    <w:basedOn w:val="14"/>
    <w:link w:val="6"/>
    <w:qFormat/>
    <w:uiPriority w:val="99"/>
    <w:rPr>
      <w:rFonts w:ascii="Calibri" w:hAnsi="Calibri" w:eastAsia="Calibri" w:cs="Calibri"/>
      <w:b/>
      <w:bCs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330</Words>
  <Characters>1883</Characters>
  <Lines>15</Lines>
  <Paragraphs>4</Paragraphs>
  <TotalTime>5</TotalTime>
  <ScaleCrop>false</ScaleCrop>
  <LinksUpToDate>false</LinksUpToDate>
  <CharactersWithSpaces>2209</CharactersWithSpaces>
  <Application>WPS Office_11.2.0.11440_F1E327BC-269C-435d-A152-05C5408002CA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2023-01-03T22:21:00Z</dcterms:created>
  <dc:creator>Savia de Souza</dc:creator>
  <cp:lastModifiedBy>Savia de Souza</cp:lastModifiedBy>
  <dcterms:modified xsi:type="dcterms:W3CDTF">2023-02-10T10:02:44Z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2057-11.2.0.11440</vt:lpwstr>
  </property>
  <property fmtid="{D5CDD505-2E9C-101B-9397-08002B2CF9AE}" pid="3" name="ICV">
    <vt:lpwstr>E26929763CE741819B7A3E507537DFCB</vt:lpwstr>
  </property>
</Properties>
</file>