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0980" w:rsidRPr="00EC311F" w:rsidRDefault="00BE0980" w:rsidP="00BE09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C311F">
        <w:rPr>
          <w:rFonts w:ascii="Times New Roman" w:hAnsi="Times New Roman" w:cs="Times New Roman"/>
          <w:b/>
          <w:bCs/>
          <w:sz w:val="28"/>
          <w:szCs w:val="28"/>
        </w:rPr>
        <w:t>Support information</w:t>
      </w:r>
    </w:p>
    <w:p w:rsidR="00BE0980" w:rsidRDefault="00BE0980" w:rsidP="00BE0980">
      <w:pPr>
        <w:spacing w:line="360" w:lineRule="auto"/>
        <w:rPr>
          <w:rFonts w:ascii="Times New Roman" w:hAnsi="Times New Roman" w:cs="Times New Roman"/>
          <w:szCs w:val="21"/>
        </w:rPr>
      </w:pPr>
    </w:p>
    <w:p w:rsidR="00BE0980" w:rsidRDefault="00BE0980" w:rsidP="00BE0980">
      <w:pPr>
        <w:widowControl/>
        <w:spacing w:line="374" w:lineRule="atLeast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.S1 Variable of mild and common patients at different ages</w:t>
      </w:r>
    </w:p>
    <w:tbl>
      <w:tblPr>
        <w:tblStyle w:val="41"/>
        <w:tblW w:w="61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8"/>
        <w:gridCol w:w="1227"/>
        <w:gridCol w:w="1131"/>
        <w:gridCol w:w="1279"/>
        <w:gridCol w:w="1419"/>
        <w:gridCol w:w="1136"/>
        <w:gridCol w:w="1131"/>
        <w:gridCol w:w="991"/>
      </w:tblGrid>
      <w:tr w:rsidR="00BE0980" w:rsidRPr="00895B2D" w:rsidTr="00BB69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B62F4F" w:rsidRDefault="00BE0980" w:rsidP="00BB699E">
            <w:pPr>
              <w:ind w:firstLine="300"/>
              <w:jc w:val="center"/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0-14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n=5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15-29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n=19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30-39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n=28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40-49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n=30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50-59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n=26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60-69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n=13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ED4336" w:rsidRDefault="00BE0980" w:rsidP="00BB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ED4336">
              <w:rPr>
                <w:rFonts w:ascii="Times New Roman" w:hAnsi="Times New Roman"/>
                <w:sz w:val="15"/>
                <w:szCs w:val="15"/>
              </w:rPr>
              <w:t>≥70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ED4336">
              <w:rPr>
                <w:rFonts w:ascii="Times New Roman" w:hAnsi="Times New Roman"/>
                <w:sz w:val="15"/>
                <w:szCs w:val="15"/>
              </w:rPr>
              <w:t>n=4</w:t>
            </w:r>
            <w:r w:rsidRPr="00ED4336"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  <w:highlight w:val="yellow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All patients before 1/31/2020</w:t>
            </w:r>
          </w:p>
        </w:tc>
        <w:tc>
          <w:tcPr>
            <w:tcW w:w="601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57.9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64.3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34.6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38.5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Exposure history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Recently visited Wuhan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31.6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57.1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30.8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30.8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Contact with Wuhan residents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80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36.8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28.6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26.9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69.2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75%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Smoking history</w:t>
            </w:r>
          </w:p>
        </w:tc>
        <w:tc>
          <w:tcPr>
            <w:tcW w:w="601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17.9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13.3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15.4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Mean latency (day)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11.7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6.57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/>
                <w:sz w:val="15"/>
                <w:szCs w:val="15"/>
              </w:rPr>
              <w:t>.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6.3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9.6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10.4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10.25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Clinical symptoms</w:t>
            </w:r>
          </w:p>
        </w:tc>
        <w:tc>
          <w:tcPr>
            <w:tcW w:w="601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Fever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68.4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57.7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46.2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Cough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100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63.2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71.4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73.3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53.8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76.9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Shortness of breath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23.1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Fatigue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23.3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38.5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Comorbidities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Chars="200"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Chars="200"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ARDS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Acute kidney injury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Myocardial injury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Liver dysfunction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1(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3.6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Urinary infection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Digestive system damage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pct"/>
            <w:gridSpan w:val="2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Chars="100" w:firstLine="151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Abnormalities on chest CT</w:t>
            </w: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Chars="200"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Ground-glass opacity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31.6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57.1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30.8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46.2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Bilateral patchy shadowing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15.8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14.3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13.3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38.5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No obvious abnormalities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10.5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Laboratory findings</w:t>
            </w:r>
          </w:p>
        </w:tc>
        <w:tc>
          <w:tcPr>
            <w:tcW w:w="601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BE5D6" w:themeFill="accent2" w:themeFillTint="32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White-cell count</w:t>
            </w:r>
            <w:r w:rsidRPr="003C7B3F">
              <w:rPr>
                <w:rFonts w:ascii="Times New Roman" w:hAnsi="Times New Roman" w:hint="eastAsia"/>
                <w:b w:val="0"/>
                <w:bCs w:val="0"/>
                <w:sz w:val="15"/>
                <w:szCs w:val="15"/>
              </w:rPr>
              <w:t xml:space="preserve"> </w:t>
            </w: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Median (IQR)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6.62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4.14-9.1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4.36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2.7-9.67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4.31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2.62-18.72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5.01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2.36-10.53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5.25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2.99-8.79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5.46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2.24-6.93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4.03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3.83-9.06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Neutrophil Percentage median(IQR)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48.85%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41.50-56.20%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43.97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19.15-61.9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52.25%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36.86%-89.2%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61.79%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47.62%-92.12%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75.6%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63.3-78.5%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69.80%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36.7-79.9%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72.3%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58.7-86%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Lymphocyte count</w:t>
            </w:r>
            <w:r w:rsidRPr="003C7B3F">
              <w:rPr>
                <w:rFonts w:ascii="Times New Roman" w:hAnsi="Times New Roman" w:hint="eastAsia"/>
                <w:b w:val="0"/>
                <w:bCs w:val="0"/>
                <w:sz w:val="15"/>
                <w:szCs w:val="15"/>
              </w:rPr>
              <w:t xml:space="preserve"> </w:t>
            </w: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Median (IQR)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2.2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1.2-3.2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1.605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0.95-3.17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1.32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0.69-2.26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1.05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0.6-2.32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1.05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0.41-2.31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widowControl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1.13</w:t>
            </w:r>
          </w:p>
          <w:p w:rsidR="00BE0980" w:rsidRPr="00F11F2B" w:rsidRDefault="00BE0980" w:rsidP="00BB699E">
            <w:pPr>
              <w:widowControl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(0.64-2.24)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0.8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0.78-1.19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T cell detection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3209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3209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1086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656-2250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867.4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406-1527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815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369-1620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765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350-1374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873.4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373-1066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548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473-588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CD4+ T cell count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869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347-1770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459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229-1209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419.4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(174-886)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430.5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(185-804)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423.7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(191-774)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495.3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205-848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308.3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249-371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CD8+ T cell count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790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667-1439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526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231-991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337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(158-628）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287.6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(89-765)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278.3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(54-568)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303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121-517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169.5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152-187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CD4+/CD8+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0.52-1.23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0.965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0.54-2.46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1.36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0.79-1.94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1.60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(0.86-2.84)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2.02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(0.54-3.73)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1.67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(1.25-1.99)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1.99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1.98-2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Platelet count, Median (IQR)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241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241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147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105-341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186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79-455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140.5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94-350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173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67-501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233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68-331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>00</w:t>
            </w:r>
          </w:p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158-424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Elevated C-reactive protein (&gt;10 mg/L)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5.3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32.1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11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36.7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19.2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30.8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50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Elevated Procalcitonin</w:t>
            </w:r>
            <w:r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 xml:space="preserve"> </w:t>
            </w: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(&gt;0.5ng/ml)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7.1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7.7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F11F2B">
              <w:rPr>
                <w:rFonts w:ascii="Times New Roman" w:hAnsi="Times New Roman"/>
                <w:sz w:val="15"/>
                <w:szCs w:val="15"/>
              </w:rPr>
              <w:t>30.8</w:t>
            </w:r>
            <w:r>
              <w:rPr>
                <w:rFonts w:ascii="Times New Roman" w:hAnsi="Times New Roman"/>
                <w:sz w:val="15"/>
                <w:szCs w:val="15"/>
              </w:rPr>
              <w:t>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Clinical outcome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F11F2B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Recovery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19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28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30(100%）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26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13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2C31FA">
              <w:rPr>
                <w:rFonts w:ascii="Times New Roman" w:hAnsi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hint="eastAsia"/>
                <w:sz w:val="15"/>
                <w:szCs w:val="15"/>
              </w:rPr>
              <w:t>(</w:t>
            </w:r>
            <w:r w:rsidRPr="002C31FA">
              <w:rPr>
                <w:rFonts w:ascii="Times New Roman" w:hAnsi="Times New Roman"/>
                <w:sz w:val="15"/>
                <w:szCs w:val="15"/>
              </w:rPr>
              <w:t>100%</w:t>
            </w:r>
            <w:r>
              <w:rPr>
                <w:rFonts w:ascii="Times New Roman" w:hAnsi="Times New Roman" w:hint="eastAsia"/>
                <w:sz w:val="15"/>
                <w:szCs w:val="15"/>
              </w:rPr>
              <w:t>)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FFFFF" w:themeFill="background1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Hospital length of stay</w:t>
            </w:r>
            <w:r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 xml:space="preserve"> (</w:t>
            </w: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days</w:t>
            </w:r>
            <w:r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9.8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15.83</w:t>
            </w:r>
          </w:p>
        </w:tc>
        <w:tc>
          <w:tcPr>
            <w:tcW w:w="626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15.07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19.55</w:t>
            </w:r>
          </w:p>
        </w:tc>
        <w:tc>
          <w:tcPr>
            <w:tcW w:w="556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17.25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19.25</w:t>
            </w:r>
          </w:p>
        </w:tc>
        <w:tc>
          <w:tcPr>
            <w:tcW w:w="485" w:type="pct"/>
            <w:shd w:val="clear" w:color="auto" w:fill="FFFFFF" w:themeFill="background1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22</w:t>
            </w:r>
          </w:p>
        </w:tc>
      </w:tr>
      <w:tr w:rsidR="00BE0980" w:rsidRPr="00895B2D" w:rsidTr="00BB699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9" w:type="pct"/>
            <w:shd w:val="clear" w:color="auto" w:fill="FBE4D5" w:themeFill="accent2" w:themeFillTint="33"/>
            <w:vAlign w:val="center"/>
          </w:tcPr>
          <w:p w:rsidR="00BE0980" w:rsidRPr="003C7B3F" w:rsidRDefault="00BE0980" w:rsidP="00BB699E">
            <w:pPr>
              <w:jc w:val="center"/>
              <w:rPr>
                <w:rFonts w:ascii="Times New Roman" w:hAnsi="Times New Roman"/>
                <w:b w:val="0"/>
                <w:bCs w:val="0"/>
                <w:sz w:val="15"/>
                <w:szCs w:val="15"/>
              </w:rPr>
            </w:pPr>
            <w:r w:rsidRPr="003C7B3F">
              <w:rPr>
                <w:rFonts w:ascii="Times New Roman" w:hAnsi="Times New Roman"/>
                <w:b w:val="0"/>
                <w:bCs w:val="0"/>
                <w:sz w:val="15"/>
                <w:szCs w:val="15"/>
              </w:rPr>
              <w:t>Death</w:t>
            </w:r>
          </w:p>
        </w:tc>
        <w:tc>
          <w:tcPr>
            <w:tcW w:w="601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26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695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ind w:firstLine="3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6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54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tabs>
                <w:tab w:val="center" w:pos="11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485" w:type="pct"/>
            <w:shd w:val="clear" w:color="auto" w:fill="FBE4D5" w:themeFill="accent2" w:themeFillTint="33"/>
            <w:vAlign w:val="center"/>
          </w:tcPr>
          <w:p w:rsidR="00BE0980" w:rsidRPr="002C31FA" w:rsidRDefault="00BE0980" w:rsidP="00BB69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 w:rsidRPr="00F11F2B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</w:tr>
    </w:tbl>
    <w:p w:rsidR="00BE0980" w:rsidRPr="0018351D" w:rsidRDefault="00BE0980" w:rsidP="00BE0980">
      <w:pPr>
        <w:spacing w:line="480" w:lineRule="auto"/>
        <w:jc w:val="left"/>
        <w:rPr>
          <w:rFonts w:ascii="Times New Roman" w:hAnsi="Times New Roman" w:cs="Times New Roman"/>
          <w:color w:val="231F20"/>
          <w:kern w:val="0"/>
          <w:szCs w:val="21"/>
          <w:lang w:bidi="ar"/>
        </w:rPr>
      </w:pPr>
      <w:r>
        <w:rPr>
          <w:rFonts w:ascii="Times New Roman" w:eastAsia="Shaker2Lancet-Regular" w:hAnsi="Times New Roman" w:cs="Times New Roman"/>
          <w:color w:val="231F20"/>
          <w:kern w:val="0"/>
          <w:szCs w:val="21"/>
          <w:lang w:bidi="ar"/>
        </w:rPr>
        <w:t>Data are median (IQR), n (%) or mean (SD). Some patients lack certain tests, or some patients’ mean latency is unknown. White blood cell count (× 10⁹ cells per L). Lymphocyte count (× 10⁹ cells per L) . Platelet count, × 10⁹ per L. ARDS=acute respiratory distress syndrome. Patients means people who have confirmed SARS-CoV-2 infection or are highly suspected of being infected.</w:t>
      </w:r>
    </w:p>
    <w:p w:rsidR="00EB3BB0" w:rsidRDefault="00EB3BB0"/>
    <w:sectPr w:rsidR="00EB3BB0" w:rsidSect="0018351D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haker2Lancet-Regular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6966882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EA67EC" w:rsidRPr="0018351D" w:rsidRDefault="00BE0980">
        <w:pPr>
          <w:pStyle w:val="Footer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18351D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18351D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18351D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18351D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18351D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EA67EC" w:rsidRDefault="00BE098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980"/>
    <w:rsid w:val="00BE098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6715B2-9943-46B0-A2B5-CB33A49B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98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BE0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E0980"/>
    <w:rPr>
      <w:rFonts w:eastAsiaTheme="minorEastAsia"/>
      <w:kern w:val="2"/>
      <w:sz w:val="18"/>
      <w:szCs w:val="18"/>
      <w:lang w:eastAsia="zh-CN"/>
    </w:rPr>
  </w:style>
  <w:style w:type="table" w:customStyle="1" w:styleId="41">
    <w:name w:val="无格式表格 41"/>
    <w:basedOn w:val="TableNormal"/>
    <w:uiPriority w:val="44"/>
    <w:qFormat/>
    <w:rsid w:val="00BE0980"/>
    <w:pPr>
      <w:spacing w:after="0" w:line="240" w:lineRule="auto"/>
    </w:pPr>
    <w:rPr>
      <w:rFonts w:ascii="Microsoft YaHei" w:eastAsia="Microsoft YaHei" w:hAnsi="Microsoft YaHei" w:cs="Times New Roman"/>
      <w:sz w:val="20"/>
      <w:szCs w:val="20"/>
      <w:lang w:eastAsia="zh-CN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E0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2020-05-06T00:45:00Z</dcterms:created>
  <dcterms:modified xsi:type="dcterms:W3CDTF">2020-05-06T00:45:00Z</dcterms:modified>
</cp:coreProperties>
</file>