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CA6" w:rsidRDefault="000C7CA6" w:rsidP="000C7CA6">
      <w:pPr>
        <w:jc w:val="left"/>
        <w:rPr>
          <w:rFonts w:ascii="Times New Roman" w:eastAsia="宋体" w:hAnsi="Times New Roman"/>
          <w:b/>
          <w:sz w:val="24"/>
        </w:rPr>
      </w:pPr>
      <w:r w:rsidRPr="00F02D93">
        <w:rPr>
          <w:rFonts w:ascii="Times New Roman" w:eastAsia="宋体" w:hAnsi="Times New Roman" w:hint="eastAsia"/>
          <w:b/>
          <w:sz w:val="32"/>
        </w:rPr>
        <w:t>S</w:t>
      </w:r>
      <w:r w:rsidRPr="00F02D93">
        <w:rPr>
          <w:rFonts w:ascii="Times New Roman" w:eastAsia="宋体" w:hAnsi="Times New Roman"/>
          <w:b/>
          <w:sz w:val="32"/>
        </w:rPr>
        <w:t xml:space="preserve">upplementary </w:t>
      </w:r>
      <w:r>
        <w:rPr>
          <w:rFonts w:ascii="Times New Roman" w:eastAsia="宋体" w:hAnsi="Times New Roman"/>
          <w:b/>
          <w:sz w:val="32"/>
        </w:rPr>
        <w:t>Document</w:t>
      </w:r>
    </w:p>
    <w:p w:rsidR="000C7CA6" w:rsidRPr="00F02D93" w:rsidRDefault="000C7CA6" w:rsidP="000C7CA6">
      <w:pPr>
        <w:jc w:val="left"/>
        <w:rPr>
          <w:rFonts w:ascii="Times New Roman" w:eastAsia="宋体" w:hAnsi="Times New Roman"/>
          <w:b/>
          <w:sz w:val="28"/>
        </w:rPr>
      </w:pPr>
      <w:r w:rsidRPr="00F02D93">
        <w:rPr>
          <w:rFonts w:ascii="Times New Roman" w:eastAsia="宋体" w:hAnsi="Times New Roman"/>
          <w:b/>
          <w:sz w:val="28"/>
        </w:rPr>
        <w:t>Materials and Methods</w:t>
      </w:r>
    </w:p>
    <w:p w:rsidR="000C7CA6" w:rsidRPr="005D2152" w:rsidRDefault="000C7CA6" w:rsidP="005D2152">
      <w:pPr>
        <w:pStyle w:val="a3"/>
        <w:numPr>
          <w:ilvl w:val="0"/>
          <w:numId w:val="4"/>
        </w:numPr>
        <w:spacing w:line="360" w:lineRule="auto"/>
        <w:ind w:firstLineChars="0"/>
        <w:rPr>
          <w:rFonts w:ascii="Times New Roman" w:eastAsia="华文中宋" w:hAnsi="Times New Roman"/>
          <w:sz w:val="24"/>
          <w:szCs w:val="24"/>
        </w:rPr>
      </w:pPr>
      <w:r w:rsidRPr="005D2152">
        <w:rPr>
          <w:rFonts w:ascii="Times New Roman" w:eastAsia="宋体" w:hAnsi="Times New Roman"/>
          <w:b/>
          <w:sz w:val="24"/>
          <w:szCs w:val="24"/>
        </w:rPr>
        <w:t>S</w:t>
      </w:r>
      <w:r w:rsidRPr="005D2152">
        <w:rPr>
          <w:rFonts w:ascii="Times New Roman" w:eastAsia="宋体" w:hAnsi="Times New Roman" w:hint="eastAsia"/>
          <w:b/>
          <w:sz w:val="24"/>
          <w:szCs w:val="24"/>
        </w:rPr>
        <w:t>tudy</w:t>
      </w:r>
      <w:r w:rsidRPr="005D2152">
        <w:rPr>
          <w:rFonts w:ascii="Times New Roman" w:eastAsia="宋体" w:hAnsi="Times New Roman"/>
          <w:b/>
          <w:sz w:val="24"/>
          <w:szCs w:val="24"/>
        </w:rPr>
        <w:t xml:space="preserve"> design and samples collection</w:t>
      </w:r>
    </w:p>
    <w:p w:rsidR="000C7CA6" w:rsidRPr="000C7CA6" w:rsidRDefault="000C7CA6" w:rsidP="005D2152">
      <w:pPr>
        <w:spacing w:line="360" w:lineRule="auto"/>
        <w:ind w:firstLineChars="100" w:firstLine="240"/>
        <w:rPr>
          <w:rFonts w:ascii="Times New Roman" w:eastAsia="华文中宋" w:hAnsi="Times New Roman"/>
          <w:sz w:val="24"/>
        </w:rPr>
      </w:pPr>
      <w:r w:rsidRPr="000C7CA6">
        <w:rPr>
          <w:rFonts w:ascii="Times New Roman" w:eastAsia="华文中宋" w:hAnsi="Times New Roman"/>
          <w:sz w:val="24"/>
        </w:rPr>
        <w:t>All patients were diagnosed as local advanced rectal cancer, namely T3/4, or N+ but without distant metastasis according to AJCC Cancer Staging Manual 8.0. After discussion by Multi-</w:t>
      </w:r>
      <w:r w:rsidR="00096A86">
        <w:rPr>
          <w:rFonts w:ascii="Times New Roman" w:eastAsia="华文中宋" w:hAnsi="Times New Roman"/>
          <w:sz w:val="24"/>
        </w:rPr>
        <w:t xml:space="preserve"> </w:t>
      </w:r>
      <w:r w:rsidRPr="000C7CA6">
        <w:rPr>
          <w:rFonts w:ascii="Times New Roman" w:eastAsia="华文中宋" w:hAnsi="Times New Roman"/>
          <w:sz w:val="24"/>
        </w:rPr>
        <w:t>disciplinary Treatment (MDT) group of Gastrointestinal Oncology in First Hospital of Jilin University, and nCRT before surgical resection was recommended in accordance with NCCN guidelines. Ethical approval was obtained from the Institutional Review Board, and all participants signed informed consent before sampling.</w:t>
      </w:r>
    </w:p>
    <w:p w:rsidR="000C7CA6" w:rsidRPr="000C7CA6" w:rsidRDefault="000C7CA6" w:rsidP="005D2152">
      <w:pPr>
        <w:spacing w:line="360" w:lineRule="auto"/>
        <w:ind w:firstLineChars="100" w:firstLine="240"/>
        <w:rPr>
          <w:rFonts w:ascii="Times New Roman" w:eastAsia="华文中宋" w:hAnsi="Times New Roman"/>
          <w:sz w:val="24"/>
        </w:rPr>
      </w:pPr>
      <w:r w:rsidRPr="000C7CA6">
        <w:rPr>
          <w:rFonts w:ascii="Times New Roman" w:eastAsia="华文中宋" w:hAnsi="Times New Roman"/>
          <w:sz w:val="24"/>
        </w:rPr>
        <w:t xml:space="preserve">This study recruited 41 LARC patients who </w:t>
      </w:r>
      <w:r w:rsidR="00711FDA">
        <w:rPr>
          <w:rFonts w:ascii="Times New Roman" w:eastAsia="华文中宋" w:hAnsi="Times New Roman"/>
          <w:sz w:val="24"/>
        </w:rPr>
        <w:t>recei</w:t>
      </w:r>
      <w:bookmarkStart w:id="0" w:name="_GoBack"/>
      <w:bookmarkEnd w:id="0"/>
      <w:r w:rsidR="00711FDA">
        <w:rPr>
          <w:rFonts w:ascii="Times New Roman" w:eastAsia="华文中宋" w:hAnsi="Times New Roman"/>
          <w:sz w:val="24"/>
        </w:rPr>
        <w:t>ved</w:t>
      </w:r>
      <w:r w:rsidRPr="000C7CA6">
        <w:rPr>
          <w:rFonts w:ascii="Times New Roman" w:eastAsia="华文中宋" w:hAnsi="Times New Roman"/>
          <w:sz w:val="24"/>
        </w:rPr>
        <w:t xml:space="preserve"> preoperative nCRT in the Radiotherapy Department of the First Hospital of Jilin University from June 2018 to April 2021. Patients were excluded if they had used any antibiotics, probiotics, prebiotics, immune-suppressants or hormones, had distant metastasis and immune system diseases. Finally, 35 qualified patients were selected for research. In addition, we also chose 14 healthy donors who lived together with the patient and had a similar diet. All collected fecal samples were immediately stored at -80 ° C for subsequent 16</w:t>
      </w:r>
      <w:r w:rsidRPr="00096A86">
        <w:rPr>
          <w:rFonts w:ascii="Times New Roman" w:eastAsia="华文中宋" w:hAnsi="Times New Roman"/>
          <w:i/>
          <w:sz w:val="24"/>
        </w:rPr>
        <w:t>S</w:t>
      </w:r>
      <w:r w:rsidRPr="000C7CA6">
        <w:rPr>
          <w:rFonts w:ascii="Times New Roman" w:eastAsia="华文中宋" w:hAnsi="Times New Roman"/>
          <w:sz w:val="24"/>
        </w:rPr>
        <w:t xml:space="preserve"> rRNA sequencing.</w:t>
      </w:r>
    </w:p>
    <w:p w:rsidR="000C7CA6" w:rsidRPr="000C7CA6" w:rsidRDefault="000C7CA6" w:rsidP="005D2152">
      <w:pPr>
        <w:spacing w:line="360" w:lineRule="auto"/>
        <w:ind w:firstLineChars="100" w:firstLine="240"/>
        <w:rPr>
          <w:rFonts w:ascii="Times New Roman" w:eastAsia="华文中宋" w:hAnsi="Times New Roman"/>
          <w:sz w:val="24"/>
        </w:rPr>
      </w:pPr>
      <w:r w:rsidRPr="000C7CA6">
        <w:rPr>
          <w:rFonts w:ascii="Times New Roman" w:eastAsia="华文中宋" w:hAnsi="Times New Roman"/>
          <w:sz w:val="24"/>
        </w:rPr>
        <w:t xml:space="preserve">All patients underwent surgery 6-8 weeks after nCRT. Then, the patients were divided into </w:t>
      </w:r>
      <w:r w:rsidRPr="00096A86">
        <w:rPr>
          <w:rFonts w:ascii="Times New Roman" w:eastAsia="华文中宋" w:hAnsi="Times New Roman"/>
          <w:i/>
          <w:sz w:val="24"/>
        </w:rPr>
        <w:t>Sensitive</w:t>
      </w:r>
      <w:r w:rsidRPr="000C7CA6">
        <w:rPr>
          <w:rFonts w:ascii="Times New Roman" w:eastAsia="华文中宋" w:hAnsi="Times New Roman"/>
          <w:sz w:val="24"/>
        </w:rPr>
        <w:t xml:space="preserve"> group (TRG 0~1) and </w:t>
      </w:r>
      <w:r w:rsidRPr="00096A86">
        <w:rPr>
          <w:rFonts w:ascii="Times New Roman" w:eastAsia="华文中宋" w:hAnsi="Times New Roman"/>
          <w:i/>
          <w:sz w:val="24"/>
        </w:rPr>
        <w:t>Resistant</w:t>
      </w:r>
      <w:r w:rsidRPr="000C7CA6">
        <w:rPr>
          <w:rFonts w:ascii="Times New Roman" w:eastAsia="华文中宋" w:hAnsi="Times New Roman"/>
          <w:sz w:val="24"/>
        </w:rPr>
        <w:t xml:space="preserve"> group (TRG 2~3) according to the AJCC 8.0 TRG classification.</w:t>
      </w:r>
    </w:p>
    <w:p w:rsidR="000C7CA6" w:rsidRPr="005D2152" w:rsidRDefault="000C7CA6" w:rsidP="005D2152">
      <w:pPr>
        <w:pStyle w:val="a3"/>
        <w:numPr>
          <w:ilvl w:val="0"/>
          <w:numId w:val="4"/>
        </w:numPr>
        <w:spacing w:line="360" w:lineRule="auto"/>
        <w:ind w:firstLineChars="0"/>
        <w:rPr>
          <w:rFonts w:ascii="Times New Roman" w:eastAsia="华文中宋" w:hAnsi="Times New Roman"/>
          <w:sz w:val="24"/>
        </w:rPr>
      </w:pPr>
      <w:r w:rsidRPr="005D2152">
        <w:rPr>
          <w:rFonts w:ascii="Times New Roman" w:eastAsia="宋体" w:hAnsi="Times New Roman"/>
          <w:b/>
          <w:sz w:val="24"/>
        </w:rPr>
        <w:t>Genom</w:t>
      </w:r>
      <w:r w:rsidRPr="005D2152">
        <w:rPr>
          <w:rFonts w:ascii="Times New Roman" w:eastAsia="宋体" w:hAnsi="Times New Roman" w:hint="eastAsia"/>
          <w:b/>
          <w:sz w:val="24"/>
        </w:rPr>
        <w:t>ics</w:t>
      </w:r>
      <w:r w:rsidRPr="005D2152">
        <w:rPr>
          <w:rFonts w:ascii="Times New Roman" w:eastAsia="宋体" w:hAnsi="Times New Roman"/>
          <w:b/>
          <w:sz w:val="24"/>
        </w:rPr>
        <w:t xml:space="preserve"> DNA extraction, PCR amplification and 16</w:t>
      </w:r>
      <w:r w:rsidRPr="005D2152">
        <w:rPr>
          <w:rFonts w:ascii="Times New Roman" w:eastAsia="宋体" w:hAnsi="Times New Roman"/>
          <w:b/>
          <w:i/>
          <w:sz w:val="24"/>
        </w:rPr>
        <w:t>S</w:t>
      </w:r>
      <w:r w:rsidRPr="005D2152">
        <w:rPr>
          <w:rFonts w:ascii="Times New Roman" w:eastAsia="宋体" w:hAnsi="Times New Roman"/>
          <w:b/>
          <w:sz w:val="24"/>
        </w:rPr>
        <w:t xml:space="preserve"> rRNA sequencing</w:t>
      </w:r>
    </w:p>
    <w:p w:rsidR="000C7CA6" w:rsidRPr="000C7CA6" w:rsidRDefault="000C7CA6" w:rsidP="005D2152">
      <w:pPr>
        <w:spacing w:line="360" w:lineRule="auto"/>
        <w:ind w:firstLineChars="100" w:firstLine="240"/>
        <w:rPr>
          <w:rFonts w:ascii="Times New Roman" w:eastAsia="华文中宋" w:hAnsi="Times New Roman"/>
          <w:sz w:val="24"/>
        </w:rPr>
      </w:pPr>
      <w:r w:rsidRPr="000C7CA6">
        <w:rPr>
          <w:rFonts w:ascii="Times New Roman" w:eastAsia="华文中宋" w:hAnsi="Times New Roman"/>
          <w:sz w:val="24"/>
        </w:rPr>
        <w:t>DNA extraction, PCR amplification and 16</w:t>
      </w:r>
      <w:r w:rsidRPr="00096A86">
        <w:rPr>
          <w:rFonts w:ascii="Times New Roman" w:eastAsia="华文中宋" w:hAnsi="Times New Roman"/>
          <w:i/>
          <w:sz w:val="24"/>
        </w:rPr>
        <w:t>S</w:t>
      </w:r>
      <w:r w:rsidRPr="000C7CA6">
        <w:rPr>
          <w:rFonts w:ascii="Times New Roman" w:eastAsia="华文中宋" w:hAnsi="Times New Roman"/>
          <w:sz w:val="24"/>
        </w:rPr>
        <w:t xml:space="preserve"> rRNA sequencing were assisted by BGI (Shenzhen, China). In order to amplify V3-V4 of bacterial 16</w:t>
      </w:r>
      <w:r w:rsidRPr="00096A86">
        <w:rPr>
          <w:rFonts w:ascii="Times New Roman" w:eastAsia="华文中宋" w:hAnsi="Times New Roman"/>
          <w:i/>
          <w:sz w:val="24"/>
        </w:rPr>
        <w:t>S</w:t>
      </w:r>
      <w:r w:rsidRPr="000C7CA6">
        <w:rPr>
          <w:rFonts w:ascii="Times New Roman" w:eastAsia="华文中宋" w:hAnsi="Times New Roman"/>
          <w:sz w:val="24"/>
        </w:rPr>
        <w:t xml:space="preserve"> rRNA hypervariable region, degenerate PCR primers 341F and 806R were used for amplification. The primers were tagged with Illumina adapters, pad and linker subsequences. The reaction system consisted of 30ng template, fusion PCR primer and PCR master mix. PCR cycling conditions were as follows: initial denaturation at 94℃ for 3 minutes, 30 cycles of denaturation at 94℃ for 30 seconds, annealing at 56℃ for 45 seconds, extension at </w:t>
      </w:r>
      <w:r w:rsidRPr="000C7CA6">
        <w:rPr>
          <w:rFonts w:ascii="Times New Roman" w:eastAsia="华文中宋" w:hAnsi="Times New Roman"/>
          <w:sz w:val="24"/>
        </w:rPr>
        <w:lastRenderedPageBreak/>
        <w:t>72℃ for 45 seconds, and final extension at 72℃ for 10 min. AMPure XP beads were used to purify PCR amplification products and dissolve them in the Elution Buffer. Labels were attached to complete the library construction. Agilent 2100 Bioanalyzer</w:t>
      </w:r>
      <w:r w:rsidRPr="000C7CA6">
        <w:rPr>
          <w:rFonts w:ascii="Times New Roman" w:eastAsia="华文中宋" w:hAnsi="Times New Roman"/>
          <w:sz w:val="24"/>
        </w:rPr>
        <w:t>（</w:t>
      </w:r>
      <w:r w:rsidRPr="000C7CA6">
        <w:rPr>
          <w:rFonts w:ascii="Times New Roman" w:eastAsia="华文中宋" w:hAnsi="Times New Roman"/>
          <w:sz w:val="24"/>
        </w:rPr>
        <w:t>Agilent, USA</w:t>
      </w:r>
      <w:r w:rsidRPr="000C7CA6">
        <w:rPr>
          <w:rFonts w:ascii="Times New Roman" w:eastAsia="华文中宋" w:hAnsi="Times New Roman"/>
          <w:sz w:val="24"/>
        </w:rPr>
        <w:t>）</w:t>
      </w:r>
      <w:r w:rsidRPr="000C7CA6">
        <w:rPr>
          <w:rFonts w:ascii="Times New Roman" w:eastAsia="华文中宋" w:hAnsi="Times New Roman"/>
          <w:sz w:val="24"/>
        </w:rPr>
        <w:t xml:space="preserve">was used to detect the fragment range and concentration of the library. The validated libraries were used for sequencing on Illumina MiSeq platform (BGI, Shenzhen, China), and generating 2 </w:t>
      </w:r>
      <w:r w:rsidR="00096A86" w:rsidRPr="000C7CA6">
        <w:rPr>
          <w:rFonts w:ascii="Times New Roman" w:eastAsia="华文中宋" w:hAnsi="Times New Roman"/>
          <w:sz w:val="24"/>
        </w:rPr>
        <w:t>×</w:t>
      </w:r>
      <w:r w:rsidRPr="000C7CA6">
        <w:rPr>
          <w:rFonts w:ascii="Times New Roman" w:eastAsia="华文中宋" w:hAnsi="Times New Roman"/>
          <w:sz w:val="24"/>
        </w:rPr>
        <w:t xml:space="preserve"> 300 bp paired-end reads.</w:t>
      </w:r>
    </w:p>
    <w:p w:rsidR="000C7CA6" w:rsidRPr="005D2152" w:rsidRDefault="000C7CA6" w:rsidP="005D2152">
      <w:pPr>
        <w:pStyle w:val="a3"/>
        <w:numPr>
          <w:ilvl w:val="0"/>
          <w:numId w:val="4"/>
        </w:numPr>
        <w:spacing w:line="360" w:lineRule="auto"/>
        <w:ind w:firstLineChars="0"/>
        <w:rPr>
          <w:rFonts w:ascii="Times New Roman" w:eastAsia="华文中宋" w:hAnsi="Times New Roman"/>
          <w:sz w:val="24"/>
        </w:rPr>
      </w:pPr>
      <w:r w:rsidRPr="005D2152">
        <w:rPr>
          <w:rFonts w:ascii="Times New Roman" w:eastAsia="宋体" w:hAnsi="Times New Roman"/>
          <w:b/>
          <w:sz w:val="24"/>
        </w:rPr>
        <w:t>Bioinformatic</w:t>
      </w:r>
      <w:r w:rsidRPr="005D2152">
        <w:rPr>
          <w:rFonts w:ascii="Times New Roman" w:eastAsia="宋体" w:hAnsi="Times New Roman" w:hint="eastAsia"/>
          <w:b/>
          <w:sz w:val="24"/>
        </w:rPr>
        <w:t>s</w:t>
      </w:r>
      <w:r w:rsidRPr="005D2152">
        <w:rPr>
          <w:rFonts w:ascii="Times New Roman" w:eastAsia="宋体" w:hAnsi="Times New Roman"/>
          <w:b/>
          <w:sz w:val="24"/>
        </w:rPr>
        <w:t xml:space="preserve"> and statistics analysis</w:t>
      </w:r>
    </w:p>
    <w:p w:rsidR="000C7CA6" w:rsidRPr="000C7CA6" w:rsidRDefault="000C7CA6" w:rsidP="005D2152">
      <w:pPr>
        <w:spacing w:line="360" w:lineRule="auto"/>
        <w:ind w:firstLineChars="100" w:firstLine="240"/>
        <w:rPr>
          <w:rFonts w:ascii="Times New Roman" w:eastAsia="华文中宋" w:hAnsi="Times New Roman"/>
          <w:sz w:val="24"/>
        </w:rPr>
      </w:pPr>
      <w:r w:rsidRPr="000C7CA6">
        <w:rPr>
          <w:rFonts w:ascii="Times New Roman" w:eastAsia="华文中宋" w:hAnsi="Times New Roman"/>
          <w:sz w:val="24"/>
        </w:rPr>
        <w:t>In order to obtain clean data, raw reads were filtered to remove low-quality and ambiguous bases and adaptors, and then paired-end reads were assembled into a sequence using Fast Length Adjustment of Short reads program (FLASH, v1.2.11) to get the tags in hypervariable region. The tags were clustered into OTUs with a cutoff value of 97% by the UPARSE software (v7 .0.1090) and chimera sequences were compared with the Gold database by the UCHIME (v4.2.40) to detect. Next, OTU representative sequences were taxonomically classified using Ribosomal Database Project (RDP) Classifier v.2.2 with a minimum confidence threshold of 0.6 The USEARCH global was used to compare all Tags back to OTU to get the OTU abundance statistics table of each sample.</w:t>
      </w:r>
    </w:p>
    <w:p w:rsidR="000C7CA6" w:rsidRPr="000C7CA6" w:rsidRDefault="000C7CA6" w:rsidP="005D2152">
      <w:pPr>
        <w:spacing w:line="360" w:lineRule="auto"/>
        <w:ind w:firstLineChars="100" w:firstLine="240"/>
        <w:rPr>
          <w:rFonts w:ascii="Times New Roman" w:eastAsia="华文中宋" w:hAnsi="Times New Roman"/>
          <w:sz w:val="24"/>
        </w:rPr>
      </w:pPr>
      <w:r w:rsidRPr="000C7CA6">
        <w:rPr>
          <w:rFonts w:ascii="Times New Roman" w:eastAsia="华文中宋" w:hAnsi="Times New Roman"/>
          <w:sz w:val="24"/>
        </w:rPr>
        <w:t xml:space="preserve">The species accumulation curve was drawn with R package version 3.2.1 to judge whether the sample was sufficient. β-diversity were estimated by QIIME (v1.8.0) at the OTUs-level. Partial least-squares discrimination analysis (PLS-DA) was performed by R package mixOmics. Weighted </w:t>
      </w:r>
      <w:r w:rsidRPr="00096A86">
        <w:rPr>
          <w:rFonts w:ascii="Times New Roman" w:eastAsia="华文中宋" w:hAnsi="Times New Roman"/>
          <w:i/>
          <w:sz w:val="24"/>
        </w:rPr>
        <w:t>UniFac</w:t>
      </w:r>
      <w:r w:rsidRPr="000C7CA6">
        <w:rPr>
          <w:rFonts w:ascii="Times New Roman" w:eastAsia="华文中宋" w:hAnsi="Times New Roman"/>
          <w:sz w:val="24"/>
        </w:rPr>
        <w:t xml:space="preserve"> distance and unweighted </w:t>
      </w:r>
      <w:r w:rsidRPr="00096A86">
        <w:rPr>
          <w:rFonts w:ascii="Times New Roman" w:eastAsia="华文中宋" w:hAnsi="Times New Roman"/>
          <w:i/>
          <w:sz w:val="24"/>
        </w:rPr>
        <w:t>UniFac</w:t>
      </w:r>
      <w:r w:rsidRPr="000C7CA6">
        <w:rPr>
          <w:rFonts w:ascii="Times New Roman" w:eastAsia="华文中宋" w:hAnsi="Times New Roman"/>
          <w:sz w:val="24"/>
        </w:rPr>
        <w:t xml:space="preserve"> distance were calculated for the β-diversity among different groups. Bar plot of different classification levels was plotted with R package v3.4.1. To analyze the discriminations between group</w:t>
      </w:r>
      <w:r w:rsidR="00096A86">
        <w:rPr>
          <w:rFonts w:ascii="Times New Roman" w:eastAsia="华文中宋" w:hAnsi="Times New Roman"/>
          <w:sz w:val="24"/>
        </w:rPr>
        <w:t>s, R (v</w:t>
      </w:r>
      <w:r w:rsidRPr="000C7CA6">
        <w:rPr>
          <w:rFonts w:ascii="Times New Roman" w:eastAsia="华文中宋" w:hAnsi="Times New Roman"/>
          <w:sz w:val="24"/>
        </w:rPr>
        <w:t xml:space="preserve">3.4.1) software were used. Via the Wilcox test, the </w:t>
      </w:r>
      <w:r w:rsidRPr="00096A86">
        <w:rPr>
          <w:rFonts w:ascii="Times New Roman" w:eastAsia="华文中宋" w:hAnsi="Times New Roman"/>
          <w:i/>
          <w:sz w:val="24"/>
        </w:rPr>
        <w:t>P</w:t>
      </w:r>
      <w:r w:rsidR="00096A86">
        <w:rPr>
          <w:rFonts w:ascii="Times New Roman" w:eastAsia="华文中宋" w:hAnsi="Times New Roman"/>
          <w:sz w:val="24"/>
        </w:rPr>
        <w:t xml:space="preserve"> </w:t>
      </w:r>
      <w:r w:rsidRPr="000C7CA6">
        <w:rPr>
          <w:rFonts w:ascii="Times New Roman" w:eastAsia="华文中宋" w:hAnsi="Times New Roman"/>
          <w:sz w:val="24"/>
        </w:rPr>
        <w:t xml:space="preserve">value and FDR value were calculated to find out significant discriminating species between different groups (P &lt; 0.05). The cluster of Linear Discriminant Analysis (LDA) effect size (LEfSe) or LDA analysis was conducted by LEfSe. Cytoscape shows the correlation among species, samples and sample classification from a visual perspective. Species network diagram was used to showing the correlation between species based </w:t>
      </w:r>
      <w:r w:rsidRPr="000C7CA6">
        <w:rPr>
          <w:rFonts w:ascii="Times New Roman" w:eastAsia="华文中宋" w:hAnsi="Times New Roman"/>
          <w:sz w:val="24"/>
        </w:rPr>
        <w:lastRenderedPageBreak/>
        <w:t>on species abundance, reflecting the strength interaction, and further explaining the formation mechanism of phenotypic differences between samples.</w:t>
      </w:r>
    </w:p>
    <w:p w:rsidR="000C7CA6" w:rsidRPr="000C7CA6" w:rsidRDefault="000C7CA6" w:rsidP="000C7CA6">
      <w:pPr>
        <w:spacing w:line="360" w:lineRule="auto"/>
        <w:ind w:firstLineChars="200" w:firstLine="480"/>
        <w:rPr>
          <w:rFonts w:ascii="Times New Roman" w:eastAsia="华文中宋" w:hAnsi="Times New Roman"/>
          <w:sz w:val="24"/>
        </w:rPr>
      </w:pPr>
    </w:p>
    <w:sectPr w:rsidR="000C7CA6" w:rsidRPr="000C7C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F7E" w:rsidRDefault="003D2F7E" w:rsidP="00096A86">
      <w:r>
        <w:separator/>
      </w:r>
    </w:p>
  </w:endnote>
  <w:endnote w:type="continuationSeparator" w:id="0">
    <w:p w:rsidR="003D2F7E" w:rsidRDefault="003D2F7E" w:rsidP="00096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F7E" w:rsidRDefault="003D2F7E" w:rsidP="00096A86">
      <w:r>
        <w:separator/>
      </w:r>
    </w:p>
  </w:footnote>
  <w:footnote w:type="continuationSeparator" w:id="0">
    <w:p w:rsidR="003D2F7E" w:rsidRDefault="003D2F7E" w:rsidP="00096A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B016F"/>
    <w:multiLevelType w:val="hybridMultilevel"/>
    <w:tmpl w:val="A508A670"/>
    <w:lvl w:ilvl="0" w:tplc="9940A3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EE052AB"/>
    <w:multiLevelType w:val="multilevel"/>
    <w:tmpl w:val="35044674"/>
    <w:lvl w:ilvl="0">
      <w:start w:val="1"/>
      <w:numFmt w:val="decimal"/>
      <w:lvlText w:val="%1."/>
      <w:lvlJc w:val="left"/>
      <w:pPr>
        <w:ind w:left="802" w:hanging="360"/>
      </w:pPr>
      <w:rPr>
        <w:rFonts w:eastAsia="宋体" w:hint="default"/>
        <w:b/>
        <w:sz w:val="22"/>
      </w:rPr>
    </w:lvl>
    <w:lvl w:ilvl="1">
      <w:start w:val="1"/>
      <w:numFmt w:val="decimal"/>
      <w:isLgl/>
      <w:lvlText w:val="%2."/>
      <w:lvlJc w:val="left"/>
      <w:pPr>
        <w:ind w:left="802" w:hanging="360"/>
      </w:pPr>
      <w:rPr>
        <w:rFonts w:ascii="Times New Roman" w:eastAsia="宋体" w:hAnsi="Times New Roman" w:cstheme="minorBidi"/>
        <w:b/>
        <w:sz w:val="22"/>
      </w:rPr>
    </w:lvl>
    <w:lvl w:ilvl="2">
      <w:start w:val="1"/>
      <w:numFmt w:val="decimal"/>
      <w:isLgl/>
      <w:lvlText w:val="%1.%2.%3"/>
      <w:lvlJc w:val="left"/>
      <w:pPr>
        <w:ind w:left="1162" w:hanging="720"/>
      </w:pPr>
      <w:rPr>
        <w:rFonts w:eastAsia="宋体" w:hint="default"/>
        <w:b/>
        <w:sz w:val="22"/>
      </w:rPr>
    </w:lvl>
    <w:lvl w:ilvl="3">
      <w:start w:val="1"/>
      <w:numFmt w:val="decimal"/>
      <w:isLgl/>
      <w:lvlText w:val="%1.%2.%3.%4"/>
      <w:lvlJc w:val="left"/>
      <w:pPr>
        <w:ind w:left="1162" w:hanging="720"/>
      </w:pPr>
      <w:rPr>
        <w:rFonts w:eastAsia="宋体" w:hint="default"/>
        <w:b/>
        <w:sz w:val="22"/>
      </w:rPr>
    </w:lvl>
    <w:lvl w:ilvl="4">
      <w:start w:val="1"/>
      <w:numFmt w:val="decimal"/>
      <w:isLgl/>
      <w:lvlText w:val="%1.%2.%3.%4.%5"/>
      <w:lvlJc w:val="left"/>
      <w:pPr>
        <w:ind w:left="1522" w:hanging="1080"/>
      </w:pPr>
      <w:rPr>
        <w:rFonts w:eastAsia="宋体" w:hint="default"/>
        <w:b/>
        <w:sz w:val="22"/>
      </w:rPr>
    </w:lvl>
    <w:lvl w:ilvl="5">
      <w:start w:val="1"/>
      <w:numFmt w:val="decimal"/>
      <w:isLgl/>
      <w:lvlText w:val="%1.%2.%3.%4.%5.%6"/>
      <w:lvlJc w:val="left"/>
      <w:pPr>
        <w:ind w:left="1522" w:hanging="1080"/>
      </w:pPr>
      <w:rPr>
        <w:rFonts w:eastAsia="宋体" w:hint="default"/>
        <w:b/>
        <w:sz w:val="22"/>
      </w:rPr>
    </w:lvl>
    <w:lvl w:ilvl="6">
      <w:start w:val="1"/>
      <w:numFmt w:val="decimal"/>
      <w:isLgl/>
      <w:lvlText w:val="%1.%2.%3.%4.%5.%6.%7"/>
      <w:lvlJc w:val="left"/>
      <w:pPr>
        <w:ind w:left="1882" w:hanging="1440"/>
      </w:pPr>
      <w:rPr>
        <w:rFonts w:eastAsia="宋体" w:hint="default"/>
        <w:b/>
        <w:sz w:val="22"/>
      </w:rPr>
    </w:lvl>
    <w:lvl w:ilvl="7">
      <w:start w:val="1"/>
      <w:numFmt w:val="decimal"/>
      <w:isLgl/>
      <w:lvlText w:val="%1.%2.%3.%4.%5.%6.%7.%8"/>
      <w:lvlJc w:val="left"/>
      <w:pPr>
        <w:ind w:left="1882" w:hanging="1440"/>
      </w:pPr>
      <w:rPr>
        <w:rFonts w:eastAsia="宋体" w:hint="default"/>
        <w:b/>
        <w:sz w:val="22"/>
      </w:rPr>
    </w:lvl>
    <w:lvl w:ilvl="8">
      <w:start w:val="1"/>
      <w:numFmt w:val="decimal"/>
      <w:isLgl/>
      <w:lvlText w:val="%1.%2.%3.%4.%5.%6.%7.%8.%9"/>
      <w:lvlJc w:val="left"/>
      <w:pPr>
        <w:ind w:left="2242" w:hanging="1800"/>
      </w:pPr>
      <w:rPr>
        <w:rFonts w:eastAsia="宋体" w:hint="default"/>
        <w:b/>
        <w:sz w:val="22"/>
      </w:rPr>
    </w:lvl>
  </w:abstractNum>
  <w:abstractNum w:abstractNumId="2" w15:restartNumberingAfterBreak="0">
    <w:nsid w:val="6E660E99"/>
    <w:multiLevelType w:val="multilevel"/>
    <w:tmpl w:val="4D8C55D4"/>
    <w:lvl w:ilvl="0">
      <w:start w:val="2"/>
      <w:numFmt w:val="decimal"/>
      <w:lvlText w:val="%1.0"/>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15:restartNumberingAfterBreak="0">
    <w:nsid w:val="7B9D1B8B"/>
    <w:multiLevelType w:val="hybridMultilevel"/>
    <w:tmpl w:val="DF9C1196"/>
    <w:lvl w:ilvl="0" w:tplc="E5E89094">
      <w:start w:val="1"/>
      <w:numFmt w:val="decimal"/>
      <w:lvlText w:val="%1."/>
      <w:lvlJc w:val="left"/>
      <w:pPr>
        <w:ind w:left="360" w:hanging="360"/>
      </w:pPr>
      <w:rPr>
        <w:rFonts w:eastAsia="宋体"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CA6"/>
    <w:rsid w:val="00096A86"/>
    <w:rsid w:val="000A112A"/>
    <w:rsid w:val="000C7CA6"/>
    <w:rsid w:val="003255BA"/>
    <w:rsid w:val="003D2F7E"/>
    <w:rsid w:val="005D2152"/>
    <w:rsid w:val="00711FDA"/>
    <w:rsid w:val="007908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F251ED"/>
  <w15:chartTrackingRefBased/>
  <w15:docId w15:val="{AB4FBC1E-3FB4-4150-8D62-D76680E11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7CA6"/>
    <w:pPr>
      <w:ind w:firstLineChars="200" w:firstLine="420"/>
    </w:pPr>
  </w:style>
  <w:style w:type="paragraph" w:styleId="a4">
    <w:name w:val="header"/>
    <w:basedOn w:val="a"/>
    <w:link w:val="a5"/>
    <w:uiPriority w:val="99"/>
    <w:unhideWhenUsed/>
    <w:rsid w:val="00096A8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096A86"/>
    <w:rPr>
      <w:sz w:val="18"/>
      <w:szCs w:val="18"/>
    </w:rPr>
  </w:style>
  <w:style w:type="paragraph" w:styleId="a6">
    <w:name w:val="footer"/>
    <w:basedOn w:val="a"/>
    <w:link w:val="a7"/>
    <w:uiPriority w:val="99"/>
    <w:unhideWhenUsed/>
    <w:rsid w:val="00096A86"/>
    <w:pPr>
      <w:tabs>
        <w:tab w:val="center" w:pos="4153"/>
        <w:tab w:val="right" w:pos="8306"/>
      </w:tabs>
      <w:snapToGrid w:val="0"/>
      <w:jc w:val="left"/>
    </w:pPr>
    <w:rPr>
      <w:sz w:val="18"/>
      <w:szCs w:val="18"/>
    </w:rPr>
  </w:style>
  <w:style w:type="character" w:customStyle="1" w:styleId="a7">
    <w:name w:val="页脚 字符"/>
    <w:basedOn w:val="a0"/>
    <w:link w:val="a6"/>
    <w:uiPriority w:val="99"/>
    <w:rsid w:val="00096A8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660</Words>
  <Characters>3763</Characters>
  <Application>Microsoft Office Word</Application>
  <DocSecurity>0</DocSecurity>
  <Lines>31</Lines>
  <Paragraphs>8</Paragraphs>
  <ScaleCrop>false</ScaleCrop>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HUAWEI</cp:lastModifiedBy>
  <cp:revision>4</cp:revision>
  <dcterms:created xsi:type="dcterms:W3CDTF">2022-12-01T15:49:00Z</dcterms:created>
  <dcterms:modified xsi:type="dcterms:W3CDTF">2022-12-02T16:56:00Z</dcterms:modified>
</cp:coreProperties>
</file>