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B7897" w14:textId="77777777" w:rsidR="00B11D5F" w:rsidRPr="0043699B" w:rsidRDefault="00B11D5F" w:rsidP="00B11D5F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43699B">
        <w:rPr>
          <w:rFonts w:ascii="Arial" w:hAnsi="Arial" w:cs="Arial"/>
          <w:b/>
          <w:bCs/>
          <w:sz w:val="18"/>
          <w:szCs w:val="18"/>
        </w:rPr>
        <w:t xml:space="preserve">Table 1 Characteristics of the included studies regarding the frailty and clinical outcomes of COPD  </w:t>
      </w:r>
    </w:p>
    <w:tbl>
      <w:tblPr>
        <w:tblStyle w:val="a3"/>
        <w:tblW w:w="1573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993"/>
        <w:gridCol w:w="1559"/>
        <w:gridCol w:w="850"/>
        <w:gridCol w:w="2835"/>
        <w:gridCol w:w="1134"/>
        <w:gridCol w:w="993"/>
        <w:gridCol w:w="1559"/>
        <w:gridCol w:w="1417"/>
        <w:gridCol w:w="1276"/>
        <w:gridCol w:w="709"/>
      </w:tblGrid>
      <w:tr w:rsidR="00B11D5F" w:rsidRPr="0043699B" w14:paraId="2DB40D13" w14:textId="77777777" w:rsidTr="00200435">
        <w:trPr>
          <w:trHeight w:val="750"/>
        </w:trPr>
        <w:tc>
          <w:tcPr>
            <w:tcW w:w="1560" w:type="dxa"/>
            <w:hideMark/>
          </w:tcPr>
          <w:p w14:paraId="707E237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First author/Year</w:t>
            </w:r>
          </w:p>
        </w:tc>
        <w:tc>
          <w:tcPr>
            <w:tcW w:w="850" w:type="dxa"/>
            <w:hideMark/>
          </w:tcPr>
          <w:p w14:paraId="3223EB7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Country</w:t>
            </w:r>
          </w:p>
        </w:tc>
        <w:tc>
          <w:tcPr>
            <w:tcW w:w="993" w:type="dxa"/>
            <w:hideMark/>
          </w:tcPr>
          <w:p w14:paraId="270C2C1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Design</w:t>
            </w:r>
          </w:p>
        </w:tc>
        <w:tc>
          <w:tcPr>
            <w:tcW w:w="1559" w:type="dxa"/>
            <w:hideMark/>
          </w:tcPr>
          <w:p w14:paraId="1904204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Settings</w:t>
            </w:r>
          </w:p>
        </w:tc>
        <w:tc>
          <w:tcPr>
            <w:tcW w:w="850" w:type="dxa"/>
            <w:hideMark/>
          </w:tcPr>
          <w:p w14:paraId="4E565CC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Sample size</w:t>
            </w:r>
          </w:p>
        </w:tc>
        <w:tc>
          <w:tcPr>
            <w:tcW w:w="2835" w:type="dxa"/>
            <w:hideMark/>
          </w:tcPr>
          <w:p w14:paraId="6231AE6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 Frailty measure</w:t>
            </w:r>
          </w:p>
        </w:tc>
        <w:tc>
          <w:tcPr>
            <w:tcW w:w="1134" w:type="dxa"/>
            <w:hideMark/>
          </w:tcPr>
          <w:p w14:paraId="26FCB88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Age</w:t>
            </w:r>
            <w:r w:rsidRPr="0043699B">
              <w:rPr>
                <w:rFonts w:ascii="Arial" w:hAnsi="Arial" w:cs="Arial"/>
                <w:sz w:val="18"/>
                <w:szCs w:val="18"/>
              </w:rPr>
              <w:t>（</w:t>
            </w:r>
            <w:r w:rsidRPr="0043699B">
              <w:rPr>
                <w:rFonts w:ascii="Arial" w:hAnsi="Arial" w:cs="Arial"/>
                <w:sz w:val="18"/>
                <w:szCs w:val="18"/>
              </w:rPr>
              <w:t>year</w:t>
            </w:r>
            <w:r w:rsidRPr="0043699B">
              <w:rPr>
                <w:rFonts w:ascii="Arial" w:hAnsi="Arial" w:cs="Arial"/>
                <w:sz w:val="18"/>
                <w:szCs w:val="18"/>
              </w:rPr>
              <w:t>）</w:t>
            </w:r>
          </w:p>
        </w:tc>
        <w:tc>
          <w:tcPr>
            <w:tcW w:w="993" w:type="dxa"/>
            <w:hideMark/>
          </w:tcPr>
          <w:p w14:paraId="483EF5D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Male</w:t>
            </w:r>
            <w:r w:rsidRPr="0043699B">
              <w:rPr>
                <w:rFonts w:ascii="Arial" w:hAnsi="Arial" w:cs="Arial"/>
                <w:sz w:val="18"/>
                <w:szCs w:val="18"/>
              </w:rPr>
              <w:t>（</w:t>
            </w:r>
            <w:r>
              <w:rPr>
                <w:rFonts w:ascii="Arial" w:hAnsi="Arial" w:cs="Arial" w:hint="eastAsia"/>
                <w:sz w:val="18"/>
                <w:szCs w:val="18"/>
              </w:rPr>
              <w:t>N</w:t>
            </w:r>
            <w:r w:rsidRPr="0043699B">
              <w:rPr>
                <w:rFonts w:ascii="Arial" w:hAnsi="Arial" w:cs="Arial"/>
                <w:sz w:val="18"/>
                <w:szCs w:val="18"/>
              </w:rPr>
              <w:t>，</w:t>
            </w:r>
            <w:r w:rsidRPr="0043699B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1559" w:type="dxa"/>
            <w:hideMark/>
          </w:tcPr>
          <w:p w14:paraId="326A362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Smoking status</w:t>
            </w:r>
            <w:r w:rsidRPr="0043699B">
              <w:rPr>
                <w:rFonts w:ascii="Arial" w:hAnsi="Arial" w:cs="Arial"/>
                <w:sz w:val="18"/>
                <w:szCs w:val="18"/>
              </w:rPr>
              <w:t>（</w:t>
            </w:r>
            <w:r w:rsidRPr="0043699B">
              <w:rPr>
                <w:rFonts w:ascii="Arial" w:hAnsi="Arial" w:cs="Arial"/>
                <w:sz w:val="18"/>
                <w:szCs w:val="18"/>
              </w:rPr>
              <w:t>never/former/</w:t>
            </w: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current,</w:t>
            </w:r>
            <w:r>
              <w:rPr>
                <w:rFonts w:ascii="Arial" w:hAnsi="Arial" w:cs="Arial"/>
                <w:sz w:val="18"/>
                <w:szCs w:val="18"/>
              </w:rPr>
              <w:t>N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17" w:type="dxa"/>
            <w:hideMark/>
          </w:tcPr>
          <w:p w14:paraId="2FACA2C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GOLD</w:t>
            </w:r>
          </w:p>
          <w:p w14:paraId="0CEE7F7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(I/II/III/</w:t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IV,</w:t>
            </w:r>
            <w:r>
              <w:rPr>
                <w:rFonts w:ascii="Arial" w:hAnsi="Arial" w:cs="Arial"/>
                <w:sz w:val="18"/>
                <w:szCs w:val="18"/>
              </w:rPr>
              <w:t>N</w:t>
            </w:r>
            <w:proofErr w:type="gramEnd"/>
            <w:r w:rsidRPr="0043699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hideMark/>
          </w:tcPr>
          <w:p w14:paraId="349DE9A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Frailty </w:t>
            </w: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prevalencen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3699B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 xml:space="preserve">N, </w:t>
            </w:r>
            <w:r w:rsidRPr="0043699B">
              <w:rPr>
                <w:rFonts w:ascii="Arial" w:hAnsi="Arial" w:cs="Arial"/>
                <w:sz w:val="18"/>
                <w:szCs w:val="18"/>
              </w:rPr>
              <w:t>%)</w:t>
            </w:r>
          </w:p>
        </w:tc>
        <w:tc>
          <w:tcPr>
            <w:tcW w:w="709" w:type="dxa"/>
            <w:hideMark/>
          </w:tcPr>
          <w:p w14:paraId="29188BB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NOS</w:t>
            </w:r>
          </w:p>
        </w:tc>
      </w:tr>
      <w:tr w:rsidR="00B11D5F" w:rsidRPr="0043699B" w14:paraId="6E95455F" w14:textId="77777777" w:rsidTr="00200435">
        <w:trPr>
          <w:trHeight w:val="2170"/>
        </w:trPr>
        <w:tc>
          <w:tcPr>
            <w:tcW w:w="1560" w:type="dxa"/>
            <w:hideMark/>
          </w:tcPr>
          <w:p w14:paraId="6F664A7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Finamore 2021</w:t>
            </w:r>
          </w:p>
        </w:tc>
        <w:tc>
          <w:tcPr>
            <w:tcW w:w="850" w:type="dxa"/>
            <w:hideMark/>
          </w:tcPr>
          <w:p w14:paraId="4243E31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Italy</w:t>
            </w:r>
          </w:p>
        </w:tc>
        <w:tc>
          <w:tcPr>
            <w:tcW w:w="993" w:type="dxa"/>
            <w:hideMark/>
          </w:tcPr>
          <w:p w14:paraId="416CC3C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Clinical trial</w:t>
            </w:r>
          </w:p>
        </w:tc>
        <w:tc>
          <w:tcPr>
            <w:tcW w:w="1559" w:type="dxa"/>
            <w:hideMark/>
          </w:tcPr>
          <w:p w14:paraId="049E6C0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Patients with stable COPD (GOLD I-III)</w:t>
            </w:r>
          </w:p>
        </w:tc>
        <w:tc>
          <w:tcPr>
            <w:tcW w:w="850" w:type="dxa"/>
            <w:hideMark/>
          </w:tcPr>
          <w:p w14:paraId="4CA302C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2835" w:type="dxa"/>
            <w:hideMark/>
          </w:tcPr>
          <w:p w14:paraId="24ADD1D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PRISMA-7: score equal or above 3 indicates individuals with an increased risk to be frail; 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  <w:t>TUG: A cutoff of 10 s has demonstrated to be sensitive in discriminating frail individuals</w:t>
            </w:r>
          </w:p>
        </w:tc>
        <w:tc>
          <w:tcPr>
            <w:tcW w:w="1134" w:type="dxa"/>
            <w:hideMark/>
          </w:tcPr>
          <w:p w14:paraId="3B5857F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73±8</w:t>
            </w:r>
          </w:p>
        </w:tc>
        <w:tc>
          <w:tcPr>
            <w:tcW w:w="993" w:type="dxa"/>
            <w:hideMark/>
          </w:tcPr>
          <w:p w14:paraId="473341F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26,49%</w:t>
            </w:r>
          </w:p>
        </w:tc>
        <w:tc>
          <w:tcPr>
            <w:tcW w:w="1559" w:type="dxa"/>
            <w:hideMark/>
          </w:tcPr>
          <w:p w14:paraId="1475C8F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05AC773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1/35/17/0</w:t>
            </w:r>
          </w:p>
        </w:tc>
        <w:tc>
          <w:tcPr>
            <w:tcW w:w="1276" w:type="dxa"/>
            <w:hideMark/>
          </w:tcPr>
          <w:p w14:paraId="446642A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38, 71.70%</w:t>
            </w:r>
          </w:p>
        </w:tc>
        <w:tc>
          <w:tcPr>
            <w:tcW w:w="709" w:type="dxa"/>
            <w:hideMark/>
          </w:tcPr>
          <w:p w14:paraId="22172FE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146DE151" w14:textId="77777777" w:rsidTr="00200435">
        <w:trPr>
          <w:trHeight w:val="1550"/>
        </w:trPr>
        <w:tc>
          <w:tcPr>
            <w:tcW w:w="1560" w:type="dxa"/>
            <w:hideMark/>
          </w:tcPr>
          <w:p w14:paraId="6F933DE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Kagiali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2022</w:t>
            </w:r>
          </w:p>
        </w:tc>
        <w:tc>
          <w:tcPr>
            <w:tcW w:w="850" w:type="dxa"/>
            <w:hideMark/>
          </w:tcPr>
          <w:p w14:paraId="7EBAB27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Turkey</w:t>
            </w:r>
          </w:p>
        </w:tc>
        <w:tc>
          <w:tcPr>
            <w:tcW w:w="993" w:type="dxa"/>
            <w:hideMark/>
          </w:tcPr>
          <w:p w14:paraId="5B5C65B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Prospective </w:t>
            </w:r>
          </w:p>
        </w:tc>
        <w:tc>
          <w:tcPr>
            <w:tcW w:w="1559" w:type="dxa"/>
            <w:hideMark/>
          </w:tcPr>
          <w:p w14:paraId="02B67D5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Patients with </w:t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stable  COPD</w:t>
            </w:r>
            <w:proofErr w:type="gramEnd"/>
          </w:p>
        </w:tc>
        <w:tc>
          <w:tcPr>
            <w:tcW w:w="850" w:type="dxa"/>
            <w:hideMark/>
          </w:tcPr>
          <w:p w14:paraId="2DF3290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2835" w:type="dxa"/>
            <w:hideMark/>
          </w:tcPr>
          <w:p w14:paraId="6478E04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0C402D1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Frail group: 67.35 ± 5.13;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Non-frail</w:t>
            </w:r>
            <w:proofErr w:type="gramEnd"/>
            <w:r w:rsidRPr="0043699B">
              <w:rPr>
                <w:rFonts w:ascii="Arial" w:hAnsi="Arial" w:cs="Arial"/>
                <w:sz w:val="18"/>
                <w:szCs w:val="18"/>
              </w:rPr>
              <w:t xml:space="preserve"> group: 65.11 ± 4.66  </w:t>
            </w:r>
          </w:p>
        </w:tc>
        <w:tc>
          <w:tcPr>
            <w:tcW w:w="993" w:type="dxa"/>
            <w:hideMark/>
          </w:tcPr>
          <w:p w14:paraId="150F123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38,79%</w:t>
            </w:r>
          </w:p>
        </w:tc>
        <w:tc>
          <w:tcPr>
            <w:tcW w:w="1559" w:type="dxa"/>
            <w:hideMark/>
          </w:tcPr>
          <w:p w14:paraId="7E3AA4A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2ACC020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hideMark/>
          </w:tcPr>
          <w:p w14:paraId="6F775C9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20, 41.67%</w:t>
            </w:r>
          </w:p>
        </w:tc>
        <w:tc>
          <w:tcPr>
            <w:tcW w:w="709" w:type="dxa"/>
            <w:hideMark/>
          </w:tcPr>
          <w:p w14:paraId="51285C6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4AE34C87" w14:textId="77777777" w:rsidTr="00200435">
        <w:trPr>
          <w:trHeight w:val="620"/>
        </w:trPr>
        <w:tc>
          <w:tcPr>
            <w:tcW w:w="1560" w:type="dxa"/>
            <w:hideMark/>
          </w:tcPr>
          <w:p w14:paraId="5669AA9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lastRenderedPageBreak/>
              <w:t>Kennedy 2019</w:t>
            </w:r>
          </w:p>
        </w:tc>
        <w:tc>
          <w:tcPr>
            <w:tcW w:w="850" w:type="dxa"/>
            <w:hideMark/>
          </w:tcPr>
          <w:p w14:paraId="2EC2CF6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America</w:t>
            </w:r>
          </w:p>
        </w:tc>
        <w:tc>
          <w:tcPr>
            <w:tcW w:w="993" w:type="dxa"/>
            <w:hideMark/>
          </w:tcPr>
          <w:p w14:paraId="029B8D1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Retrospective cohort </w:t>
            </w:r>
          </w:p>
        </w:tc>
        <w:tc>
          <w:tcPr>
            <w:tcW w:w="1559" w:type="dxa"/>
            <w:hideMark/>
          </w:tcPr>
          <w:p w14:paraId="2481848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Nonsmokers (abstinent &gt; 6 month) with moderate to severe COPD</w:t>
            </w:r>
          </w:p>
        </w:tc>
        <w:tc>
          <w:tcPr>
            <w:tcW w:w="850" w:type="dxa"/>
            <w:hideMark/>
          </w:tcPr>
          <w:p w14:paraId="17C6E81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886</w:t>
            </w:r>
          </w:p>
        </w:tc>
        <w:tc>
          <w:tcPr>
            <w:tcW w:w="2835" w:type="dxa"/>
            <w:hideMark/>
          </w:tcPr>
          <w:p w14:paraId="44C2CD8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005310E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67 (IQR, 63–70) </w:t>
            </w:r>
          </w:p>
        </w:tc>
        <w:tc>
          <w:tcPr>
            <w:tcW w:w="993" w:type="dxa"/>
            <w:hideMark/>
          </w:tcPr>
          <w:p w14:paraId="0DBC407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563,63.5%</w:t>
            </w:r>
          </w:p>
        </w:tc>
        <w:tc>
          <w:tcPr>
            <w:tcW w:w="1559" w:type="dxa"/>
            <w:hideMark/>
          </w:tcPr>
          <w:p w14:paraId="0A02DBB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never+former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>: 886</w:t>
            </w:r>
          </w:p>
        </w:tc>
        <w:tc>
          <w:tcPr>
            <w:tcW w:w="1417" w:type="dxa"/>
            <w:hideMark/>
          </w:tcPr>
          <w:p w14:paraId="2AB30D2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hideMark/>
          </w:tcPr>
          <w:p w14:paraId="320CFDE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57, 6.43%</w:t>
            </w:r>
          </w:p>
        </w:tc>
        <w:tc>
          <w:tcPr>
            <w:tcW w:w="709" w:type="dxa"/>
            <w:hideMark/>
          </w:tcPr>
          <w:p w14:paraId="377627D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B11D5F" w:rsidRPr="0043699B" w14:paraId="2D1A985F" w14:textId="77777777" w:rsidTr="00200435">
        <w:trPr>
          <w:trHeight w:val="1860"/>
        </w:trPr>
        <w:tc>
          <w:tcPr>
            <w:tcW w:w="1560" w:type="dxa"/>
            <w:hideMark/>
          </w:tcPr>
          <w:p w14:paraId="0CFBC6B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Luo 2021</w:t>
            </w:r>
          </w:p>
        </w:tc>
        <w:tc>
          <w:tcPr>
            <w:tcW w:w="850" w:type="dxa"/>
            <w:hideMark/>
          </w:tcPr>
          <w:p w14:paraId="32021A2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China</w:t>
            </w:r>
          </w:p>
        </w:tc>
        <w:tc>
          <w:tcPr>
            <w:tcW w:w="993" w:type="dxa"/>
            <w:hideMark/>
          </w:tcPr>
          <w:p w14:paraId="15B1A68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Prospective observational </w:t>
            </w:r>
          </w:p>
        </w:tc>
        <w:tc>
          <w:tcPr>
            <w:tcW w:w="1559" w:type="dxa"/>
            <w:noWrap/>
            <w:hideMark/>
          </w:tcPr>
          <w:p w14:paraId="5B4D6B0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Older adults (≥65) with stable COPD</w:t>
            </w:r>
          </w:p>
        </w:tc>
        <w:tc>
          <w:tcPr>
            <w:tcW w:w="850" w:type="dxa"/>
            <w:hideMark/>
          </w:tcPr>
          <w:p w14:paraId="440F759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309</w:t>
            </w:r>
          </w:p>
        </w:tc>
        <w:tc>
          <w:tcPr>
            <w:tcW w:w="2835" w:type="dxa"/>
            <w:hideMark/>
          </w:tcPr>
          <w:p w14:paraId="201EBC0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561F5B4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86 (IQR: 80–90)</w:t>
            </w:r>
          </w:p>
        </w:tc>
        <w:tc>
          <w:tcPr>
            <w:tcW w:w="993" w:type="dxa"/>
            <w:hideMark/>
          </w:tcPr>
          <w:p w14:paraId="0BFCFE9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241,78%</w:t>
            </w:r>
          </w:p>
        </w:tc>
        <w:tc>
          <w:tcPr>
            <w:tcW w:w="1559" w:type="dxa"/>
            <w:hideMark/>
          </w:tcPr>
          <w:p w14:paraId="03BEE9B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143/99/67</w:t>
            </w:r>
          </w:p>
        </w:tc>
        <w:tc>
          <w:tcPr>
            <w:tcW w:w="1417" w:type="dxa"/>
            <w:hideMark/>
          </w:tcPr>
          <w:p w14:paraId="4E19515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114/162/30/3</w:t>
            </w:r>
          </w:p>
        </w:tc>
        <w:tc>
          <w:tcPr>
            <w:tcW w:w="1276" w:type="dxa"/>
            <w:hideMark/>
          </w:tcPr>
          <w:p w14:paraId="3C538A5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154, 49.84%</w:t>
            </w:r>
          </w:p>
        </w:tc>
        <w:tc>
          <w:tcPr>
            <w:tcW w:w="709" w:type="dxa"/>
            <w:hideMark/>
          </w:tcPr>
          <w:p w14:paraId="6BEE395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B11D5F" w:rsidRPr="0043699B" w14:paraId="274C61E4" w14:textId="77777777" w:rsidTr="00200435">
        <w:trPr>
          <w:trHeight w:val="1240"/>
        </w:trPr>
        <w:tc>
          <w:tcPr>
            <w:tcW w:w="1560" w:type="dxa"/>
            <w:hideMark/>
          </w:tcPr>
          <w:p w14:paraId="70543F5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Gale 2018</w:t>
            </w:r>
          </w:p>
        </w:tc>
        <w:tc>
          <w:tcPr>
            <w:tcW w:w="850" w:type="dxa"/>
            <w:hideMark/>
          </w:tcPr>
          <w:p w14:paraId="6B0FBE3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UK</w:t>
            </w:r>
          </w:p>
        </w:tc>
        <w:tc>
          <w:tcPr>
            <w:tcW w:w="993" w:type="dxa"/>
            <w:hideMark/>
          </w:tcPr>
          <w:p w14:paraId="5601C98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hideMark/>
          </w:tcPr>
          <w:p w14:paraId="1D9E2AA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Community-based patients with stable COPD</w:t>
            </w:r>
          </w:p>
        </w:tc>
        <w:tc>
          <w:tcPr>
            <w:tcW w:w="850" w:type="dxa"/>
            <w:hideMark/>
          </w:tcPr>
          <w:p w14:paraId="57D5EE0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520</w:t>
            </w:r>
          </w:p>
        </w:tc>
        <w:tc>
          <w:tcPr>
            <w:tcW w:w="2835" w:type="dxa"/>
            <w:hideMark/>
          </w:tcPr>
          <w:p w14:paraId="45195B5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FI-GCA</w:t>
            </w:r>
          </w:p>
        </w:tc>
        <w:tc>
          <w:tcPr>
            <w:tcW w:w="1134" w:type="dxa"/>
            <w:hideMark/>
          </w:tcPr>
          <w:p w14:paraId="78D1AF1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Frail: 63.7 ± 8.2;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Non-frail</w:t>
            </w:r>
            <w:proofErr w:type="gramEnd"/>
            <w:r w:rsidRPr="0043699B">
              <w:rPr>
                <w:rFonts w:ascii="Arial" w:hAnsi="Arial" w:cs="Arial"/>
                <w:sz w:val="18"/>
                <w:szCs w:val="18"/>
              </w:rPr>
              <w:t>: 67.1 ± 7.1</w:t>
            </w:r>
          </w:p>
        </w:tc>
        <w:tc>
          <w:tcPr>
            <w:tcW w:w="993" w:type="dxa"/>
            <w:hideMark/>
          </w:tcPr>
          <w:p w14:paraId="1F36A55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270, 51.9%</w:t>
            </w:r>
          </w:p>
        </w:tc>
        <w:tc>
          <w:tcPr>
            <w:tcW w:w="1559" w:type="dxa"/>
            <w:hideMark/>
          </w:tcPr>
          <w:p w14:paraId="0E7236C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4EAB416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hideMark/>
          </w:tcPr>
          <w:p w14:paraId="1AF934E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143, 27.50%</w:t>
            </w:r>
          </w:p>
        </w:tc>
        <w:tc>
          <w:tcPr>
            <w:tcW w:w="709" w:type="dxa"/>
            <w:hideMark/>
          </w:tcPr>
          <w:p w14:paraId="65707BD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11D5F" w:rsidRPr="0043699B" w14:paraId="5008B929" w14:textId="77777777" w:rsidTr="00200435">
        <w:trPr>
          <w:trHeight w:val="310"/>
        </w:trPr>
        <w:tc>
          <w:tcPr>
            <w:tcW w:w="1560" w:type="dxa"/>
            <w:noWrap/>
            <w:hideMark/>
          </w:tcPr>
          <w:p w14:paraId="38543FC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Galizia 2011</w:t>
            </w:r>
          </w:p>
        </w:tc>
        <w:tc>
          <w:tcPr>
            <w:tcW w:w="850" w:type="dxa"/>
            <w:noWrap/>
            <w:hideMark/>
          </w:tcPr>
          <w:p w14:paraId="1320320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Italy</w:t>
            </w:r>
          </w:p>
        </w:tc>
        <w:tc>
          <w:tcPr>
            <w:tcW w:w="993" w:type="dxa"/>
            <w:noWrap/>
            <w:hideMark/>
          </w:tcPr>
          <w:p w14:paraId="552C03D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noWrap/>
            <w:hideMark/>
          </w:tcPr>
          <w:p w14:paraId="149D46E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Patients aged 65y with COPD</w:t>
            </w:r>
          </w:p>
        </w:tc>
        <w:tc>
          <w:tcPr>
            <w:tcW w:w="850" w:type="dxa"/>
            <w:noWrap/>
            <w:hideMark/>
          </w:tcPr>
          <w:p w14:paraId="70B4B01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489</w:t>
            </w:r>
          </w:p>
        </w:tc>
        <w:tc>
          <w:tcPr>
            <w:tcW w:w="2835" w:type="dxa"/>
            <w:noWrap/>
            <w:hideMark/>
          </w:tcPr>
          <w:p w14:paraId="5ED3CBA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Frailty 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3699B">
              <w:rPr>
                <w:rFonts w:ascii="Arial" w:hAnsi="Arial" w:cs="Arial"/>
                <w:sz w:val="18"/>
                <w:szCs w:val="18"/>
              </w:rPr>
              <w:t>taging system combining seven core domains of functioning: disability, mobility, cognitive function, visual function, hearing function, urinary continence, and social support.</w:t>
            </w:r>
          </w:p>
        </w:tc>
        <w:tc>
          <w:tcPr>
            <w:tcW w:w="1134" w:type="dxa"/>
            <w:noWrap/>
            <w:hideMark/>
          </w:tcPr>
          <w:p w14:paraId="7E389E2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74.9±6.3</w:t>
            </w:r>
          </w:p>
        </w:tc>
        <w:tc>
          <w:tcPr>
            <w:tcW w:w="993" w:type="dxa"/>
            <w:noWrap/>
            <w:hideMark/>
          </w:tcPr>
          <w:p w14:paraId="5D18523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268,54.8%</w:t>
            </w:r>
          </w:p>
        </w:tc>
        <w:tc>
          <w:tcPr>
            <w:tcW w:w="1559" w:type="dxa"/>
            <w:noWrap/>
            <w:hideMark/>
          </w:tcPr>
          <w:p w14:paraId="091751E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253/127/109</w:t>
            </w:r>
          </w:p>
        </w:tc>
        <w:tc>
          <w:tcPr>
            <w:tcW w:w="1417" w:type="dxa"/>
            <w:noWrap/>
            <w:hideMark/>
          </w:tcPr>
          <w:p w14:paraId="5EAE457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noWrap/>
            <w:hideMark/>
          </w:tcPr>
          <w:p w14:paraId="5EACB13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239, 48.88%</w:t>
            </w:r>
          </w:p>
        </w:tc>
        <w:tc>
          <w:tcPr>
            <w:tcW w:w="709" w:type="dxa"/>
            <w:noWrap/>
            <w:hideMark/>
          </w:tcPr>
          <w:p w14:paraId="2216640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B11D5F" w:rsidRPr="0043699B" w14:paraId="7EA78FB7" w14:textId="77777777" w:rsidTr="00200435">
        <w:trPr>
          <w:trHeight w:val="310"/>
        </w:trPr>
        <w:tc>
          <w:tcPr>
            <w:tcW w:w="1560" w:type="dxa"/>
            <w:noWrap/>
            <w:hideMark/>
          </w:tcPr>
          <w:p w14:paraId="79B4387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Gephine 2021</w:t>
            </w:r>
          </w:p>
        </w:tc>
        <w:tc>
          <w:tcPr>
            <w:tcW w:w="850" w:type="dxa"/>
            <w:noWrap/>
            <w:hideMark/>
          </w:tcPr>
          <w:p w14:paraId="11E69CD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Canada</w:t>
            </w:r>
          </w:p>
        </w:tc>
        <w:tc>
          <w:tcPr>
            <w:tcW w:w="993" w:type="dxa"/>
            <w:noWrap/>
            <w:hideMark/>
          </w:tcPr>
          <w:p w14:paraId="571B06A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Prospective observational </w:t>
            </w:r>
          </w:p>
        </w:tc>
        <w:tc>
          <w:tcPr>
            <w:tcW w:w="1559" w:type="dxa"/>
            <w:noWrap/>
            <w:hideMark/>
          </w:tcPr>
          <w:p w14:paraId="42DBBAE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43699B">
              <w:rPr>
                <w:rFonts w:ascii="Arial" w:hAnsi="Arial" w:cs="Arial"/>
                <w:sz w:val="18"/>
                <w:szCs w:val="18"/>
              </w:rPr>
              <w:t>atients</w:t>
            </w:r>
            <w:r>
              <w:rPr>
                <w:rFonts w:ascii="Arial" w:hAnsi="Arial" w:cs="Arial"/>
                <w:sz w:val="18"/>
                <w:szCs w:val="18"/>
              </w:rPr>
              <w:t xml:space="preserve"> with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COP</w:t>
            </w:r>
            <w:r w:rsidRPr="0043699B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43699B">
              <w:rPr>
                <w:rFonts w:ascii="Arial" w:hAnsi="Arial" w:cs="Arial"/>
                <w:sz w:val="18"/>
                <w:szCs w:val="18"/>
              </w:rPr>
              <w:t>aged 40y) with chronic respiratory failure</w:t>
            </w:r>
          </w:p>
        </w:tc>
        <w:tc>
          <w:tcPr>
            <w:tcW w:w="850" w:type="dxa"/>
            <w:noWrap/>
            <w:hideMark/>
          </w:tcPr>
          <w:p w14:paraId="029E995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2835" w:type="dxa"/>
            <w:noWrap/>
            <w:hideMark/>
          </w:tcPr>
          <w:p w14:paraId="196CB15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noWrap/>
            <w:hideMark/>
          </w:tcPr>
          <w:p w14:paraId="79DCF6B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66 ± 8</w:t>
            </w:r>
          </w:p>
        </w:tc>
        <w:tc>
          <w:tcPr>
            <w:tcW w:w="993" w:type="dxa"/>
            <w:noWrap/>
            <w:hideMark/>
          </w:tcPr>
          <w:p w14:paraId="2CF157E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30.68%</w:t>
            </w:r>
          </w:p>
        </w:tc>
        <w:tc>
          <w:tcPr>
            <w:tcW w:w="1559" w:type="dxa"/>
            <w:noWrap/>
            <w:hideMark/>
          </w:tcPr>
          <w:p w14:paraId="41C5B37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noWrap/>
            <w:hideMark/>
          </w:tcPr>
          <w:p w14:paraId="588212A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0/3/18/23</w:t>
            </w:r>
          </w:p>
        </w:tc>
        <w:tc>
          <w:tcPr>
            <w:tcW w:w="1276" w:type="dxa"/>
            <w:noWrap/>
            <w:hideMark/>
          </w:tcPr>
          <w:p w14:paraId="11125C4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19, 43.18%</w:t>
            </w:r>
          </w:p>
        </w:tc>
        <w:tc>
          <w:tcPr>
            <w:tcW w:w="709" w:type="dxa"/>
            <w:noWrap/>
            <w:hideMark/>
          </w:tcPr>
          <w:p w14:paraId="086AA77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5D020D54" w14:textId="77777777" w:rsidTr="00200435">
        <w:trPr>
          <w:trHeight w:val="310"/>
        </w:trPr>
        <w:tc>
          <w:tcPr>
            <w:tcW w:w="1560" w:type="dxa"/>
            <w:noWrap/>
            <w:hideMark/>
          </w:tcPr>
          <w:p w14:paraId="7D41599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Park 2021</w:t>
            </w:r>
          </w:p>
        </w:tc>
        <w:tc>
          <w:tcPr>
            <w:tcW w:w="850" w:type="dxa"/>
            <w:noWrap/>
            <w:hideMark/>
          </w:tcPr>
          <w:p w14:paraId="4F17B8D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Korea</w:t>
            </w:r>
          </w:p>
        </w:tc>
        <w:tc>
          <w:tcPr>
            <w:tcW w:w="993" w:type="dxa"/>
            <w:noWrap/>
            <w:hideMark/>
          </w:tcPr>
          <w:p w14:paraId="5C1C1EF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noWrap/>
            <w:hideMark/>
          </w:tcPr>
          <w:p w14:paraId="3DDC253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Community-based patients with COPD</w:t>
            </w:r>
          </w:p>
        </w:tc>
        <w:tc>
          <w:tcPr>
            <w:tcW w:w="850" w:type="dxa"/>
            <w:noWrap/>
            <w:hideMark/>
          </w:tcPr>
          <w:p w14:paraId="418DBAF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417</w:t>
            </w:r>
          </w:p>
        </w:tc>
        <w:tc>
          <w:tcPr>
            <w:tcW w:w="2835" w:type="dxa"/>
            <w:noWrap/>
            <w:hideMark/>
          </w:tcPr>
          <w:p w14:paraId="754AE18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Six criteria were available including weight loss, physical activity, mobility, hearing, strength for physical frailty, and anxiety/depression for psychological frailty. </w:t>
            </w:r>
          </w:p>
        </w:tc>
        <w:tc>
          <w:tcPr>
            <w:tcW w:w="1134" w:type="dxa"/>
            <w:noWrap/>
            <w:hideMark/>
          </w:tcPr>
          <w:p w14:paraId="54BB210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65.36 ± 9.35</w:t>
            </w:r>
          </w:p>
        </w:tc>
        <w:tc>
          <w:tcPr>
            <w:tcW w:w="993" w:type="dxa"/>
            <w:noWrap/>
            <w:hideMark/>
          </w:tcPr>
          <w:p w14:paraId="29EE144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409,98.1%</w:t>
            </w:r>
          </w:p>
        </w:tc>
        <w:tc>
          <w:tcPr>
            <w:tcW w:w="1559" w:type="dxa"/>
            <w:noWrap/>
            <w:hideMark/>
          </w:tcPr>
          <w:p w14:paraId="2D8CDDB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0/258/159</w:t>
            </w:r>
          </w:p>
        </w:tc>
        <w:tc>
          <w:tcPr>
            <w:tcW w:w="1417" w:type="dxa"/>
            <w:noWrap/>
            <w:hideMark/>
          </w:tcPr>
          <w:p w14:paraId="1023250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207/194/15(1/2/3&amp;4)</w:t>
            </w:r>
          </w:p>
        </w:tc>
        <w:tc>
          <w:tcPr>
            <w:tcW w:w="1276" w:type="dxa"/>
            <w:noWrap/>
            <w:hideMark/>
          </w:tcPr>
          <w:p w14:paraId="2F504C1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148, 35.49%</w:t>
            </w:r>
          </w:p>
        </w:tc>
        <w:tc>
          <w:tcPr>
            <w:tcW w:w="709" w:type="dxa"/>
            <w:noWrap/>
            <w:hideMark/>
          </w:tcPr>
          <w:p w14:paraId="36830FC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746F5F77" w14:textId="77777777" w:rsidTr="00200435">
        <w:trPr>
          <w:trHeight w:val="930"/>
        </w:trPr>
        <w:tc>
          <w:tcPr>
            <w:tcW w:w="1560" w:type="dxa"/>
            <w:hideMark/>
          </w:tcPr>
          <w:p w14:paraId="32C631E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Kusunose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2017</w:t>
            </w:r>
          </w:p>
        </w:tc>
        <w:tc>
          <w:tcPr>
            <w:tcW w:w="850" w:type="dxa"/>
            <w:hideMark/>
          </w:tcPr>
          <w:p w14:paraId="78750AF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Japan</w:t>
            </w:r>
          </w:p>
        </w:tc>
        <w:tc>
          <w:tcPr>
            <w:tcW w:w="993" w:type="dxa"/>
            <w:hideMark/>
          </w:tcPr>
          <w:p w14:paraId="3D335BD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hideMark/>
          </w:tcPr>
          <w:p w14:paraId="7657D99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Patients with </w:t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stable  COPD</w:t>
            </w:r>
            <w:proofErr w:type="gramEnd"/>
          </w:p>
        </w:tc>
        <w:tc>
          <w:tcPr>
            <w:tcW w:w="850" w:type="dxa"/>
            <w:hideMark/>
          </w:tcPr>
          <w:p w14:paraId="234276E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2835" w:type="dxa"/>
            <w:hideMark/>
          </w:tcPr>
          <w:p w14:paraId="47D947A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The </w:t>
            </w: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Kihon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Checklist</w:t>
            </w:r>
          </w:p>
        </w:tc>
        <w:tc>
          <w:tcPr>
            <w:tcW w:w="1134" w:type="dxa"/>
            <w:hideMark/>
          </w:tcPr>
          <w:p w14:paraId="759DA3A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74.8±6.3</w:t>
            </w:r>
          </w:p>
        </w:tc>
        <w:tc>
          <w:tcPr>
            <w:tcW w:w="993" w:type="dxa"/>
            <w:hideMark/>
          </w:tcPr>
          <w:p w14:paraId="3B9D534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559" w:type="dxa"/>
            <w:hideMark/>
          </w:tcPr>
          <w:p w14:paraId="1D8FC6F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Former+current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>: 79</w:t>
            </w:r>
          </w:p>
        </w:tc>
        <w:tc>
          <w:tcPr>
            <w:tcW w:w="1417" w:type="dxa"/>
            <w:hideMark/>
          </w:tcPr>
          <w:p w14:paraId="2FD1EB1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24/40/12/3</w:t>
            </w:r>
          </w:p>
        </w:tc>
        <w:tc>
          <w:tcPr>
            <w:tcW w:w="1276" w:type="dxa"/>
            <w:hideMark/>
          </w:tcPr>
          <w:p w14:paraId="2333E17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17, 21.52%</w:t>
            </w:r>
          </w:p>
        </w:tc>
        <w:tc>
          <w:tcPr>
            <w:tcW w:w="709" w:type="dxa"/>
            <w:hideMark/>
          </w:tcPr>
          <w:p w14:paraId="185E4AF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B11D5F" w:rsidRPr="0043699B" w14:paraId="5B6A6CF9" w14:textId="77777777" w:rsidTr="00200435">
        <w:trPr>
          <w:trHeight w:val="930"/>
        </w:trPr>
        <w:tc>
          <w:tcPr>
            <w:tcW w:w="1560" w:type="dxa"/>
            <w:hideMark/>
          </w:tcPr>
          <w:p w14:paraId="6FAE41B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Maddocks 2016</w:t>
            </w:r>
          </w:p>
        </w:tc>
        <w:tc>
          <w:tcPr>
            <w:tcW w:w="850" w:type="dxa"/>
            <w:hideMark/>
          </w:tcPr>
          <w:p w14:paraId="0B1C732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UK</w:t>
            </w:r>
          </w:p>
        </w:tc>
        <w:tc>
          <w:tcPr>
            <w:tcW w:w="993" w:type="dxa"/>
            <w:hideMark/>
          </w:tcPr>
          <w:p w14:paraId="5D7B9A3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Prospective cohort </w:t>
            </w:r>
          </w:p>
        </w:tc>
        <w:tc>
          <w:tcPr>
            <w:tcW w:w="1559" w:type="dxa"/>
            <w:hideMark/>
          </w:tcPr>
          <w:p w14:paraId="69D8A03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Outpatients with stable COPD </w:t>
            </w:r>
          </w:p>
        </w:tc>
        <w:tc>
          <w:tcPr>
            <w:tcW w:w="850" w:type="dxa"/>
            <w:hideMark/>
          </w:tcPr>
          <w:p w14:paraId="3686AB6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816</w:t>
            </w:r>
          </w:p>
        </w:tc>
        <w:tc>
          <w:tcPr>
            <w:tcW w:w="2835" w:type="dxa"/>
            <w:hideMark/>
          </w:tcPr>
          <w:p w14:paraId="676A775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7A7043A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69.8±9.7</w:t>
            </w:r>
          </w:p>
        </w:tc>
        <w:tc>
          <w:tcPr>
            <w:tcW w:w="993" w:type="dxa"/>
            <w:hideMark/>
          </w:tcPr>
          <w:p w14:paraId="3FE046B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484,59.3%</w:t>
            </w:r>
          </w:p>
        </w:tc>
        <w:tc>
          <w:tcPr>
            <w:tcW w:w="1559" w:type="dxa"/>
            <w:hideMark/>
          </w:tcPr>
          <w:p w14:paraId="1A05CDC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54/624/146</w:t>
            </w:r>
          </w:p>
        </w:tc>
        <w:tc>
          <w:tcPr>
            <w:tcW w:w="1417" w:type="dxa"/>
            <w:hideMark/>
          </w:tcPr>
          <w:p w14:paraId="6BB4D37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hideMark/>
          </w:tcPr>
          <w:p w14:paraId="13224E1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209, 25.61%</w:t>
            </w:r>
          </w:p>
        </w:tc>
        <w:tc>
          <w:tcPr>
            <w:tcW w:w="709" w:type="dxa"/>
            <w:hideMark/>
          </w:tcPr>
          <w:p w14:paraId="261A563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B11D5F" w:rsidRPr="0043699B" w14:paraId="2CEC3005" w14:textId="77777777" w:rsidTr="00200435">
        <w:trPr>
          <w:trHeight w:val="930"/>
        </w:trPr>
        <w:tc>
          <w:tcPr>
            <w:tcW w:w="1560" w:type="dxa"/>
            <w:hideMark/>
          </w:tcPr>
          <w:p w14:paraId="1CE3630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Medina-</w:t>
            </w: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Mirapeix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2018</w:t>
            </w:r>
          </w:p>
        </w:tc>
        <w:tc>
          <w:tcPr>
            <w:tcW w:w="850" w:type="dxa"/>
            <w:hideMark/>
          </w:tcPr>
          <w:p w14:paraId="5A59C8F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993" w:type="dxa"/>
            <w:hideMark/>
          </w:tcPr>
          <w:p w14:paraId="417FC75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hideMark/>
          </w:tcPr>
          <w:p w14:paraId="5E0FD22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Outpatients with stable COPD aged 40–80 years</w:t>
            </w:r>
          </w:p>
        </w:tc>
        <w:tc>
          <w:tcPr>
            <w:tcW w:w="850" w:type="dxa"/>
            <w:hideMark/>
          </w:tcPr>
          <w:p w14:paraId="1FFE628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2835" w:type="dxa"/>
            <w:hideMark/>
          </w:tcPr>
          <w:p w14:paraId="7D15F97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4F10BED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66.9 ± 8.3</w:t>
            </w:r>
          </w:p>
        </w:tc>
        <w:tc>
          <w:tcPr>
            <w:tcW w:w="993" w:type="dxa"/>
            <w:hideMark/>
          </w:tcPr>
          <w:p w14:paraId="50774D1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120,87.6%</w:t>
            </w:r>
          </w:p>
        </w:tc>
        <w:tc>
          <w:tcPr>
            <w:tcW w:w="1559" w:type="dxa"/>
            <w:hideMark/>
          </w:tcPr>
          <w:p w14:paraId="0BD59AF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1CA7ACC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hideMark/>
          </w:tcPr>
          <w:p w14:paraId="679B67F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12, 8.76%</w:t>
            </w:r>
          </w:p>
        </w:tc>
        <w:tc>
          <w:tcPr>
            <w:tcW w:w="709" w:type="dxa"/>
            <w:hideMark/>
          </w:tcPr>
          <w:p w14:paraId="4FEF5DB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2B02C184" w14:textId="77777777" w:rsidTr="00200435">
        <w:trPr>
          <w:trHeight w:val="930"/>
        </w:trPr>
        <w:tc>
          <w:tcPr>
            <w:tcW w:w="1560" w:type="dxa"/>
            <w:hideMark/>
          </w:tcPr>
          <w:p w14:paraId="7BFAFC2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Naval 2021</w:t>
            </w:r>
          </w:p>
        </w:tc>
        <w:tc>
          <w:tcPr>
            <w:tcW w:w="850" w:type="dxa"/>
            <w:hideMark/>
          </w:tcPr>
          <w:p w14:paraId="66A8DAF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993" w:type="dxa"/>
            <w:hideMark/>
          </w:tcPr>
          <w:p w14:paraId="76E5B59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hideMark/>
          </w:tcPr>
          <w:p w14:paraId="6575071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Outpatients with stable COPD </w:t>
            </w:r>
          </w:p>
        </w:tc>
        <w:tc>
          <w:tcPr>
            <w:tcW w:w="850" w:type="dxa"/>
            <w:hideMark/>
          </w:tcPr>
          <w:p w14:paraId="559F2E5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127</w:t>
            </w:r>
          </w:p>
        </w:tc>
        <w:tc>
          <w:tcPr>
            <w:tcW w:w="2835" w:type="dxa"/>
            <w:hideMark/>
          </w:tcPr>
          <w:p w14:paraId="56C29A8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02AEE05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66.5± 7.9</w:t>
            </w:r>
          </w:p>
        </w:tc>
        <w:tc>
          <w:tcPr>
            <w:tcW w:w="993" w:type="dxa"/>
            <w:hideMark/>
          </w:tcPr>
          <w:p w14:paraId="09E2604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108,85.0%</w:t>
            </w:r>
          </w:p>
        </w:tc>
        <w:tc>
          <w:tcPr>
            <w:tcW w:w="1559" w:type="dxa"/>
            <w:hideMark/>
          </w:tcPr>
          <w:p w14:paraId="4C93328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4605FCC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1/58/57/9</w:t>
            </w:r>
          </w:p>
        </w:tc>
        <w:tc>
          <w:tcPr>
            <w:tcW w:w="1276" w:type="dxa"/>
            <w:hideMark/>
          </w:tcPr>
          <w:p w14:paraId="6EBF8BD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31, 24.41%</w:t>
            </w:r>
          </w:p>
        </w:tc>
        <w:tc>
          <w:tcPr>
            <w:tcW w:w="709" w:type="dxa"/>
            <w:hideMark/>
          </w:tcPr>
          <w:p w14:paraId="4564119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2EB84926" w14:textId="77777777" w:rsidTr="00200435">
        <w:trPr>
          <w:trHeight w:val="2170"/>
        </w:trPr>
        <w:tc>
          <w:tcPr>
            <w:tcW w:w="1560" w:type="dxa"/>
            <w:hideMark/>
          </w:tcPr>
          <w:p w14:paraId="23C6B6A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Yee 2020</w:t>
            </w:r>
          </w:p>
        </w:tc>
        <w:tc>
          <w:tcPr>
            <w:tcW w:w="850" w:type="dxa"/>
            <w:hideMark/>
          </w:tcPr>
          <w:p w14:paraId="1958F18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USA</w:t>
            </w:r>
          </w:p>
        </w:tc>
        <w:tc>
          <w:tcPr>
            <w:tcW w:w="993" w:type="dxa"/>
            <w:hideMark/>
          </w:tcPr>
          <w:p w14:paraId="0436232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Longitudinal cohort study </w:t>
            </w:r>
          </w:p>
        </w:tc>
        <w:tc>
          <w:tcPr>
            <w:tcW w:w="1559" w:type="dxa"/>
            <w:hideMark/>
          </w:tcPr>
          <w:p w14:paraId="2BF0677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Outpatients with COPD </w:t>
            </w:r>
          </w:p>
        </w:tc>
        <w:tc>
          <w:tcPr>
            <w:tcW w:w="850" w:type="dxa"/>
            <w:hideMark/>
          </w:tcPr>
          <w:p w14:paraId="40BE0C3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280</w:t>
            </w:r>
          </w:p>
        </w:tc>
        <w:tc>
          <w:tcPr>
            <w:tcW w:w="2835" w:type="dxa"/>
            <w:hideMark/>
          </w:tcPr>
          <w:p w14:paraId="55E72E2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hideMark/>
          </w:tcPr>
          <w:p w14:paraId="20E1C93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Frail: 68.6±9.2;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  <w:t>Prefrail:66.9±8.4;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Non-frail</w:t>
            </w:r>
            <w:proofErr w:type="gramEnd"/>
            <w:r w:rsidRPr="0043699B">
              <w:rPr>
                <w:rFonts w:ascii="Arial" w:hAnsi="Arial" w:cs="Arial"/>
                <w:sz w:val="18"/>
                <w:szCs w:val="18"/>
              </w:rPr>
              <w:t>:69.4±8.0</w:t>
            </w:r>
          </w:p>
        </w:tc>
        <w:tc>
          <w:tcPr>
            <w:tcW w:w="993" w:type="dxa"/>
            <w:hideMark/>
          </w:tcPr>
          <w:p w14:paraId="10F1D87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224,80%</w:t>
            </w:r>
          </w:p>
        </w:tc>
        <w:tc>
          <w:tcPr>
            <w:tcW w:w="1559" w:type="dxa"/>
            <w:hideMark/>
          </w:tcPr>
          <w:p w14:paraId="2909322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Current smoker</w:t>
            </w:r>
            <w:r w:rsidRPr="0043699B">
              <w:rPr>
                <w:rFonts w:ascii="Arial" w:hAnsi="Arial" w:cs="Arial"/>
                <w:sz w:val="18"/>
                <w:szCs w:val="18"/>
              </w:rPr>
              <w:t>：</w:t>
            </w:r>
            <w:r w:rsidRPr="0043699B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417" w:type="dxa"/>
            <w:hideMark/>
          </w:tcPr>
          <w:p w14:paraId="60D4F5F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0/112/115/55</w:t>
            </w:r>
          </w:p>
        </w:tc>
        <w:tc>
          <w:tcPr>
            <w:tcW w:w="1276" w:type="dxa"/>
            <w:hideMark/>
          </w:tcPr>
          <w:p w14:paraId="64ED576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64, 22.86%</w:t>
            </w:r>
          </w:p>
        </w:tc>
        <w:tc>
          <w:tcPr>
            <w:tcW w:w="709" w:type="dxa"/>
            <w:hideMark/>
          </w:tcPr>
          <w:p w14:paraId="003FE81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B11D5F" w:rsidRPr="0043699B" w14:paraId="4A34190F" w14:textId="77777777" w:rsidTr="00200435">
        <w:trPr>
          <w:trHeight w:val="2170"/>
        </w:trPr>
        <w:tc>
          <w:tcPr>
            <w:tcW w:w="1560" w:type="dxa"/>
            <w:noWrap/>
            <w:hideMark/>
          </w:tcPr>
          <w:p w14:paraId="6EDAFB8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Dias 2020</w:t>
            </w:r>
          </w:p>
        </w:tc>
        <w:tc>
          <w:tcPr>
            <w:tcW w:w="850" w:type="dxa"/>
            <w:hideMark/>
          </w:tcPr>
          <w:p w14:paraId="61EFCE7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Brasil</w:t>
            </w:r>
            <w:proofErr w:type="spellEnd"/>
          </w:p>
        </w:tc>
        <w:tc>
          <w:tcPr>
            <w:tcW w:w="993" w:type="dxa"/>
            <w:hideMark/>
          </w:tcPr>
          <w:p w14:paraId="47D0B16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hideMark/>
          </w:tcPr>
          <w:p w14:paraId="2C3388A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Outpatients with COPD </w:t>
            </w:r>
          </w:p>
        </w:tc>
        <w:tc>
          <w:tcPr>
            <w:tcW w:w="850" w:type="dxa"/>
            <w:hideMark/>
          </w:tcPr>
          <w:p w14:paraId="500E314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2835" w:type="dxa"/>
            <w:hideMark/>
          </w:tcPr>
          <w:p w14:paraId="4B855CF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FRAIL Scale </w:t>
            </w:r>
          </w:p>
        </w:tc>
        <w:tc>
          <w:tcPr>
            <w:tcW w:w="1134" w:type="dxa"/>
            <w:hideMark/>
          </w:tcPr>
          <w:p w14:paraId="564D3AD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Frail: 67.0 (61.0–71.5);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  <w:t>Prefrail:70.0 (65.0–73.0);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</w:r>
            <w:proofErr w:type="gramStart"/>
            <w:r w:rsidRPr="0043699B">
              <w:rPr>
                <w:rFonts w:ascii="Arial" w:hAnsi="Arial" w:cs="Arial"/>
                <w:sz w:val="18"/>
                <w:szCs w:val="18"/>
              </w:rPr>
              <w:t>Non-frail</w:t>
            </w:r>
            <w:proofErr w:type="gramEnd"/>
            <w:r w:rsidRPr="0043699B">
              <w:rPr>
                <w:rFonts w:ascii="Arial" w:hAnsi="Arial" w:cs="Arial"/>
                <w:sz w:val="18"/>
                <w:szCs w:val="18"/>
              </w:rPr>
              <w:t>:69.5 (60.5–80.5)</w:t>
            </w:r>
          </w:p>
        </w:tc>
        <w:tc>
          <w:tcPr>
            <w:tcW w:w="993" w:type="dxa"/>
            <w:hideMark/>
          </w:tcPr>
          <w:p w14:paraId="6BD7174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84,54.9%</w:t>
            </w:r>
          </w:p>
        </w:tc>
        <w:tc>
          <w:tcPr>
            <w:tcW w:w="1559" w:type="dxa"/>
            <w:hideMark/>
          </w:tcPr>
          <w:p w14:paraId="35A5027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165B887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hideMark/>
          </w:tcPr>
          <w:p w14:paraId="508DECE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77, 50.33%</w:t>
            </w:r>
          </w:p>
        </w:tc>
        <w:tc>
          <w:tcPr>
            <w:tcW w:w="709" w:type="dxa"/>
            <w:hideMark/>
          </w:tcPr>
          <w:p w14:paraId="6FC741C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B11D5F" w:rsidRPr="0043699B" w14:paraId="41D9D6A6" w14:textId="77777777" w:rsidTr="00200435">
        <w:trPr>
          <w:trHeight w:val="930"/>
        </w:trPr>
        <w:tc>
          <w:tcPr>
            <w:tcW w:w="1560" w:type="dxa"/>
            <w:noWrap/>
            <w:hideMark/>
          </w:tcPr>
          <w:p w14:paraId="4BB2284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Hanlon 2022</w:t>
            </w:r>
          </w:p>
        </w:tc>
        <w:tc>
          <w:tcPr>
            <w:tcW w:w="850" w:type="dxa"/>
            <w:hideMark/>
          </w:tcPr>
          <w:p w14:paraId="0CC0A8E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UK</w:t>
            </w:r>
          </w:p>
        </w:tc>
        <w:tc>
          <w:tcPr>
            <w:tcW w:w="993" w:type="dxa"/>
            <w:hideMark/>
          </w:tcPr>
          <w:p w14:paraId="561C6FB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Retrospective cohort study</w:t>
            </w:r>
          </w:p>
        </w:tc>
        <w:tc>
          <w:tcPr>
            <w:tcW w:w="1559" w:type="dxa"/>
            <w:hideMark/>
          </w:tcPr>
          <w:p w14:paraId="1BF6E2D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Community-based patients with COPD aged 40–70 years </w:t>
            </w:r>
          </w:p>
        </w:tc>
        <w:tc>
          <w:tcPr>
            <w:tcW w:w="850" w:type="dxa"/>
            <w:hideMark/>
          </w:tcPr>
          <w:p w14:paraId="6968919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3011</w:t>
            </w:r>
          </w:p>
        </w:tc>
        <w:tc>
          <w:tcPr>
            <w:tcW w:w="2835" w:type="dxa"/>
            <w:hideMark/>
          </w:tcPr>
          <w:p w14:paraId="6BA63EF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FFP*</w:t>
            </w:r>
            <w:r w:rsidRPr="0043699B">
              <w:rPr>
                <w:rFonts w:ascii="Arial" w:hAnsi="Arial" w:cs="Arial"/>
                <w:sz w:val="18"/>
                <w:szCs w:val="18"/>
              </w:rPr>
              <w:t>；</w:t>
            </w:r>
          </w:p>
          <w:p w14:paraId="63CBA11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the frailty index </w:t>
            </w:r>
          </w:p>
        </w:tc>
        <w:tc>
          <w:tcPr>
            <w:tcW w:w="1134" w:type="dxa"/>
            <w:hideMark/>
          </w:tcPr>
          <w:p w14:paraId="15F0C5B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61.9±5.9</w:t>
            </w:r>
          </w:p>
        </w:tc>
        <w:tc>
          <w:tcPr>
            <w:tcW w:w="993" w:type="dxa"/>
            <w:hideMark/>
          </w:tcPr>
          <w:p w14:paraId="50DD610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1650,54.8%</w:t>
            </w:r>
          </w:p>
        </w:tc>
        <w:tc>
          <w:tcPr>
            <w:tcW w:w="1559" w:type="dxa"/>
            <w:hideMark/>
          </w:tcPr>
          <w:p w14:paraId="57DF62A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477/1580/926</w:t>
            </w:r>
          </w:p>
        </w:tc>
        <w:tc>
          <w:tcPr>
            <w:tcW w:w="1417" w:type="dxa"/>
            <w:hideMark/>
          </w:tcPr>
          <w:p w14:paraId="2FD904E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1141/993/500/102</w:t>
            </w:r>
          </w:p>
        </w:tc>
        <w:tc>
          <w:tcPr>
            <w:tcW w:w="1276" w:type="dxa"/>
            <w:hideMark/>
          </w:tcPr>
          <w:p w14:paraId="339DD00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514, 17.07%</w:t>
            </w:r>
          </w:p>
        </w:tc>
        <w:tc>
          <w:tcPr>
            <w:tcW w:w="709" w:type="dxa"/>
            <w:hideMark/>
          </w:tcPr>
          <w:p w14:paraId="4842B30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46585879" w14:textId="77777777" w:rsidTr="00200435">
        <w:trPr>
          <w:trHeight w:val="2170"/>
        </w:trPr>
        <w:tc>
          <w:tcPr>
            <w:tcW w:w="1560" w:type="dxa"/>
            <w:noWrap/>
            <w:hideMark/>
          </w:tcPr>
          <w:p w14:paraId="5D0C7B5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Hirai 2019</w:t>
            </w:r>
          </w:p>
        </w:tc>
        <w:tc>
          <w:tcPr>
            <w:tcW w:w="850" w:type="dxa"/>
            <w:hideMark/>
          </w:tcPr>
          <w:p w14:paraId="42E58F8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Japan</w:t>
            </w:r>
          </w:p>
        </w:tc>
        <w:tc>
          <w:tcPr>
            <w:tcW w:w="993" w:type="dxa"/>
            <w:hideMark/>
          </w:tcPr>
          <w:p w14:paraId="7BC0FC3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Cross-sectional </w:t>
            </w:r>
          </w:p>
        </w:tc>
        <w:tc>
          <w:tcPr>
            <w:tcW w:w="1559" w:type="dxa"/>
            <w:hideMark/>
          </w:tcPr>
          <w:p w14:paraId="3598F50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Older (aged≥65 years) outpatients with COPD</w:t>
            </w:r>
          </w:p>
        </w:tc>
        <w:tc>
          <w:tcPr>
            <w:tcW w:w="850" w:type="dxa"/>
            <w:hideMark/>
          </w:tcPr>
          <w:p w14:paraId="47FD74D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201</w:t>
            </w:r>
          </w:p>
        </w:tc>
        <w:tc>
          <w:tcPr>
            <w:tcW w:w="2835" w:type="dxa"/>
            <w:hideMark/>
          </w:tcPr>
          <w:p w14:paraId="6178781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The </w:t>
            </w: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Kihon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Checklist*</w:t>
            </w:r>
            <w:r w:rsidRPr="0043699B">
              <w:rPr>
                <w:rFonts w:ascii="Arial" w:hAnsi="Arial" w:cs="Arial"/>
                <w:sz w:val="18"/>
                <w:szCs w:val="18"/>
              </w:rPr>
              <w:t>；</w:t>
            </w:r>
            <w:r w:rsidRPr="0043699B">
              <w:rPr>
                <w:rFonts w:ascii="Arial" w:hAnsi="Arial" w:cs="Arial"/>
                <w:sz w:val="18"/>
                <w:szCs w:val="18"/>
              </w:rPr>
              <w:br/>
              <w:t xml:space="preserve">Japanese version </w:t>
            </w: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ofthe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Cardiovascular Health Study</w:t>
            </w:r>
            <w:r w:rsidRPr="0043699B">
              <w:rPr>
                <w:rFonts w:ascii="Arial" w:hAnsi="Arial" w:cs="Arial"/>
                <w:sz w:val="18"/>
                <w:szCs w:val="18"/>
              </w:rPr>
              <w:t>；</w:t>
            </w:r>
          </w:p>
          <w:p w14:paraId="65A4846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Study of Osteoporotic Fractures</w:t>
            </w:r>
          </w:p>
        </w:tc>
        <w:tc>
          <w:tcPr>
            <w:tcW w:w="1134" w:type="dxa"/>
            <w:hideMark/>
          </w:tcPr>
          <w:p w14:paraId="7377CF5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76 (IQR: 70–81)</w:t>
            </w:r>
          </w:p>
        </w:tc>
        <w:tc>
          <w:tcPr>
            <w:tcW w:w="993" w:type="dxa"/>
            <w:hideMark/>
          </w:tcPr>
          <w:p w14:paraId="5659FC5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175,87%</w:t>
            </w:r>
          </w:p>
        </w:tc>
        <w:tc>
          <w:tcPr>
            <w:tcW w:w="1559" w:type="dxa"/>
            <w:hideMark/>
          </w:tcPr>
          <w:p w14:paraId="5533922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367B444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46/102/42/10</w:t>
            </w:r>
          </w:p>
        </w:tc>
        <w:tc>
          <w:tcPr>
            <w:tcW w:w="1276" w:type="dxa"/>
            <w:hideMark/>
          </w:tcPr>
          <w:p w14:paraId="31F81F2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76, 37.81%</w:t>
            </w:r>
          </w:p>
        </w:tc>
        <w:tc>
          <w:tcPr>
            <w:tcW w:w="709" w:type="dxa"/>
            <w:hideMark/>
          </w:tcPr>
          <w:p w14:paraId="16D00B9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B11D5F" w:rsidRPr="0043699B" w14:paraId="0F41B6F3" w14:textId="77777777" w:rsidTr="00200435">
        <w:trPr>
          <w:trHeight w:val="930"/>
        </w:trPr>
        <w:tc>
          <w:tcPr>
            <w:tcW w:w="1560" w:type="dxa"/>
            <w:noWrap/>
            <w:hideMark/>
          </w:tcPr>
          <w:p w14:paraId="4646E68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Lahousse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2016</w:t>
            </w:r>
          </w:p>
        </w:tc>
        <w:tc>
          <w:tcPr>
            <w:tcW w:w="850" w:type="dxa"/>
            <w:noWrap/>
            <w:hideMark/>
          </w:tcPr>
          <w:p w14:paraId="2906E1A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The Netherlands</w:t>
            </w:r>
          </w:p>
        </w:tc>
        <w:tc>
          <w:tcPr>
            <w:tcW w:w="993" w:type="dxa"/>
            <w:hideMark/>
          </w:tcPr>
          <w:p w14:paraId="080C5D6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Retrospective cohort study</w:t>
            </w:r>
          </w:p>
        </w:tc>
        <w:tc>
          <w:tcPr>
            <w:tcW w:w="1559" w:type="dxa"/>
            <w:hideMark/>
          </w:tcPr>
          <w:p w14:paraId="5D67EAB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Community-based patients with COPD </w:t>
            </w:r>
          </w:p>
        </w:tc>
        <w:tc>
          <w:tcPr>
            <w:tcW w:w="850" w:type="dxa"/>
            <w:noWrap/>
            <w:hideMark/>
          </w:tcPr>
          <w:p w14:paraId="76A383E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402</w:t>
            </w:r>
          </w:p>
        </w:tc>
        <w:tc>
          <w:tcPr>
            <w:tcW w:w="2835" w:type="dxa"/>
            <w:hideMark/>
          </w:tcPr>
          <w:p w14:paraId="7A09366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FFP</w:t>
            </w:r>
          </w:p>
        </w:tc>
        <w:tc>
          <w:tcPr>
            <w:tcW w:w="1134" w:type="dxa"/>
            <w:noWrap/>
            <w:hideMark/>
          </w:tcPr>
          <w:p w14:paraId="4E79BBE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75 ± 9</w:t>
            </w:r>
          </w:p>
        </w:tc>
        <w:tc>
          <w:tcPr>
            <w:tcW w:w="993" w:type="dxa"/>
            <w:noWrap/>
            <w:hideMark/>
          </w:tcPr>
          <w:p w14:paraId="2F2A71B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229,57%</w:t>
            </w:r>
          </w:p>
        </w:tc>
        <w:tc>
          <w:tcPr>
            <w:tcW w:w="1559" w:type="dxa"/>
            <w:noWrap/>
            <w:hideMark/>
          </w:tcPr>
          <w:p w14:paraId="0A589F4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62/259/81</w:t>
            </w:r>
          </w:p>
        </w:tc>
        <w:tc>
          <w:tcPr>
            <w:tcW w:w="1417" w:type="dxa"/>
            <w:noWrap/>
            <w:hideMark/>
          </w:tcPr>
          <w:p w14:paraId="04E2D93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200/174/28/0</w:t>
            </w:r>
          </w:p>
        </w:tc>
        <w:tc>
          <w:tcPr>
            <w:tcW w:w="1276" w:type="dxa"/>
            <w:noWrap/>
            <w:hideMark/>
          </w:tcPr>
          <w:p w14:paraId="0DB48AF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41, 10.20%</w:t>
            </w:r>
          </w:p>
        </w:tc>
        <w:tc>
          <w:tcPr>
            <w:tcW w:w="709" w:type="dxa"/>
            <w:noWrap/>
            <w:hideMark/>
          </w:tcPr>
          <w:p w14:paraId="624514F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B11D5F" w:rsidRPr="0043699B" w14:paraId="6F30031F" w14:textId="77777777" w:rsidTr="00200435">
        <w:trPr>
          <w:trHeight w:val="1550"/>
        </w:trPr>
        <w:tc>
          <w:tcPr>
            <w:tcW w:w="1560" w:type="dxa"/>
            <w:noWrap/>
            <w:hideMark/>
          </w:tcPr>
          <w:p w14:paraId="671447B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Bernabeu-Mora 2017</w:t>
            </w:r>
          </w:p>
        </w:tc>
        <w:tc>
          <w:tcPr>
            <w:tcW w:w="850" w:type="dxa"/>
            <w:noWrap/>
            <w:hideMark/>
          </w:tcPr>
          <w:p w14:paraId="1011181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993" w:type="dxa"/>
            <w:noWrap/>
            <w:hideMark/>
          </w:tcPr>
          <w:p w14:paraId="7AD622E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Prospective observational</w:t>
            </w:r>
          </w:p>
        </w:tc>
        <w:tc>
          <w:tcPr>
            <w:tcW w:w="1559" w:type="dxa"/>
            <w:noWrap/>
            <w:hideMark/>
          </w:tcPr>
          <w:p w14:paraId="04064ED1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Patients during hospitalization for AECOPD</w:t>
            </w:r>
          </w:p>
        </w:tc>
        <w:tc>
          <w:tcPr>
            <w:tcW w:w="850" w:type="dxa"/>
            <w:noWrap/>
            <w:hideMark/>
          </w:tcPr>
          <w:p w14:paraId="010A594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102</w:t>
            </w:r>
          </w:p>
        </w:tc>
        <w:tc>
          <w:tcPr>
            <w:tcW w:w="2835" w:type="dxa"/>
            <w:noWrap/>
            <w:hideMark/>
          </w:tcPr>
          <w:p w14:paraId="0510D3B7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REFS</w:t>
            </w:r>
          </w:p>
        </w:tc>
        <w:tc>
          <w:tcPr>
            <w:tcW w:w="1134" w:type="dxa"/>
            <w:noWrap/>
            <w:hideMark/>
          </w:tcPr>
          <w:p w14:paraId="7196C6C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71.0±9.1</w:t>
            </w:r>
          </w:p>
        </w:tc>
        <w:tc>
          <w:tcPr>
            <w:tcW w:w="993" w:type="dxa"/>
            <w:noWrap/>
            <w:hideMark/>
          </w:tcPr>
          <w:p w14:paraId="4055C26E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96,93.2%</w:t>
            </w:r>
          </w:p>
        </w:tc>
        <w:tc>
          <w:tcPr>
            <w:tcW w:w="1559" w:type="dxa"/>
            <w:noWrap/>
            <w:hideMark/>
          </w:tcPr>
          <w:p w14:paraId="3510DEA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Active smoker</w:t>
            </w:r>
            <w:r w:rsidRPr="0043699B">
              <w:rPr>
                <w:rFonts w:ascii="Arial" w:hAnsi="Arial" w:cs="Arial"/>
                <w:sz w:val="18"/>
                <w:szCs w:val="18"/>
              </w:rPr>
              <w:t>：</w:t>
            </w:r>
            <w:r w:rsidRPr="0043699B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417" w:type="dxa"/>
            <w:noWrap/>
            <w:hideMark/>
          </w:tcPr>
          <w:p w14:paraId="6339E38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noWrap/>
            <w:hideMark/>
          </w:tcPr>
          <w:p w14:paraId="3EDAF42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57, 55.88%</w:t>
            </w:r>
          </w:p>
        </w:tc>
        <w:tc>
          <w:tcPr>
            <w:tcW w:w="709" w:type="dxa"/>
            <w:noWrap/>
            <w:hideMark/>
          </w:tcPr>
          <w:p w14:paraId="70D67AC0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B11D5F" w:rsidRPr="0043699B" w14:paraId="1B98519E" w14:textId="77777777" w:rsidTr="00200435">
        <w:trPr>
          <w:trHeight w:val="1550"/>
        </w:trPr>
        <w:tc>
          <w:tcPr>
            <w:tcW w:w="1560" w:type="dxa"/>
            <w:noWrap/>
          </w:tcPr>
          <w:p w14:paraId="1FF4A158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Scarlata 2021</w:t>
            </w:r>
          </w:p>
        </w:tc>
        <w:tc>
          <w:tcPr>
            <w:tcW w:w="850" w:type="dxa"/>
            <w:noWrap/>
          </w:tcPr>
          <w:p w14:paraId="06DE61C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Italy</w:t>
            </w:r>
          </w:p>
        </w:tc>
        <w:tc>
          <w:tcPr>
            <w:tcW w:w="993" w:type="dxa"/>
            <w:noWrap/>
          </w:tcPr>
          <w:p w14:paraId="1C5A84C3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Retrospective cohort </w:t>
            </w:r>
          </w:p>
        </w:tc>
        <w:tc>
          <w:tcPr>
            <w:tcW w:w="1559" w:type="dxa"/>
            <w:noWrap/>
          </w:tcPr>
          <w:p w14:paraId="57A3E26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Outpatients with stable COPD</w:t>
            </w:r>
          </w:p>
        </w:tc>
        <w:tc>
          <w:tcPr>
            <w:tcW w:w="850" w:type="dxa"/>
            <w:noWrap/>
          </w:tcPr>
          <w:p w14:paraId="4531D17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835" w:type="dxa"/>
            <w:noWrap/>
          </w:tcPr>
          <w:p w14:paraId="233E0E6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Frailty index</w:t>
            </w:r>
          </w:p>
        </w:tc>
        <w:tc>
          <w:tcPr>
            <w:tcW w:w="1134" w:type="dxa"/>
            <w:noWrap/>
          </w:tcPr>
          <w:p w14:paraId="1EBBAAD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73±8</w:t>
            </w:r>
          </w:p>
        </w:tc>
        <w:tc>
          <w:tcPr>
            <w:tcW w:w="993" w:type="dxa"/>
            <w:noWrap/>
          </w:tcPr>
          <w:p w14:paraId="20969629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107,72%</w:t>
            </w:r>
          </w:p>
        </w:tc>
        <w:tc>
          <w:tcPr>
            <w:tcW w:w="1559" w:type="dxa"/>
            <w:noWrap/>
          </w:tcPr>
          <w:p w14:paraId="4C0B6D5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15/84/51</w:t>
            </w:r>
          </w:p>
        </w:tc>
        <w:tc>
          <w:tcPr>
            <w:tcW w:w="1417" w:type="dxa"/>
            <w:noWrap/>
          </w:tcPr>
          <w:p w14:paraId="6D6FC47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noWrap/>
          </w:tcPr>
          <w:p w14:paraId="73D17CE5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71, 47.33%</w:t>
            </w:r>
          </w:p>
        </w:tc>
        <w:tc>
          <w:tcPr>
            <w:tcW w:w="709" w:type="dxa"/>
            <w:noWrap/>
          </w:tcPr>
          <w:p w14:paraId="46B151B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B11D5F" w:rsidRPr="0043699B" w14:paraId="44B2FE7E" w14:textId="77777777" w:rsidTr="00200435">
        <w:trPr>
          <w:trHeight w:val="1550"/>
        </w:trPr>
        <w:tc>
          <w:tcPr>
            <w:tcW w:w="1560" w:type="dxa"/>
            <w:noWrap/>
          </w:tcPr>
          <w:p w14:paraId="3D7FCB1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3699B">
              <w:rPr>
                <w:rFonts w:ascii="Arial" w:hAnsi="Arial" w:cs="Arial"/>
                <w:sz w:val="18"/>
                <w:szCs w:val="18"/>
              </w:rPr>
              <w:t>Ushida</w:t>
            </w:r>
            <w:proofErr w:type="spellEnd"/>
            <w:r w:rsidRPr="0043699B">
              <w:rPr>
                <w:rFonts w:ascii="Arial" w:hAnsi="Arial" w:cs="Arial"/>
                <w:sz w:val="18"/>
                <w:szCs w:val="18"/>
              </w:rPr>
              <w:t xml:space="preserve"> 2022</w:t>
            </w:r>
          </w:p>
        </w:tc>
        <w:tc>
          <w:tcPr>
            <w:tcW w:w="850" w:type="dxa"/>
            <w:noWrap/>
          </w:tcPr>
          <w:p w14:paraId="6A9F80D4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Japan</w:t>
            </w:r>
          </w:p>
        </w:tc>
        <w:tc>
          <w:tcPr>
            <w:tcW w:w="993" w:type="dxa"/>
            <w:noWrap/>
          </w:tcPr>
          <w:p w14:paraId="041E43CC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 xml:space="preserve">Retrospective cohort </w:t>
            </w:r>
          </w:p>
        </w:tc>
        <w:tc>
          <w:tcPr>
            <w:tcW w:w="1559" w:type="dxa"/>
            <w:noWrap/>
          </w:tcPr>
          <w:p w14:paraId="181BA97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Patients admitted by ambulance with COPD</w:t>
            </w:r>
          </w:p>
        </w:tc>
        <w:tc>
          <w:tcPr>
            <w:tcW w:w="850" w:type="dxa"/>
            <w:noWrap/>
          </w:tcPr>
          <w:p w14:paraId="784161E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3,396</w:t>
            </w:r>
          </w:p>
        </w:tc>
        <w:tc>
          <w:tcPr>
            <w:tcW w:w="2835" w:type="dxa"/>
            <w:noWrap/>
          </w:tcPr>
          <w:p w14:paraId="7F5661D6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HFRS</w:t>
            </w:r>
          </w:p>
        </w:tc>
        <w:tc>
          <w:tcPr>
            <w:tcW w:w="1134" w:type="dxa"/>
            <w:noWrap/>
          </w:tcPr>
          <w:p w14:paraId="2FF45D7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75.9±11.2</w:t>
            </w:r>
          </w:p>
        </w:tc>
        <w:tc>
          <w:tcPr>
            <w:tcW w:w="993" w:type="dxa"/>
            <w:noWrap/>
          </w:tcPr>
          <w:p w14:paraId="4CB31292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2703,79.6%</w:t>
            </w:r>
          </w:p>
        </w:tc>
        <w:tc>
          <w:tcPr>
            <w:tcW w:w="1559" w:type="dxa"/>
            <w:noWrap/>
          </w:tcPr>
          <w:p w14:paraId="0CDC518B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417" w:type="dxa"/>
            <w:noWrap/>
          </w:tcPr>
          <w:p w14:paraId="7B31078D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76" w:type="dxa"/>
            <w:noWrap/>
          </w:tcPr>
          <w:p w14:paraId="22FBA60F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14%</w:t>
            </w:r>
          </w:p>
        </w:tc>
        <w:tc>
          <w:tcPr>
            <w:tcW w:w="709" w:type="dxa"/>
            <w:noWrap/>
          </w:tcPr>
          <w:p w14:paraId="2B1E4E6A" w14:textId="77777777" w:rsidR="00B11D5F" w:rsidRPr="0043699B" w:rsidRDefault="00B11D5F" w:rsidP="0020043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43699B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</w:tbl>
    <w:p w14:paraId="1B703A46" w14:textId="755E199A" w:rsidR="00FB7053" w:rsidRDefault="00B11D5F" w:rsidP="00B11D5F">
      <w:pPr>
        <w:spacing w:line="360" w:lineRule="auto"/>
      </w:pPr>
      <w:r w:rsidRPr="00891DBE">
        <w:rPr>
          <w:rFonts w:ascii="Arial" w:hAnsi="Arial" w:cs="Arial"/>
          <w:b/>
          <w:bCs/>
          <w:sz w:val="18"/>
          <w:szCs w:val="18"/>
        </w:rPr>
        <w:t xml:space="preserve">COPD </w:t>
      </w:r>
      <w:r w:rsidRPr="00891DBE">
        <w:rPr>
          <w:rFonts w:ascii="Arial" w:hAnsi="Arial" w:cs="Arial"/>
          <w:sz w:val="18"/>
          <w:szCs w:val="18"/>
        </w:rPr>
        <w:t>Chronic obstructive pulmonary disease</w:t>
      </w:r>
      <w:r>
        <w:rPr>
          <w:rFonts w:ascii="Arial" w:hAnsi="Arial" w:cs="Arial"/>
          <w:b/>
          <w:bCs/>
          <w:sz w:val="18"/>
          <w:szCs w:val="18"/>
        </w:rPr>
        <w:t xml:space="preserve">, AECOPD </w:t>
      </w:r>
      <w:r w:rsidRPr="00891DBE">
        <w:rPr>
          <w:rFonts w:ascii="Arial" w:hAnsi="Arial" w:cs="Arial"/>
          <w:sz w:val="18"/>
          <w:szCs w:val="18"/>
        </w:rPr>
        <w:t xml:space="preserve">acute exacerbation of </w:t>
      </w:r>
      <w:r>
        <w:rPr>
          <w:rFonts w:ascii="Arial" w:hAnsi="Arial" w:cs="Arial"/>
          <w:sz w:val="18"/>
          <w:szCs w:val="18"/>
        </w:rPr>
        <w:t>c</w:t>
      </w:r>
      <w:r w:rsidRPr="00891DBE">
        <w:rPr>
          <w:rFonts w:ascii="Arial" w:hAnsi="Arial" w:cs="Arial"/>
          <w:sz w:val="18"/>
          <w:szCs w:val="18"/>
        </w:rPr>
        <w:t>hronic obstructive pulmonary disease</w:t>
      </w:r>
      <w:r>
        <w:rPr>
          <w:rFonts w:ascii="Arial" w:hAnsi="Arial" w:cs="Arial"/>
          <w:sz w:val="18"/>
          <w:szCs w:val="18"/>
        </w:rPr>
        <w:t xml:space="preserve">, </w:t>
      </w:r>
      <w:r w:rsidRPr="00891DBE">
        <w:rPr>
          <w:rFonts w:ascii="Arial" w:hAnsi="Arial" w:cs="Arial"/>
          <w:b/>
          <w:bCs/>
          <w:sz w:val="18"/>
          <w:szCs w:val="18"/>
        </w:rPr>
        <w:t>TUG</w:t>
      </w:r>
      <w:r>
        <w:rPr>
          <w:rFonts w:ascii="Arial" w:hAnsi="Arial" w:cs="Arial"/>
          <w:sz w:val="18"/>
          <w:szCs w:val="18"/>
        </w:rPr>
        <w:t xml:space="preserve"> </w:t>
      </w:r>
      <w:r w:rsidRPr="0043699B">
        <w:rPr>
          <w:rFonts w:ascii="Arial" w:hAnsi="Arial" w:cs="Arial"/>
          <w:sz w:val="18"/>
          <w:szCs w:val="18"/>
        </w:rPr>
        <w:t>Timed “Up and Go” test</w:t>
      </w:r>
      <w:r>
        <w:rPr>
          <w:rFonts w:ascii="Arial" w:hAnsi="Arial" w:cs="Arial"/>
          <w:sz w:val="18"/>
          <w:szCs w:val="18"/>
        </w:rPr>
        <w:t xml:space="preserve">, </w:t>
      </w:r>
      <w:r w:rsidRPr="00EE3F13">
        <w:rPr>
          <w:rFonts w:ascii="Arial" w:hAnsi="Arial" w:cs="Arial"/>
          <w:b/>
          <w:bCs/>
          <w:sz w:val="18"/>
          <w:szCs w:val="18"/>
        </w:rPr>
        <w:t xml:space="preserve">GOLD </w:t>
      </w:r>
      <w:r w:rsidRPr="00EE3F13">
        <w:rPr>
          <w:rFonts w:ascii="Arial" w:hAnsi="Arial" w:cs="Arial"/>
          <w:sz w:val="18"/>
          <w:szCs w:val="18"/>
        </w:rPr>
        <w:t>Global initiative for chronic Obstructive Lung Disease</w:t>
      </w:r>
      <w:r>
        <w:rPr>
          <w:rFonts w:ascii="Arial" w:hAnsi="Arial" w:cs="Arial"/>
          <w:sz w:val="18"/>
          <w:szCs w:val="18"/>
        </w:rPr>
        <w:t xml:space="preserve">, </w:t>
      </w:r>
      <w:r w:rsidRPr="0043699B">
        <w:rPr>
          <w:rFonts w:ascii="Arial" w:hAnsi="Arial" w:cs="Arial"/>
          <w:b/>
          <w:bCs/>
          <w:sz w:val="18"/>
          <w:szCs w:val="18"/>
        </w:rPr>
        <w:t>FFP</w:t>
      </w:r>
      <w:r w:rsidRPr="0043699B">
        <w:rPr>
          <w:rFonts w:ascii="Arial" w:hAnsi="Arial" w:cs="Arial"/>
          <w:sz w:val="18"/>
          <w:szCs w:val="18"/>
        </w:rPr>
        <w:t xml:space="preserve"> Fried frailty phenotype</w:t>
      </w:r>
      <w:r w:rsidRPr="0043699B">
        <w:rPr>
          <w:rFonts w:ascii="Arial" w:hAnsi="Arial" w:cs="Arial"/>
          <w:sz w:val="18"/>
          <w:szCs w:val="18"/>
        </w:rPr>
        <w:t>，</w:t>
      </w:r>
      <w:r w:rsidRPr="0043699B">
        <w:rPr>
          <w:rFonts w:ascii="Arial" w:hAnsi="Arial" w:cs="Arial"/>
          <w:b/>
          <w:bCs/>
          <w:sz w:val="18"/>
          <w:szCs w:val="18"/>
        </w:rPr>
        <w:t>FI-GCA</w:t>
      </w:r>
      <w:r w:rsidRPr="0043699B">
        <w:rPr>
          <w:rFonts w:ascii="Arial" w:hAnsi="Arial" w:cs="Arial"/>
          <w:sz w:val="18"/>
          <w:szCs w:val="18"/>
        </w:rPr>
        <w:t xml:space="preserve"> the comprehensive geriatric assessment and a frailty index</w:t>
      </w:r>
      <w:r w:rsidRPr="0043699B">
        <w:rPr>
          <w:rFonts w:ascii="Arial" w:hAnsi="Arial" w:cs="Arial"/>
          <w:sz w:val="18"/>
          <w:szCs w:val="18"/>
        </w:rPr>
        <w:t>，</w:t>
      </w:r>
      <w:r w:rsidRPr="0043699B">
        <w:rPr>
          <w:rFonts w:ascii="Arial" w:hAnsi="Arial" w:cs="Arial"/>
          <w:b/>
          <w:bCs/>
          <w:sz w:val="18"/>
          <w:szCs w:val="18"/>
        </w:rPr>
        <w:t>REFS</w:t>
      </w:r>
      <w:r w:rsidRPr="0043699B">
        <w:rPr>
          <w:rFonts w:ascii="Arial" w:hAnsi="Arial" w:cs="Arial"/>
          <w:sz w:val="18"/>
          <w:szCs w:val="18"/>
        </w:rPr>
        <w:t xml:space="preserve"> Reported Edmonton Frail Scale</w:t>
      </w:r>
      <w:r w:rsidRPr="0043699B">
        <w:rPr>
          <w:rFonts w:ascii="Arial" w:hAnsi="Arial" w:cs="Arial"/>
          <w:sz w:val="18"/>
          <w:szCs w:val="18"/>
        </w:rPr>
        <w:t>，</w:t>
      </w:r>
      <w:r w:rsidRPr="0043699B">
        <w:rPr>
          <w:rFonts w:ascii="Arial" w:hAnsi="Arial" w:cs="Arial"/>
          <w:b/>
          <w:bCs/>
          <w:sz w:val="18"/>
          <w:szCs w:val="18"/>
        </w:rPr>
        <w:t>HFRS</w:t>
      </w:r>
      <w:r w:rsidRPr="0043699B">
        <w:rPr>
          <w:rFonts w:ascii="Arial" w:hAnsi="Arial" w:cs="Arial"/>
          <w:sz w:val="18"/>
          <w:szCs w:val="18"/>
        </w:rPr>
        <w:t xml:space="preserve"> Hospital Frailty Risk Score, </w:t>
      </w:r>
      <w:r w:rsidRPr="0043699B">
        <w:rPr>
          <w:rFonts w:ascii="Arial" w:hAnsi="Arial" w:cs="Arial"/>
          <w:b/>
          <w:bCs/>
          <w:sz w:val="18"/>
          <w:szCs w:val="18"/>
        </w:rPr>
        <w:t xml:space="preserve">NA </w:t>
      </w:r>
      <w:r w:rsidRPr="0043699B">
        <w:rPr>
          <w:rFonts w:ascii="Arial" w:hAnsi="Arial" w:cs="Arial"/>
          <w:sz w:val="18"/>
          <w:szCs w:val="18"/>
        </w:rPr>
        <w:t>not available. * Select the frailty measurement to analyze.</w:t>
      </w:r>
    </w:p>
    <w:sectPr w:rsidR="00FB7053" w:rsidSect="00B11D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D5F"/>
    <w:rsid w:val="00B11D5F"/>
    <w:rsid w:val="00FB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08CDA"/>
  <w15:chartTrackingRefBased/>
  <w15:docId w15:val="{5A6D9033-3499-46EC-9E87-1110ECAD9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D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D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640</Words>
  <Characters>3650</Characters>
  <Application>Microsoft Office Word</Application>
  <DocSecurity>0</DocSecurity>
  <Lines>30</Lines>
  <Paragraphs>8</Paragraphs>
  <ScaleCrop>false</ScaleCrop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lina</dc:creator>
  <cp:keywords/>
  <dc:description/>
  <cp:lastModifiedBy>wang lina</cp:lastModifiedBy>
  <cp:revision>1</cp:revision>
  <dcterms:created xsi:type="dcterms:W3CDTF">2023-02-07T07:50:00Z</dcterms:created>
  <dcterms:modified xsi:type="dcterms:W3CDTF">2023-02-07T07:51:00Z</dcterms:modified>
</cp:coreProperties>
</file>