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Supplementary Table.1 One-way ANOVA of cognitive score, gait score, urinary score, iNPH score and mRS improvement(* p&lt;0.05 ** p&lt;0.01)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tbl>
      <w:tblPr>
        <w:tblStyle w:val="2"/>
        <w:tblpPr w:leftFromText="180" w:rightFromText="180" w:vertAnchor="text" w:horzAnchor="page" w:tblpX="1673" w:tblpY="134"/>
        <w:tblOverlap w:val="never"/>
        <w:tblW w:w="8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9"/>
        <w:gridCol w:w="1237"/>
        <w:gridCol w:w="1238"/>
        <w:gridCol w:w="1239"/>
        <w:gridCol w:w="1245"/>
        <w:gridCol w:w="1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tblHeader/>
        </w:trPr>
        <w:tc>
          <w:tcPr>
            <w:tcW w:w="1979" w:type="dxa"/>
            <w:vMerge w:val="restart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group (Mean±Std. Deviation)</w:t>
            </w:r>
          </w:p>
        </w:tc>
        <w:tc>
          <w:tcPr>
            <w:tcW w:w="1245" w:type="dxa"/>
            <w:vMerge w:val="restart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iconfont" w:cs="Times New Roman"/>
                <w:i w:val="0"/>
                <w:iCs w:val="0"/>
                <w:caps w:val="0"/>
                <w:color w:val="CCCCCC"/>
                <w:spacing w:val="0"/>
                <w:kern w:val="0"/>
                <w:sz w:val="24"/>
                <w:szCs w:val="24"/>
                <w:lang w:val="en-US" w:eastAsia="zh-CN" w:bidi="ar"/>
              </w:rPr>
              <w:t></w:t>
            </w:r>
          </w:p>
        </w:tc>
        <w:tc>
          <w:tcPr>
            <w:tcW w:w="1562" w:type="dxa"/>
            <w:vMerge w:val="restart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iconfont" w:cs="Times New Roman"/>
                <w:i w:val="0"/>
                <w:iCs w:val="0"/>
                <w:caps w:val="0"/>
                <w:color w:val="CCCCCC"/>
                <w:spacing w:val="0"/>
                <w:kern w:val="0"/>
                <w:sz w:val="24"/>
                <w:szCs w:val="24"/>
                <w:lang w:val="en-US" w:eastAsia="zh-CN" w:bidi="ar"/>
              </w:rPr>
              <w:t>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tblHeader/>
        </w:trPr>
        <w:tc>
          <w:tcPr>
            <w:tcW w:w="1979" w:type="dxa"/>
            <w:vMerge w:val="continue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resurgery</w:t>
            </w:r>
          </w:p>
        </w:tc>
        <w:tc>
          <w:tcPr>
            <w:tcW w:w="1238" w:type="dxa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sz w:val="24"/>
                <w:szCs w:val="24"/>
                <w:lang w:val="en-US" w:eastAsia="zh-CN"/>
              </w:rPr>
              <w:t>Post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surgery</w:t>
            </w:r>
          </w:p>
        </w:tc>
        <w:tc>
          <w:tcPr>
            <w:tcW w:w="1239" w:type="dxa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 year</w:t>
            </w:r>
          </w:p>
        </w:tc>
        <w:tc>
          <w:tcPr>
            <w:tcW w:w="1245" w:type="dxa"/>
            <w:vMerge w:val="continue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vMerge w:val="continue"/>
            <w:tcBorders>
              <w:bottom w:val="single" w:color="auto" w:sz="6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Cognitive score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1.92±0.72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1.71±0.61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1.71±0.61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4.111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0.017*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Gait score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1.74±0.67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1.48±0.55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1.48±0.55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8.134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0.000**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Urinary score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1.55±0.67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1.49±0.70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1.49±0.70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0.286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0.751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iNPH score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5.20±1.16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4.67±1.32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4.67±1.32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6.883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0.001**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mRS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1.73±0.69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1.58±0.68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1.58±0.68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1.915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0.149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AlienCare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ienCaret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yODIyYmFmYzJmZDhmMjA3MjRkZDQ0ZGRlMjk1YmIifQ=="/>
  </w:docVars>
  <w:rsids>
    <w:rsidRoot w:val="00000000"/>
    <w:rsid w:val="030A260D"/>
    <w:rsid w:val="09FD0F57"/>
    <w:rsid w:val="4CF1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1178</Characters>
  <Lines>0</Lines>
  <Paragraphs>0</Paragraphs>
  <TotalTime>4</TotalTime>
  <ScaleCrop>false</ScaleCrop>
  <LinksUpToDate>false</LinksUpToDate>
  <CharactersWithSpaces>1233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2023-01-06T01:55:00Z</dcterms:created>
  <dc:creator>49975</dc:creator>
  <cp:lastModifiedBy>Tony</cp:lastModifiedBy>
  <dcterms:modified xsi:type="dcterms:W3CDTF">2023-02-02T02:06:25Z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09FB3586EF5F4300BBB51ED03FEC9F2F</vt:lpwstr>
  </property>
</Properties>
</file>