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default" w:ascii="Times New Roman" w:hAnsi="Times New Roman" w:cs="Times New Roman"/>
          <w:b/>
          <w:bCs w:val="0"/>
          <w:color w:val="231F20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Supplementary T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 xml:space="preserve">able 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/>
        </w:rPr>
        <w:t xml:space="preserve">Baseline 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>characteristics of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 xml:space="preserve"> the study participants with HBV DNA suppressed CHB switch-to or added on PEG-IFN treatment.</w:t>
      </w:r>
    </w:p>
    <w:tbl>
      <w:tblPr>
        <w:tblStyle w:val="3"/>
        <w:tblW w:w="14072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3033"/>
        <w:gridCol w:w="3033"/>
        <w:gridCol w:w="3033"/>
        <w:gridCol w:w="100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right" w:pos="3855"/>
              </w:tabs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Baseline 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characteristics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ab/>
            </w:r>
          </w:p>
        </w:tc>
        <w:tc>
          <w:tcPr>
            <w:tcW w:w="30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All (n=320)</w:t>
            </w:r>
          </w:p>
        </w:tc>
        <w:tc>
          <w:tcPr>
            <w:tcW w:w="30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Training Cohort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(n =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0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Validation Cohort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(n = 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0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0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Age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, years, mean (IQR)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37(31-43)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37(30-43)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37(32-44)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0.045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Male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sex, n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269(84.1%)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158(83.6%)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111(84.7%)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0.785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, mean (±SD)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23.00±2.93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23.05±2.81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22.90±3.10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0.673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10"/>
                <w:kern w:val="0"/>
                <w:sz w:val="24"/>
                <w:szCs w:val="24"/>
              </w:rPr>
              <w:t>HBeAg</w:t>
            </w:r>
            <w:r>
              <w:rPr>
                <w:rFonts w:hint="default" w:ascii="Times New Roman" w:hAnsi="Times New Roman" w:cs="Times New Roman"/>
                <w:w w:val="110"/>
                <w:kern w:val="0"/>
                <w:sz w:val="24"/>
                <w:szCs w:val="24"/>
                <w:lang w:val="en-US" w:eastAsia="zh-CN"/>
              </w:rPr>
              <w:t xml:space="preserve">-positive, n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107(33.4%)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106(56.1%)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1(0.8%)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PEG-IFN Treatment,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Switch-to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126(39.4%)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0(0.0%)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126(96.2%)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dd-on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194(60.6%)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189(100.0%)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5(3.8%)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ALT, IU/L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, median (IQR)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23(19-32)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24(17-32)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22(18-31)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0.478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ALT elevation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41(13.1%)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32(17.7%)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9(6.9%)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AST, IU/L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, median (IQR)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23(18-28)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22(18-27)</w:t>
            </w:r>
          </w:p>
        </w:tc>
        <w:tc>
          <w:tcPr>
            <w:tcW w:w="30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23(20-30)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0.140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FIB-4 index, median (IQR)</w:t>
            </w:r>
          </w:p>
        </w:tc>
        <w:tc>
          <w:tcPr>
            <w:tcW w:w="3033" w:type="dxa"/>
            <w:tcBorders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0.97(0.71-1.34)</w:t>
            </w:r>
          </w:p>
        </w:tc>
        <w:tc>
          <w:tcPr>
            <w:tcW w:w="3033" w:type="dxa"/>
            <w:tcBorders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0.92(0.69-1.26)</w:t>
            </w:r>
          </w:p>
        </w:tc>
        <w:tc>
          <w:tcPr>
            <w:tcW w:w="3033" w:type="dxa"/>
            <w:tcBorders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  <w:t>1.01(0.75-1.45)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0.081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6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HBsAg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(log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subscript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IU/mL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), median (IQR)</w:t>
            </w:r>
          </w:p>
        </w:tc>
        <w:tc>
          <w:tcPr>
            <w:tcW w:w="303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3.04(2.63-3.45)</w:t>
            </w:r>
          </w:p>
        </w:tc>
        <w:tc>
          <w:tcPr>
            <w:tcW w:w="303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2.97(2.46-3.42)</w:t>
            </w:r>
          </w:p>
        </w:tc>
        <w:tc>
          <w:tcPr>
            <w:tcW w:w="303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3.17(2.72-3.57)</w:t>
            </w:r>
          </w:p>
        </w:tc>
        <w:tc>
          <w:tcPr>
            <w:tcW w:w="100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0.005</w:t>
            </w:r>
          </w:p>
        </w:tc>
      </w:tr>
    </w:tbl>
    <w:p>
      <w:pPr>
        <w:spacing w:line="360" w:lineRule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Abbreviations: BMI, body mass index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PEG-IFN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, peginterferon; </w:t>
      </w:r>
      <w:r>
        <w:rPr>
          <w:rFonts w:hint="default" w:ascii="Times New Roman" w:hAnsi="Times New Roman" w:eastAsia="Times New Roman" w:cs="Times New Roman"/>
          <w:color w:val="000000" w:themeColor="text1"/>
          <w:spacing w:val="3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ALT, alanine aminotransferase;</w:t>
      </w:r>
      <w:r>
        <w:rPr>
          <w:rFonts w:hint="default" w:ascii="Times New Roman" w:hAnsi="Times New Roman" w:eastAsia="宋体" w:cs="Times New Roman"/>
          <w:color w:val="000000" w:themeColor="text1"/>
          <w:spacing w:val="3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231F20"/>
          <w:sz w:val="24"/>
          <w:szCs w:val="24"/>
        </w:rPr>
        <w:t>ALT elevation</w:t>
      </w:r>
      <w:r>
        <w:rPr>
          <w:rFonts w:hint="eastAsia" w:cs="Times New Roman"/>
          <w:bCs/>
          <w:color w:val="231F20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bCs/>
          <w:color w:val="231F20"/>
          <w:sz w:val="24"/>
          <w:szCs w:val="24"/>
        </w:rPr>
        <w:t xml:space="preserve"> defined as ALT &gt; 1 times the upper limit of the normal</w:t>
      </w:r>
      <w:r>
        <w:rPr>
          <w:rFonts w:hint="default" w:ascii="Times New Roman" w:hAnsi="Times New Roman" w:cs="Times New Roman"/>
          <w:bCs/>
          <w:color w:val="231F2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Times New Roman" w:cs="Times New Roman"/>
          <w:color w:val="000000" w:themeColor="text1"/>
          <w:spacing w:val="3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FIB-4, fibrosis index based on the 4 factors</w:t>
      </w:r>
      <w:r>
        <w:rPr>
          <w:rFonts w:hint="default" w:ascii="Times New Roman" w:hAnsi="Times New Roman" w:eastAsia="宋体" w:cs="Times New Roman"/>
          <w:color w:val="000000" w:themeColor="text1"/>
          <w:spacing w:val="3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cs="Times New Roman"/>
          <w:sz w:val="24"/>
          <w:szCs w:val="24"/>
        </w:rPr>
        <w:t>HBsAg, hepatitis B surface antigen</w:t>
      </w:r>
      <w:r>
        <w:rPr>
          <w:rFonts w:hint="default" w:ascii="Times New Roman" w:hAnsi="Times New Roman" w:eastAsia="宋体" w:cs="Times New Roman"/>
          <w:color w:val="000000" w:themeColor="text1"/>
          <w:spacing w:val="3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360" w:lineRule="auto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*represents patients achieved HBsAg level &lt; 100 IU/mL at week 48 during PEG-IFN treatment. </w:t>
      </w:r>
    </w:p>
    <w:p>
      <w:pPr>
        <w:spacing w:line="360" w:lineRule="auto"/>
        <w:rPr>
          <w:rFonts w:hint="default" w:ascii="Times New Roman" w:hAnsi="Times New Roman" w:cs="Times New Roman"/>
          <w:bCs/>
          <w:color w:val="231F2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Note: </w:t>
      </w:r>
      <w:r>
        <w:rPr>
          <w:rFonts w:hint="default" w:ascii="Times New Roman" w:hAnsi="Times New Roman" w:cs="Times New Roman"/>
          <w:bCs/>
          <w:color w:val="231F20"/>
          <w:sz w:val="24"/>
          <w:szCs w:val="24"/>
        </w:rPr>
        <w:t>The data are presented as means ± standard deviation; skewed data are presented as the median (IQR), and categorical data as the number (percentage). Differences in the baseline characteristics among the two groups were examined using independent samples t test or Mann</w:t>
      </w:r>
      <w:r>
        <w:rPr>
          <w:rFonts w:hint="default" w:ascii="Times New Roman" w:hAnsi="Times New Roman" w:cs="Times New Roman"/>
          <w:bCs/>
          <w:color w:val="231F20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bCs/>
          <w:color w:val="231F20"/>
          <w:sz w:val="24"/>
          <w:szCs w:val="24"/>
        </w:rPr>
        <w:t>Whitney U test for continuous variables and chi-square test or Fisher’s exact test for categorical variables.</w:t>
      </w:r>
    </w:p>
    <w:p>
      <w:pPr>
        <w:sectPr>
          <w:pgSz w:w="16838" w:h="11906" w:orient="landscape"/>
          <w:pgMar w:top="1800" w:right="1440" w:bottom="1800" w:left="144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keepNext/>
        <w:keepLines/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 xml:space="preserve">Supplementary Table 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 xml:space="preserve">. Sensitivity, specificity, positive predictive value (PPV), negative predictive value (NPV), positive likelihood ratio 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 xml:space="preserve">and AUROC 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for different HBsAg levels at the end point of 48-week P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G-IFN treatment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 xml:space="preserve"> in the entire cohort.</w:t>
      </w:r>
    </w:p>
    <w:tbl>
      <w:tblPr>
        <w:tblStyle w:val="7"/>
        <w:tblW w:w="140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016"/>
        <w:gridCol w:w="1109"/>
        <w:gridCol w:w="1016"/>
        <w:gridCol w:w="1109"/>
        <w:gridCol w:w="1365"/>
        <w:gridCol w:w="1367"/>
        <w:gridCol w:w="991"/>
        <w:gridCol w:w="1050"/>
        <w:gridCol w:w="1891"/>
        <w:gridCol w:w="1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1252" w:type="dxa"/>
            <w:vMerge w:val="restart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after="160" w:line="240" w:lineRule="auto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Predicto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r</w:t>
            </w:r>
          </w:p>
          <w:p>
            <w:pPr>
              <w:keepNext/>
              <w:keepLines/>
              <w:autoSpaceDE w:val="0"/>
              <w:autoSpaceDN w:val="0"/>
              <w:adjustRightInd w:val="0"/>
              <w:spacing w:after="160" w:line="240" w:lineRule="auto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True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False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Sensitivity (%)</w:t>
            </w:r>
          </w:p>
        </w:tc>
        <w:tc>
          <w:tcPr>
            <w:tcW w:w="1367" w:type="dxa"/>
            <w:vMerge w:val="restart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Specificity (%)</w:t>
            </w:r>
          </w:p>
        </w:tc>
        <w:tc>
          <w:tcPr>
            <w:tcW w:w="991" w:type="dxa"/>
            <w:vMerge w:val="restart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PPV (%)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NPV (%)</w:t>
            </w:r>
          </w:p>
        </w:tc>
        <w:tc>
          <w:tcPr>
            <w:tcW w:w="1891" w:type="dxa"/>
            <w:vMerge w:val="restart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Positive likelihood ratio</w:t>
            </w:r>
          </w:p>
        </w:tc>
        <w:tc>
          <w:tcPr>
            <w:tcW w:w="1880" w:type="dxa"/>
            <w:vMerge w:val="restart"/>
            <w:vAlign w:val="center"/>
          </w:tcPr>
          <w:p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Times New Roman" w:hAnsi="Times New Roman" w:eastAsia="Calibri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b/>
                <w:bCs/>
                <w:sz w:val="24"/>
                <w:szCs w:val="24"/>
                <w:lang w:val="en-US" w:eastAsia="zh-CN"/>
              </w:rPr>
              <w:t>AUROC</w:t>
            </w:r>
          </w:p>
          <w:p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100" w:beforeAutospacing="1" w:after="100" w:afterAutospacing="1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b/>
                <w:bCs/>
                <w:sz w:val="24"/>
                <w:szCs w:val="24"/>
                <w:lang w:val="en-US" w:eastAsia="zh-CN"/>
              </w:rPr>
              <w:t>(95%CI)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52" w:type="dxa"/>
            <w:vMerge w:val="continue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109" w:type="dxa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1016" w:type="dxa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109" w:type="dxa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vMerge w:val="continue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vMerge w:val="continue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1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046" w:type="dxa"/>
            <w:gridSpan w:val="11"/>
          </w:tcPr>
          <w:p>
            <w:pPr>
              <w:keepNext/>
              <w:keepLines/>
              <w:spacing w:after="0" w:line="360" w:lineRule="auto"/>
              <w:ind w:left="-24"/>
              <w:rPr>
                <w:rFonts w:hint="default" w:ascii="Times New Roman" w:hAnsi="Times New Roman" w:eastAsia="Calibri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sz w:val="24"/>
                <w:szCs w:val="24"/>
              </w:rPr>
              <w:t>HBsAg＜100 IU/mL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≥1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90.21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68.93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70.11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89.71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2.90</w:t>
            </w:r>
          </w:p>
        </w:tc>
        <w:tc>
          <w:tcPr>
            <w:tcW w:w="1880" w:type="dxa"/>
            <w:vMerge w:val="restart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0.86</w:t>
            </w:r>
          </w:p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(0.81-0.89)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≥2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42.66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98.87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96.83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68.09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37.75</w:t>
            </w: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≥3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4.90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100.00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56.55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+</w:t>
            </w:r>
            <w:r>
              <w:rPr>
                <w:rFonts w:hint="default" w:ascii="Calibri" w:hAnsi="Calibri" w:eastAsia="宋体" w:cs="Calibri"/>
                <w:bCs/>
                <w:sz w:val="24"/>
                <w:szCs w:val="24"/>
                <w:lang w:val="en-US" w:eastAsia="zh-CN"/>
              </w:rPr>
              <w:t>∞</w:t>
            </w: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046" w:type="dxa"/>
            <w:gridSpan w:val="11"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default" w:ascii="Times New Roman" w:hAnsi="Times New Roman" w:eastAsia="Calibri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sz w:val="24"/>
                <w:szCs w:val="24"/>
              </w:rPr>
              <w:t>HBsAg＜10 IU/mL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≥1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95.29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56.17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44.02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97.06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2.17</w:t>
            </w:r>
          </w:p>
        </w:tc>
        <w:tc>
          <w:tcPr>
            <w:tcW w:w="1880" w:type="dxa"/>
            <w:vMerge w:val="restart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0.83</w:t>
            </w:r>
          </w:p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(0.79-0.87)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≥2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50.59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91.49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68.25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83.66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5.94</w:t>
            </w: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≥3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235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8.24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100.00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100.00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75.08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+</w:t>
            </w:r>
            <w:r>
              <w:rPr>
                <w:rFonts w:hint="default" w:ascii="Calibri" w:hAnsi="Calibri" w:eastAsia="宋体" w:cs="Calibri"/>
                <w:bCs/>
                <w:sz w:val="24"/>
                <w:szCs w:val="24"/>
                <w:lang w:val="en-US" w:eastAsia="zh-CN"/>
              </w:rPr>
              <w:t>∞</w:t>
            </w: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046" w:type="dxa"/>
            <w:gridSpan w:val="11"/>
          </w:tcPr>
          <w:p>
            <w:pPr>
              <w:spacing w:after="0" w:line="360" w:lineRule="auto"/>
              <w:ind w:left="-24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4"/>
                <w:lang w:eastAsia="zh-CN"/>
              </w:rPr>
              <w:t>HBsAg loss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≥1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94.87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47.69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20.11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98.53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1.81</w:t>
            </w:r>
          </w:p>
        </w:tc>
        <w:tc>
          <w:tcPr>
            <w:tcW w:w="1880" w:type="dxa"/>
            <w:vMerge w:val="restart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0.80</w:t>
            </w:r>
          </w:p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(0.75-0.84)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≥2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58.97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85.77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36.51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89.81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4.14</w:t>
            </w: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2" w:type="dxa"/>
            <w:vAlign w:val="top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≥3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276</w:t>
            </w:r>
          </w:p>
        </w:tc>
        <w:tc>
          <w:tcPr>
            <w:tcW w:w="1016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9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365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5.13</w:t>
            </w:r>
          </w:p>
        </w:tc>
        <w:tc>
          <w:tcPr>
            <w:tcW w:w="1367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98.22</w:t>
            </w:r>
          </w:p>
        </w:tc>
        <w:tc>
          <w:tcPr>
            <w:tcW w:w="9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28.57</w:t>
            </w:r>
          </w:p>
        </w:tc>
        <w:tc>
          <w:tcPr>
            <w:tcW w:w="1050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88.18</w:t>
            </w:r>
          </w:p>
        </w:tc>
        <w:tc>
          <w:tcPr>
            <w:tcW w:w="1891" w:type="dxa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2.88</w:t>
            </w:r>
          </w:p>
        </w:tc>
        <w:tc>
          <w:tcPr>
            <w:tcW w:w="1880" w:type="dxa"/>
            <w:vMerge w:val="continue"/>
          </w:tcPr>
          <w:p>
            <w:pPr>
              <w:keepNext/>
              <w:keepLine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</w:tbl>
    <w:p>
      <w:pPr>
        <w:keepNext/>
        <w:keepLines/>
        <w:autoSpaceDE w:val="0"/>
        <w:autoSpaceDN w:val="0"/>
        <w:adjustRightInd w:val="0"/>
        <w:spacing w:line="360" w:lineRule="auto"/>
        <w:rPr>
          <w:rFonts w:hint="default" w:ascii="Times New Roman" w:hAnsi="Times New Roman" w:eastAsia="Calibri" w:cs="Times New Roman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>Sensitivity = 100 x true positive/(true positive + false negative); Specificity = 100 x true negative/(true negative + false positive); PPV = 100 x true positive/(true positive + false positive); NPV= 100 x true negative/(true negative + false negative); Positive likelihood ratio = Sensitivity/(100 - Specificity).</w:t>
      </w: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  <w:lang w:val="de-DE"/>
        </w:rPr>
        <w:t>Abbreviation:</w:t>
      </w: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HBsAg, hepatitis B surface antigen</w:t>
      </w:r>
      <w:r>
        <w:rPr>
          <w:rFonts w:hint="eastAsia" w:cs="Times New Roman"/>
          <w:sz w:val="24"/>
          <w:szCs w:val="24"/>
          <w:lang w:val="en-US" w:eastAsia="zh-CN"/>
        </w:rPr>
        <w:t xml:space="preserve">; AUROC, </w:t>
      </w:r>
      <w:r>
        <w:rPr>
          <w:rFonts w:hint="eastAsia" w:eastAsia="Times New Roman"/>
          <w:color w:val="000000" w:themeColor="text1"/>
          <w:spacing w:val="3"/>
          <w:shd w:val="clear" w:color="auto" w:fill="FFFFFF"/>
          <w14:textFill>
            <w14:solidFill>
              <w14:schemeClr w14:val="tx1"/>
            </w14:solidFill>
          </w14:textFill>
        </w:rPr>
        <w:t>area under the</w:t>
      </w:r>
      <w:r>
        <w:rPr>
          <w:rFonts w:hint="eastAsia" w:eastAsia="宋体"/>
          <w:color w:val="000000" w:themeColor="text1"/>
          <w:spacing w:val="3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Times New Roman"/>
          <w:color w:val="000000" w:themeColor="text1"/>
          <w:spacing w:val="3"/>
          <w:shd w:val="clear" w:color="auto" w:fill="FFFFFF"/>
          <w14:textFill>
            <w14:solidFill>
              <w14:schemeClr w14:val="tx1"/>
            </w14:solidFill>
          </w14:textFill>
        </w:rPr>
        <w:t>receiver operating curve</w:t>
      </w:r>
      <w:r>
        <w:rPr>
          <w:rFonts w:hint="eastAsia" w:eastAsia="宋体"/>
          <w:color w:val="000000" w:themeColor="text1"/>
          <w:spacing w:val="3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360" w:lineRule="auto"/>
        <w:ind w:left="-90"/>
        <w:rPr>
          <w:rFonts w:hint="default" w:ascii="Times New Roman" w:hAnsi="Times New Roman" w:eastAsia="宋体" w:cs="Times New Roman"/>
          <w:b/>
          <w:bCs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Proportion of different HBsAg levels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at the end point of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48-w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eek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PFG-IFN t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reatment by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cor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 xml:space="preserve">ing system 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>in the training cohort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2835"/>
        <w:gridCol w:w="2835"/>
        <w:gridCol w:w="2835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Predictor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Score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HB</w:t>
            </w:r>
            <w:r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Ag</w:t>
            </w:r>
            <w:r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＜100 IU/mL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HB</w:t>
            </w:r>
            <w:r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Ag</w:t>
            </w:r>
            <w:r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＜10 IU/mL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de-CH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HBsAg loss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n/N (%)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39.7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(1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2.0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4.0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2.7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82/189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43.4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47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57.3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30.5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9.8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28/189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9.5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.7)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35.7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25.0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All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189/189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(100)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88/189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46.6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49/189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(2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5.9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21/189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11.1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</w:tbl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 xml:space="preserve">Abbreviations: </w:t>
      </w:r>
      <w:r>
        <w:rPr>
          <w:rFonts w:hint="default" w:ascii="Times New Roman" w:hAnsi="Times New Roman" w:cs="Times New Roman"/>
          <w:sz w:val="24"/>
          <w:szCs w:val="24"/>
        </w:rPr>
        <w:t>HBsAg, hepatitis B surface antigen</w:t>
      </w: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>.</w:t>
      </w:r>
    </w:p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Proportion of different HBsAg levels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at the end point of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48-w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eek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PFG-IFN t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reatment by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cor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 xml:space="preserve">ing system 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>in the validation cohort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2835"/>
        <w:gridCol w:w="2835"/>
        <w:gridCol w:w="2835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Predictor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HB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＜100 IU/mL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HB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＜10 IU/mL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de-CH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4"/>
                <w:lang w:eastAsia="zh-CN"/>
              </w:rPr>
              <w:t>HBsAg loss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46.6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8.2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1.6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29.8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53.9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33.3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15.4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21.4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92.9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67.9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39.3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2.3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33.3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All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(100)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42.0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27.5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13.7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 xml:space="preserve">Abbreviations: </w:t>
      </w:r>
      <w:r>
        <w:rPr>
          <w:rFonts w:hint="default" w:ascii="Times New Roman" w:hAnsi="Times New Roman" w:cs="Times New Roman"/>
          <w:sz w:val="24"/>
          <w:szCs w:val="24"/>
        </w:rPr>
        <w:t>HBsAg, hepatitis B surface antigen</w:t>
      </w: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>.</w:t>
      </w:r>
    </w:p>
    <w:p>
      <w:pPr>
        <w:sectPr>
          <w:pgSz w:w="16838" w:h="11906" w:orient="landscape"/>
          <w:pgMar w:top="1800" w:right="1440" w:bottom="1800" w:left="144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Proportion of different HBsAg levels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at the end point of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48-w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eek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PFG-IFN t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reatment by 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cor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 xml:space="preserve">ing system </w:t>
      </w:r>
      <w:r>
        <w:rPr>
          <w:rFonts w:hint="eastAsia" w:eastAsia="宋体" w:cs="Times New Roman"/>
          <w:b/>
          <w:bCs w:val="0"/>
          <w:sz w:val="24"/>
          <w:szCs w:val="24"/>
          <w:lang w:val="en-US" w:eastAsia="zh-CN"/>
        </w:rPr>
        <w:t>in the entire cohort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2835"/>
        <w:gridCol w:w="2835"/>
        <w:gridCol w:w="2835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Predictor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HB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＜100 IU/mL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HB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  <w:t>＜10 IU/mL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de-CH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4"/>
                <w:lang w:eastAsia="zh-CN"/>
              </w:rPr>
              <w:t>HBsAg loss</w:t>
            </w:r>
          </w:p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n/N (%)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13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2.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/13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(1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0.3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/13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(2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.9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2/13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1.5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37.8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56.2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31.4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11.6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17.5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96.4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64.3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37.5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2.2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100.0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28.6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3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All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(100)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143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44.7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(2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.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>
            <w:pPr>
              <w:spacing w:after="0" w:line="360" w:lineRule="auto"/>
              <w:ind w:left="-24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/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hint="eastAsia" w:eastAsia="宋体" w:cs="Times New Roman"/>
                <w:bCs/>
                <w:sz w:val="24"/>
                <w:szCs w:val="24"/>
                <w:lang w:val="en-US" w:eastAsia="zh-CN"/>
              </w:rPr>
              <w:t>12.2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 xml:space="preserve">Abbreviations: </w:t>
      </w:r>
      <w:r>
        <w:rPr>
          <w:rFonts w:hint="default" w:ascii="Times New Roman" w:hAnsi="Times New Roman" w:cs="Times New Roman"/>
          <w:sz w:val="24"/>
          <w:szCs w:val="24"/>
        </w:rPr>
        <w:t>HBsAg, hepatitis B surface antigen</w:t>
      </w:r>
      <w:r>
        <w:rPr>
          <w:rFonts w:hint="default" w:ascii="Times New Roman" w:hAnsi="Times New Roman" w:eastAsia="宋体" w:cs="Times New Roman"/>
          <w:bCs/>
          <w:sz w:val="24"/>
          <w:szCs w:val="24"/>
          <w:lang w:val="de-DE"/>
        </w:rPr>
        <w:t>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44396"/>
    <w:rsid w:val="09544396"/>
    <w:rsid w:val="100C2947"/>
    <w:rsid w:val="15156D1E"/>
    <w:rsid w:val="233669C7"/>
    <w:rsid w:val="27212016"/>
    <w:rsid w:val="317204B2"/>
    <w:rsid w:val="363A3A40"/>
    <w:rsid w:val="379271AD"/>
    <w:rsid w:val="3DC91629"/>
    <w:rsid w:val="45846D5E"/>
    <w:rsid w:val="4BFC2A7F"/>
    <w:rsid w:val="698711A8"/>
    <w:rsid w:val="6B6865F3"/>
    <w:rsid w:val="7360676B"/>
    <w:rsid w:val="771A723D"/>
    <w:rsid w:val="786639CA"/>
    <w:rsid w:val="7E9B275B"/>
    <w:rsid w:val="7EAC2A75"/>
    <w:rsid w:val="7F21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宋体" w:cs="Times New Roman"/>
      <w:sz w:val="24"/>
      <w:szCs w:val="24"/>
      <w:lang w:val="en-GB" w:eastAsia="ja-JP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3"/>
    <w:uiPriority w:val="59"/>
    <w:pPr>
      <w:spacing w:after="0" w:line="240" w:lineRule="auto"/>
    </w:pPr>
    <w:rPr>
      <w:rFonts w:eastAsia="宋体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">
    <w:name w:val="Tabellenraster2"/>
    <w:basedOn w:val="3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Supplementary Table 1"/>
    </customSectPr>
    <customSectPr>
      <sectNamePr val="Supplementary Table 2"/>
    </customSectPr>
    <customSectPr>
      <sectNamePr val="Supplementary Table 2"/>
    </customSectPr>
    <customSectPr>
      <sectNamePr val="Supplementary Table 2"/>
    </customSectPr>
    <customSectPr>
      <sectNamePr val="Supplementary Table 3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2020-12-28T07:30:00Z</dcterms:created>
  <dc:creator>黄燕</dc:creator>
  <cp:lastModifiedBy>黄燕</cp:lastModifiedBy>
  <dcterms:modified xsi:type="dcterms:W3CDTF">2021-01-24T04:43:31Z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