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C12D4A" w14:textId="77777777" w:rsidR="0065030F" w:rsidRDefault="0065030F" w:rsidP="0065030F">
      <w:pPr>
        <w:spacing w:line="480" w:lineRule="auto"/>
        <w:jc w:val="center"/>
        <w:rPr>
          <w:b/>
          <w:bCs/>
          <w:color w:val="000000" w:themeColor="text1"/>
          <w:lang w:val="en-US"/>
        </w:rPr>
      </w:pPr>
    </w:p>
    <w:p w14:paraId="2656E8D2" w14:textId="36F1F141" w:rsidR="0065030F" w:rsidRPr="0065030F" w:rsidRDefault="0065030F" w:rsidP="0065030F">
      <w:pPr>
        <w:spacing w:line="480" w:lineRule="auto"/>
        <w:jc w:val="center"/>
        <w:rPr>
          <w:b/>
          <w:bCs/>
          <w:color w:val="000000" w:themeColor="text1"/>
          <w:lang w:val="en-US"/>
        </w:rPr>
      </w:pPr>
      <w:r w:rsidRPr="0065030F">
        <w:rPr>
          <w:b/>
          <w:bCs/>
          <w:color w:val="000000" w:themeColor="text1"/>
          <w:lang w:val="en-US"/>
        </w:rPr>
        <w:t>Supplementary Information 8</w:t>
      </w:r>
    </w:p>
    <w:p w14:paraId="7C4FBF7A" w14:textId="77777777" w:rsidR="0065030F" w:rsidRPr="0065030F" w:rsidRDefault="0065030F" w:rsidP="0065030F">
      <w:pPr>
        <w:spacing w:line="480" w:lineRule="auto"/>
        <w:jc w:val="center"/>
        <w:rPr>
          <w:b/>
          <w:bCs/>
          <w:color w:val="000000" w:themeColor="text1"/>
          <w:lang w:val="en-US"/>
        </w:rPr>
      </w:pPr>
      <w:r w:rsidRPr="0065030F">
        <w:rPr>
          <w:b/>
          <w:bCs/>
          <w:color w:val="000000" w:themeColor="text1"/>
          <w:lang w:val="en-US"/>
        </w:rPr>
        <w:t>Interpretation of our Bayesian phylogenetic analysis of the archaeological database</w:t>
      </w:r>
    </w:p>
    <w:p w14:paraId="27909E3B" w14:textId="576AA264" w:rsidR="0065030F" w:rsidRDefault="0065030F" w:rsidP="0065030F">
      <w:pPr>
        <w:spacing w:line="480" w:lineRule="auto"/>
        <w:jc w:val="center"/>
        <w:rPr>
          <w:b/>
          <w:bCs/>
          <w:color w:val="000000" w:themeColor="text1"/>
          <w:lang w:val="en-US"/>
        </w:rPr>
      </w:pPr>
      <w:r w:rsidRPr="0065030F">
        <w:rPr>
          <w:b/>
          <w:bCs/>
          <w:color w:val="000000" w:themeColor="text1"/>
          <w:lang w:val="en-US"/>
        </w:rPr>
        <w:t xml:space="preserve"> in Extended data Fig. 2.</w:t>
      </w:r>
    </w:p>
    <w:p w14:paraId="2EE951F8" w14:textId="47FA6DC9" w:rsidR="0065030F" w:rsidRDefault="0065030F" w:rsidP="004D5924">
      <w:pPr>
        <w:spacing w:line="480" w:lineRule="auto"/>
        <w:rPr>
          <w:b/>
          <w:bCs/>
          <w:color w:val="000000" w:themeColor="text1"/>
          <w:lang w:val="en-US"/>
        </w:rPr>
      </w:pPr>
    </w:p>
    <w:p w14:paraId="473742E4" w14:textId="216A1ADF" w:rsidR="00F16395" w:rsidRPr="004D5924" w:rsidRDefault="0065030F" w:rsidP="0065030F">
      <w:pPr>
        <w:spacing w:line="480" w:lineRule="auto"/>
        <w:rPr>
          <w:b/>
          <w:bCs/>
          <w:color w:val="000000" w:themeColor="text1"/>
          <w:lang w:val="en-US"/>
        </w:rPr>
      </w:pPr>
      <w:r>
        <w:rPr>
          <w:b/>
          <w:bCs/>
          <w:color w:val="000000" w:themeColor="text1"/>
          <w:lang w:val="en-US"/>
        </w:rPr>
        <w:t>1 Methods</w:t>
      </w:r>
    </w:p>
    <w:p w14:paraId="31356233" w14:textId="77777777" w:rsidR="00D02FC7" w:rsidRDefault="00F16395" w:rsidP="009A4E5A">
      <w:pPr>
        <w:spacing w:line="480" w:lineRule="auto"/>
        <w:rPr>
          <w:color w:val="000000" w:themeColor="text1"/>
          <w:lang w:val="en-US"/>
        </w:rPr>
      </w:pPr>
      <w:r>
        <w:rPr>
          <w:color w:val="212121"/>
          <w:lang w:val="en-US"/>
        </w:rPr>
        <w:t xml:space="preserve">We scored </w:t>
      </w:r>
      <w:r w:rsidRPr="00FD5D88">
        <w:rPr>
          <w:color w:val="000000" w:themeColor="text1"/>
          <w:lang w:val="en-GB"/>
        </w:rPr>
        <w:t>172 cultural traits</w:t>
      </w:r>
      <w:r>
        <w:rPr>
          <w:color w:val="000000" w:themeColor="text1"/>
          <w:lang w:val="en-GB"/>
        </w:rPr>
        <w:t xml:space="preserve"> as </w:t>
      </w:r>
      <w:r w:rsidRPr="00FD5D88">
        <w:rPr>
          <w:color w:val="000000" w:themeColor="text1"/>
          <w:lang w:val="en-GB"/>
        </w:rPr>
        <w:t>present (1) or absent (0)</w:t>
      </w:r>
      <w:r>
        <w:rPr>
          <w:color w:val="000000" w:themeColor="text1"/>
          <w:lang w:val="en-GB"/>
        </w:rPr>
        <w:t xml:space="preserve"> </w:t>
      </w:r>
      <w:r w:rsidRPr="00FD5D88">
        <w:rPr>
          <w:color w:val="000000" w:themeColor="text1"/>
          <w:lang w:val="en-GB"/>
        </w:rPr>
        <w:t>for a total of 25</w:t>
      </w:r>
      <w:r>
        <w:rPr>
          <w:color w:val="000000" w:themeColor="text1"/>
          <w:lang w:val="en-GB"/>
        </w:rPr>
        <w:t>5</w:t>
      </w:r>
      <w:r w:rsidRPr="00FD5D88">
        <w:rPr>
          <w:color w:val="000000" w:themeColor="text1"/>
          <w:lang w:val="en-GB"/>
        </w:rPr>
        <w:t xml:space="preserve"> Neolithic-Bronze Age archaeological sites</w:t>
      </w:r>
      <w:r>
        <w:rPr>
          <w:color w:val="000000" w:themeColor="text1"/>
          <w:lang w:val="en-GB"/>
        </w:rPr>
        <w:t xml:space="preserve"> </w:t>
      </w:r>
      <w:r w:rsidRPr="00FD5D88">
        <w:rPr>
          <w:color w:val="000000" w:themeColor="text1"/>
          <w:lang w:val="en-GB"/>
        </w:rPr>
        <w:t xml:space="preserve">phases from the West Liao river basin (36), the Amur (Jilin, Heilongjiang and </w:t>
      </w:r>
      <w:r>
        <w:rPr>
          <w:color w:val="000000" w:themeColor="text1"/>
          <w:lang w:val="en-GB"/>
        </w:rPr>
        <w:t xml:space="preserve">inland </w:t>
      </w:r>
      <w:r w:rsidRPr="00FD5D88">
        <w:rPr>
          <w:color w:val="000000" w:themeColor="text1"/>
          <w:lang w:val="en-GB"/>
        </w:rPr>
        <w:t>Liaoning) (32), the Primorye (4), the Liaodong peninsula (37), the eastern steppes (1), the Shandong peninsula (4), the Yellow River basin (2), the Korean peninsula (58) and the Japanese Islands (85)</w:t>
      </w:r>
      <w:r>
        <w:rPr>
          <w:color w:val="000000" w:themeColor="text1"/>
          <w:lang w:val="en-GB"/>
        </w:rPr>
        <w:t xml:space="preserve"> in o</w:t>
      </w:r>
      <w:r>
        <w:rPr>
          <w:color w:val="212121"/>
          <w:lang w:val="en-US"/>
        </w:rPr>
        <w:t xml:space="preserve">ur </w:t>
      </w:r>
      <w:r>
        <w:rPr>
          <w:color w:val="000000" w:themeColor="text1"/>
          <w:lang w:val="en-US"/>
        </w:rPr>
        <w:t>archaeological database (SI 6).</w:t>
      </w:r>
      <w:r w:rsidR="009A4E5A">
        <w:rPr>
          <w:color w:val="000000" w:themeColor="text1"/>
          <w:lang w:val="en-US"/>
        </w:rPr>
        <w:t xml:space="preserve"> </w:t>
      </w:r>
      <w:r>
        <w:rPr>
          <w:color w:val="000000" w:themeColor="text1"/>
          <w:lang w:val="en-US"/>
        </w:rPr>
        <w:t>Th</w:t>
      </w:r>
      <w:r w:rsidR="00B64C10">
        <w:rPr>
          <w:color w:val="000000" w:themeColor="text1"/>
          <w:lang w:val="en-US"/>
        </w:rPr>
        <w:t>is</w:t>
      </w:r>
      <w:r>
        <w:rPr>
          <w:color w:val="000000" w:themeColor="text1"/>
          <w:lang w:val="en-US"/>
        </w:rPr>
        <w:t xml:space="preserve"> scoring</w:t>
      </w:r>
      <w:r w:rsidR="00EE3551">
        <w:rPr>
          <w:color w:val="000000" w:themeColor="text1"/>
          <w:lang w:val="en-US"/>
        </w:rPr>
        <w:t xml:space="preserve"> </w:t>
      </w:r>
      <w:r>
        <w:rPr>
          <w:color w:val="000000" w:themeColor="text1"/>
          <w:lang w:val="en-US"/>
        </w:rPr>
        <w:t>was</w:t>
      </w:r>
      <w:r w:rsidR="00EE3551">
        <w:rPr>
          <w:color w:val="000000" w:themeColor="text1"/>
          <w:lang w:val="en-US"/>
        </w:rPr>
        <w:t xml:space="preserve"> analyzed </w:t>
      </w:r>
      <w:r w:rsidR="009A4E5A">
        <w:rPr>
          <w:color w:val="000000" w:themeColor="text1"/>
          <w:lang w:val="en-US"/>
        </w:rPr>
        <w:t>through</w:t>
      </w:r>
      <w:r w:rsidR="00EE3551">
        <w:rPr>
          <w:color w:val="000000" w:themeColor="text1"/>
          <w:lang w:val="en-US"/>
        </w:rPr>
        <w:t xml:space="preserve"> Bayesian phylogenetic methods</w:t>
      </w:r>
      <w:r w:rsidR="009A4E5A">
        <w:rPr>
          <w:color w:val="000000" w:themeColor="text1"/>
          <w:lang w:val="en-US"/>
        </w:rPr>
        <w:t xml:space="preserve"> using the </w:t>
      </w:r>
      <w:r w:rsidR="009A4E5A" w:rsidRPr="00E1591B">
        <w:rPr>
          <w:color w:val="212121"/>
        </w:rPr>
        <w:t>models, priors, hyperpriors and settings</w:t>
      </w:r>
      <w:r w:rsidR="00EE3551">
        <w:rPr>
          <w:color w:val="000000" w:themeColor="text1"/>
          <w:lang w:val="en-US"/>
        </w:rPr>
        <w:t xml:space="preserve"> </w:t>
      </w:r>
      <w:r w:rsidR="009A4E5A">
        <w:rPr>
          <w:color w:val="000000" w:themeColor="text1"/>
          <w:lang w:val="en-US"/>
        </w:rPr>
        <w:t>specified in the method section of our manuscript and in the supplementary information (SI 20, 21</w:t>
      </w:r>
      <w:r w:rsidR="00EE3551">
        <w:rPr>
          <w:color w:val="000000" w:themeColor="text1"/>
          <w:lang w:val="en-US"/>
        </w:rPr>
        <w:t>).</w:t>
      </w:r>
      <w:r>
        <w:rPr>
          <w:color w:val="000000" w:themeColor="text1"/>
          <w:lang w:val="en-US"/>
        </w:rPr>
        <w:t xml:space="preserve"> </w:t>
      </w:r>
      <w:r w:rsidR="009A4E5A">
        <w:rPr>
          <w:color w:val="000000" w:themeColor="text1"/>
          <w:lang w:val="en-US"/>
        </w:rPr>
        <w:t xml:space="preserve">On the basis of current thinking in archaeology, we applied two constraints to our analysis. </w:t>
      </w:r>
      <w:r w:rsidR="009A4E5A" w:rsidRPr="00E43E9B">
        <w:rPr>
          <w:color w:val="000000" w:themeColor="text1"/>
          <w:lang w:val="en-US"/>
        </w:rPr>
        <w:t>The first was a monophyletic constraint, grouping the Xinglongwa</w:t>
      </w:r>
      <w:r w:rsidR="00B64C10" w:rsidRPr="00E43E9B">
        <w:rPr>
          <w:color w:val="000000" w:themeColor="text1"/>
          <w:lang w:val="en-US"/>
        </w:rPr>
        <w:t xml:space="preserve"> (</w:t>
      </w:r>
      <w:r w:rsidR="00B64C10" w:rsidRPr="00E43E9B">
        <w:t>8200–7400 BP</w:t>
      </w:r>
      <w:r w:rsidR="00B64C10" w:rsidRPr="00E43E9B">
        <w:rPr>
          <w:color w:val="000000" w:themeColor="text1"/>
          <w:lang w:val="en-US"/>
        </w:rPr>
        <w:t>)</w:t>
      </w:r>
      <w:r w:rsidR="009A4E5A" w:rsidRPr="00E43E9B">
        <w:rPr>
          <w:color w:val="000000" w:themeColor="text1"/>
          <w:lang w:val="en-US"/>
        </w:rPr>
        <w:t>, Zhaobaogou</w:t>
      </w:r>
      <w:r w:rsidR="00B64C10" w:rsidRPr="00E43E9B">
        <w:rPr>
          <w:color w:val="000000" w:themeColor="text1"/>
          <w:lang w:val="en-US"/>
        </w:rPr>
        <w:t xml:space="preserve"> </w:t>
      </w:r>
      <w:r w:rsidR="00E43E9B" w:rsidRPr="00E43E9B">
        <w:rPr>
          <w:color w:val="000000" w:themeColor="text1"/>
          <w:lang w:val="en-US"/>
        </w:rPr>
        <w:t>(</w:t>
      </w:r>
      <w:r w:rsidR="00B64C10" w:rsidRPr="00E43E9B">
        <w:t>7400–6500 BP</w:t>
      </w:r>
      <w:r w:rsidR="00E43E9B" w:rsidRPr="00E43E9B">
        <w:rPr>
          <w:lang w:val="en-US"/>
        </w:rPr>
        <w:t>)</w:t>
      </w:r>
      <w:r w:rsidR="009A4E5A" w:rsidRPr="00E43E9B">
        <w:rPr>
          <w:color w:val="000000" w:themeColor="text1"/>
          <w:lang w:val="en-US"/>
        </w:rPr>
        <w:t xml:space="preserve"> and Hongshang</w:t>
      </w:r>
      <w:r w:rsidR="00B64C10" w:rsidRPr="00E43E9B">
        <w:rPr>
          <w:color w:val="000000" w:themeColor="text1"/>
          <w:lang w:val="en-US"/>
        </w:rPr>
        <w:t xml:space="preserve"> (</w:t>
      </w:r>
      <w:r w:rsidR="00E43E9B" w:rsidRPr="00E43E9B">
        <w:rPr>
          <w:lang w:val="en-US"/>
        </w:rPr>
        <w:t>6</w:t>
      </w:r>
      <w:r w:rsidR="00B64C10" w:rsidRPr="00E43E9B">
        <w:t>500–</w:t>
      </w:r>
      <w:r w:rsidR="00E43E9B" w:rsidRPr="00E43E9B">
        <w:rPr>
          <w:lang w:val="en-US"/>
        </w:rPr>
        <w:t>4900 BP)</w:t>
      </w:r>
      <w:r w:rsidR="00B64C10" w:rsidRPr="00E43E9B">
        <w:t xml:space="preserve"> </w:t>
      </w:r>
      <w:r w:rsidR="00E43E9B" w:rsidRPr="00E43E9B">
        <w:rPr>
          <w:lang w:val="en-US"/>
        </w:rPr>
        <w:t xml:space="preserve"> </w:t>
      </w:r>
      <w:r w:rsidR="009A4E5A" w:rsidRPr="00E43E9B">
        <w:rPr>
          <w:color w:val="000000" w:themeColor="text1"/>
          <w:lang w:val="en-US"/>
        </w:rPr>
        <w:t>cultures from the West Liao together</w:t>
      </w:r>
      <w:r w:rsidR="00B64C10" w:rsidRPr="00E43E9B">
        <w:rPr>
          <w:color w:val="000000" w:themeColor="text1"/>
          <w:lang w:val="en-US"/>
        </w:rPr>
        <w:t xml:space="preserve">, in line with the observation that the </w:t>
      </w:r>
      <w:r w:rsidR="00B64C10" w:rsidRPr="00E43E9B">
        <w:t>defining features of the Hongshan society</w:t>
      </w:r>
      <w:r w:rsidR="00B64C10" w:rsidRPr="00E43E9B">
        <w:rPr>
          <w:color w:val="000000" w:themeColor="text1"/>
          <w:lang w:val="en-US"/>
        </w:rPr>
        <w:t xml:space="preserve"> </w:t>
      </w:r>
      <w:r w:rsidR="00B64C10" w:rsidRPr="00E43E9B">
        <w:t>originated in the Xinglongwa and Zhaobaogou periods</w:t>
      </w:r>
      <w:r w:rsidR="00B64C10" w:rsidRPr="00E43E9B">
        <w:rPr>
          <w:lang w:val="en-US"/>
        </w:rPr>
        <w:t xml:space="preserve"> (Shelach and Teng 2013).</w:t>
      </w:r>
      <w:r w:rsidR="00E43E9B">
        <w:rPr>
          <w:lang w:val="en-US"/>
        </w:rPr>
        <w:t xml:space="preserve"> The second was a constraint, grouping our 4 sites from the </w:t>
      </w:r>
      <w:r w:rsidR="00E43E9B" w:rsidRPr="00E43E9B">
        <w:rPr>
          <w:lang w:val="en-US"/>
        </w:rPr>
        <w:t>Zaisanovka culture (</w:t>
      </w:r>
      <w:r w:rsidR="00E43E9B" w:rsidRPr="00E43E9B">
        <w:rPr>
          <w:color w:val="000000"/>
        </w:rPr>
        <w:t>5200</w:t>
      </w:r>
      <w:r w:rsidR="00E43E9B" w:rsidRPr="00E43E9B">
        <w:t>-</w:t>
      </w:r>
      <w:r w:rsidR="00E43E9B" w:rsidRPr="00E43E9B">
        <w:rPr>
          <w:color w:val="000000"/>
        </w:rPr>
        <w:t>3300 BP</w:t>
      </w:r>
      <w:r w:rsidR="00E43E9B" w:rsidRPr="00E43E9B">
        <w:rPr>
          <w:lang w:val="en-US"/>
        </w:rPr>
        <w:t>) in the Southern Primorye (i.e., Zaisanovka 7, Krounovka 1, Novoselishche-4  and Vodopadnoe-7) together with the</w:t>
      </w:r>
      <w:r w:rsidR="00012BB0">
        <w:rPr>
          <w:lang w:val="en-US"/>
        </w:rPr>
        <w:t xml:space="preserve"> </w:t>
      </w:r>
      <w:r w:rsidR="00E43E9B" w:rsidRPr="00E43E9B">
        <w:t xml:space="preserve">Yabuli </w:t>
      </w:r>
      <w:r w:rsidR="00E43E9B" w:rsidRPr="00E43E9B">
        <w:rPr>
          <w:lang w:val="en-US"/>
        </w:rPr>
        <w:t>(</w:t>
      </w:r>
      <w:r w:rsidR="00E43E9B" w:rsidRPr="00E43E9B">
        <w:t>4500-4000 BP</w:t>
      </w:r>
      <w:r w:rsidR="00E43E9B" w:rsidRPr="00E43E9B">
        <w:rPr>
          <w:lang w:val="en-US"/>
        </w:rPr>
        <w:t xml:space="preserve">) </w:t>
      </w:r>
      <w:r w:rsidR="00012BB0">
        <w:rPr>
          <w:lang w:val="en-US"/>
        </w:rPr>
        <w:t>culture</w:t>
      </w:r>
      <w:r w:rsidR="00E43E9B" w:rsidRPr="00E43E9B">
        <w:rPr>
          <w:lang w:val="en-US"/>
        </w:rPr>
        <w:t xml:space="preserve"> in </w:t>
      </w:r>
      <w:r w:rsidR="00E43E9B" w:rsidRPr="00012BB0">
        <w:rPr>
          <w:lang w:val="en-US"/>
        </w:rPr>
        <w:t xml:space="preserve">the adjacent part of the Amur region, in line with </w:t>
      </w:r>
      <w:r w:rsidR="00012BB0" w:rsidRPr="00012BB0">
        <w:rPr>
          <w:lang w:val="en-US"/>
        </w:rPr>
        <w:t xml:space="preserve">the viewpoint of </w:t>
      </w:r>
      <w:r w:rsidR="00012BB0" w:rsidRPr="00012BB0">
        <w:rPr>
          <w:rFonts w:eastAsiaTheme="minorEastAsia"/>
          <w:lang w:val="en-GB"/>
        </w:rPr>
        <w:t>Yabuli as possible source for cultural influences on the Zaisanovka culture</w:t>
      </w:r>
      <w:r w:rsidR="00012BB0" w:rsidRPr="00012BB0">
        <w:rPr>
          <w:lang w:val="en-US"/>
        </w:rPr>
        <w:t xml:space="preserve"> </w:t>
      </w:r>
      <w:r w:rsidR="001F519E" w:rsidRPr="00012BB0">
        <w:rPr>
          <w:lang w:val="en-US"/>
        </w:rPr>
        <w:t>(</w:t>
      </w:r>
      <w:r w:rsidR="00012BB0" w:rsidRPr="00012BB0">
        <w:rPr>
          <w:lang w:val="en-US"/>
        </w:rPr>
        <w:t xml:space="preserve">Miyamoto 2014; </w:t>
      </w:r>
      <w:r w:rsidR="001F519E" w:rsidRPr="00012BB0">
        <w:rPr>
          <w:lang w:val="en-US"/>
        </w:rPr>
        <w:t>Li et al. 2020)</w:t>
      </w:r>
      <w:r w:rsidR="00012BB0" w:rsidRPr="00012BB0">
        <w:rPr>
          <w:lang w:val="en-US"/>
        </w:rPr>
        <w:t>.</w:t>
      </w:r>
      <w:r w:rsidR="00012BB0">
        <w:rPr>
          <w:lang w:val="en-US"/>
        </w:rPr>
        <w:t xml:space="preserve"> </w:t>
      </w:r>
      <w:r w:rsidR="009A4E5A">
        <w:rPr>
          <w:color w:val="000000" w:themeColor="text1"/>
          <w:lang w:val="en-US"/>
        </w:rPr>
        <w:t>The results of our Bayesian analysis are visualized as a phylogenetic tree</w:t>
      </w:r>
      <w:r w:rsidR="009A4E5A" w:rsidRPr="00C90511">
        <w:rPr>
          <w:rFonts w:eastAsiaTheme="minorEastAsia"/>
          <w:color w:val="000000" w:themeColor="text1"/>
          <w:lang w:val="en-GB"/>
        </w:rPr>
        <w:t xml:space="preserve"> of </w:t>
      </w:r>
      <w:r w:rsidR="009A4E5A">
        <w:rPr>
          <w:rFonts w:eastAsiaTheme="minorEastAsia"/>
          <w:color w:val="000000" w:themeColor="text1"/>
          <w:lang w:val="en-GB"/>
        </w:rPr>
        <w:t xml:space="preserve">archaeological cultures in Northeast Asia </w:t>
      </w:r>
      <w:r w:rsidR="009A4E5A">
        <w:rPr>
          <w:color w:val="000000" w:themeColor="text1"/>
          <w:lang w:val="en-US"/>
        </w:rPr>
        <w:t>(</w:t>
      </w:r>
      <w:r w:rsidR="009A4E5A" w:rsidRPr="00C90511">
        <w:rPr>
          <w:color w:val="000000" w:themeColor="text1"/>
          <w:lang w:val="en-US"/>
        </w:rPr>
        <w:t xml:space="preserve">Extended data Fig. </w:t>
      </w:r>
      <w:r w:rsidR="009A4E5A">
        <w:rPr>
          <w:color w:val="000000" w:themeColor="text1"/>
          <w:lang w:val="en-US"/>
        </w:rPr>
        <w:t>2).</w:t>
      </w:r>
    </w:p>
    <w:p w14:paraId="63261992" w14:textId="71F35556" w:rsidR="00706851" w:rsidRDefault="00706851" w:rsidP="00D02FC7">
      <w:pPr>
        <w:spacing w:line="480" w:lineRule="auto"/>
        <w:ind w:firstLine="284"/>
        <w:rPr>
          <w:lang w:val="en-US"/>
        </w:rPr>
      </w:pPr>
      <w:r>
        <w:rPr>
          <w:lang w:val="en-US"/>
        </w:rPr>
        <w:lastRenderedPageBreak/>
        <w:t>We marked the main clades clustering in the tree by different colo</w:t>
      </w:r>
      <w:r w:rsidR="009E09BA">
        <w:rPr>
          <w:lang w:val="en-US"/>
        </w:rPr>
        <w:t>u</w:t>
      </w:r>
      <w:r>
        <w:rPr>
          <w:lang w:val="en-US"/>
        </w:rPr>
        <w:t xml:space="preserve">rs: a </w:t>
      </w:r>
      <w:r w:rsidRPr="00E43E9B">
        <w:rPr>
          <w:color w:val="000000" w:themeColor="text1"/>
          <w:lang w:val="en-US"/>
        </w:rPr>
        <w:t>Xinglongwa</w:t>
      </w:r>
      <w:r>
        <w:rPr>
          <w:color w:val="000000" w:themeColor="text1"/>
          <w:lang w:val="en-US"/>
        </w:rPr>
        <w:t>-</w:t>
      </w:r>
      <w:r w:rsidRPr="00E43E9B">
        <w:rPr>
          <w:color w:val="000000" w:themeColor="text1"/>
          <w:lang w:val="en-US"/>
        </w:rPr>
        <w:t>Zhaobaogou</w:t>
      </w:r>
      <w:r>
        <w:rPr>
          <w:color w:val="000000" w:themeColor="text1"/>
          <w:lang w:val="en-US"/>
        </w:rPr>
        <w:t>-</w:t>
      </w:r>
      <w:r w:rsidRPr="00E43E9B">
        <w:rPr>
          <w:color w:val="000000" w:themeColor="text1"/>
          <w:lang w:val="en-US"/>
        </w:rPr>
        <w:t>Hongshang</w:t>
      </w:r>
      <w:r>
        <w:rPr>
          <w:color w:val="000000" w:themeColor="text1"/>
          <w:lang w:val="en-US"/>
        </w:rPr>
        <w:t xml:space="preserve"> cluster in red, an eastern Amur cluster in orange, a Liaodong-western Amur cluster in blue, a Xiaohexi-Neolithic Korean cluster in pink and a Bronze Age Xiajiadian-Korean-Japanese cluster in green (</w:t>
      </w:r>
      <w:r w:rsidRPr="00C90511">
        <w:rPr>
          <w:color w:val="000000" w:themeColor="text1"/>
          <w:lang w:val="en-US"/>
        </w:rPr>
        <w:t xml:space="preserve">Extended data Fig. </w:t>
      </w:r>
      <w:r>
        <w:rPr>
          <w:color w:val="000000" w:themeColor="text1"/>
          <w:lang w:val="en-US"/>
        </w:rPr>
        <w:t>2</w:t>
      </w:r>
      <w:r w:rsidR="00F819A3">
        <w:rPr>
          <w:color w:val="000000" w:themeColor="text1"/>
          <w:lang w:val="en-US"/>
        </w:rPr>
        <w:t>; Fig. SI 8.1</w:t>
      </w:r>
      <w:r>
        <w:rPr>
          <w:color w:val="000000" w:themeColor="text1"/>
          <w:lang w:val="en-US"/>
        </w:rPr>
        <w:t xml:space="preserve">). </w:t>
      </w:r>
      <w:r w:rsidR="00D02FC7">
        <w:rPr>
          <w:color w:val="000000" w:themeColor="text1"/>
          <w:lang w:val="en-US"/>
        </w:rPr>
        <w:t>To visualize this cultural similarity in space, we</w:t>
      </w:r>
      <w:r>
        <w:rPr>
          <w:color w:val="000000" w:themeColor="text1"/>
          <w:lang w:val="en-US"/>
        </w:rPr>
        <w:t xml:space="preserve"> applied the same colo</w:t>
      </w:r>
      <w:r w:rsidR="009E09BA">
        <w:rPr>
          <w:color w:val="000000" w:themeColor="text1"/>
          <w:lang w:val="en-US"/>
        </w:rPr>
        <w:t>u</w:t>
      </w:r>
      <w:r>
        <w:rPr>
          <w:color w:val="000000" w:themeColor="text1"/>
          <w:lang w:val="en-US"/>
        </w:rPr>
        <w:t xml:space="preserve">r coding to the sites marked on the map with the </w:t>
      </w:r>
      <w:r>
        <w:rPr>
          <w:lang w:val="en-US"/>
        </w:rPr>
        <w:t>spatiotemporal distribution of our archaeological sites (Figure 2</w:t>
      </w:r>
      <w:r w:rsidR="00F819A3">
        <w:rPr>
          <w:lang w:val="en-US"/>
        </w:rPr>
        <w:t xml:space="preserve">; </w:t>
      </w:r>
      <w:r w:rsidR="00F819A3">
        <w:rPr>
          <w:color w:val="000000" w:themeColor="text1"/>
          <w:lang w:val="en-US"/>
        </w:rPr>
        <w:t>Fig. SI 8.2</w:t>
      </w:r>
      <w:r>
        <w:rPr>
          <w:lang w:val="en-US"/>
        </w:rPr>
        <w:t xml:space="preserve">). </w:t>
      </w:r>
    </w:p>
    <w:p w14:paraId="6E2C093B" w14:textId="3FDC5D70" w:rsidR="00AC399E" w:rsidRDefault="00D02FC7" w:rsidP="00AC399E">
      <w:pPr>
        <w:spacing w:line="480" w:lineRule="auto"/>
        <w:ind w:firstLine="284"/>
        <w:rPr>
          <w:lang w:val="en-GB"/>
        </w:rPr>
      </w:pPr>
      <w:r w:rsidRPr="00136E79">
        <w:rPr>
          <w:lang w:val="en-US"/>
        </w:rPr>
        <w:t xml:space="preserve">The clustering of sites in the Bayesian tree can be taken as a measure of cultural similarity </w:t>
      </w:r>
      <w:r w:rsidRPr="00136E79">
        <w:rPr>
          <w:color w:val="000000" w:themeColor="text1"/>
          <w:shd w:val="clear" w:color="auto" w:fill="FFFFFF"/>
          <w:lang w:val="en-US"/>
        </w:rPr>
        <w:t>between different archaeological sites</w:t>
      </w:r>
      <w:r w:rsidRPr="00136E79">
        <w:rPr>
          <w:lang w:val="en-US"/>
        </w:rPr>
        <w:t xml:space="preserve">. This similarity can be </w:t>
      </w:r>
      <w:r w:rsidR="00136E79" w:rsidRPr="00136E79">
        <w:rPr>
          <w:lang w:val="en-US"/>
        </w:rPr>
        <w:t>caused by various</w:t>
      </w:r>
      <w:r w:rsidRPr="00136E79">
        <w:rPr>
          <w:lang w:val="en-US"/>
        </w:rPr>
        <w:t xml:space="preserve"> factors such as areal </w:t>
      </w:r>
      <w:r w:rsidR="00136E79" w:rsidRPr="00136E79">
        <w:rPr>
          <w:lang w:val="en-US"/>
        </w:rPr>
        <w:t>diffusion</w:t>
      </w:r>
      <w:r w:rsidRPr="00136E79">
        <w:rPr>
          <w:lang w:val="en-US"/>
        </w:rPr>
        <w:t xml:space="preserve"> due to geographical proximity, chronological simultaneity</w:t>
      </w:r>
      <w:r w:rsidR="00136E79" w:rsidRPr="00136E79">
        <w:rPr>
          <w:lang w:val="en-US"/>
        </w:rPr>
        <w:t xml:space="preserve"> by belonging to the same time period and</w:t>
      </w:r>
      <w:r w:rsidR="00136E79">
        <w:rPr>
          <w:lang w:val="en-US"/>
        </w:rPr>
        <w:t>,</w:t>
      </w:r>
      <w:r w:rsidR="00136E79" w:rsidRPr="00136E79">
        <w:rPr>
          <w:lang w:val="en-US"/>
        </w:rPr>
        <w:t xml:space="preserve"> cultural continuity through </w:t>
      </w:r>
      <w:r w:rsidR="00136E79" w:rsidRPr="00136E79">
        <w:rPr>
          <w:lang w:val="en-GB"/>
        </w:rPr>
        <w:t>inheritance from previous generations</w:t>
      </w:r>
      <w:r w:rsidR="00136E79">
        <w:rPr>
          <w:lang w:val="en-GB"/>
        </w:rPr>
        <w:t>.</w:t>
      </w:r>
      <w:r w:rsidR="00AC399E">
        <w:rPr>
          <w:lang w:val="en-GB"/>
        </w:rPr>
        <w:t xml:space="preserve"> As such, we</w:t>
      </w:r>
      <w:r w:rsidR="00AC399E" w:rsidRPr="00C07F6D">
        <w:rPr>
          <w:lang w:val="en-GB"/>
        </w:rPr>
        <w:t xml:space="preserve"> recognize that</w:t>
      </w:r>
      <w:r w:rsidR="00AC399E">
        <w:rPr>
          <w:lang w:val="en-GB"/>
        </w:rPr>
        <w:t xml:space="preserve"> the </w:t>
      </w:r>
      <w:r w:rsidR="00AC399E" w:rsidRPr="00C07F6D">
        <w:rPr>
          <w:lang w:val="en-GB"/>
        </w:rPr>
        <w:t>features investigated in our archaeological dataset</w:t>
      </w:r>
      <w:r w:rsidR="00AC399E">
        <w:rPr>
          <w:lang w:val="en-GB"/>
        </w:rPr>
        <w:t xml:space="preserve">, such as </w:t>
      </w:r>
      <w:r w:rsidR="00AC399E" w:rsidRPr="00FD5D88">
        <w:rPr>
          <w:color w:val="000000" w:themeColor="text1"/>
          <w:lang w:val="en-GB"/>
        </w:rPr>
        <w:t>ceramics</w:t>
      </w:r>
      <w:r w:rsidR="00AC399E">
        <w:rPr>
          <w:color w:val="000000" w:themeColor="text1"/>
          <w:lang w:val="en-GB"/>
        </w:rPr>
        <w:t xml:space="preserve">, </w:t>
      </w:r>
      <w:r w:rsidR="00AC399E" w:rsidRPr="00FD5D88">
        <w:rPr>
          <w:color w:val="000000" w:themeColor="text1"/>
          <w:lang w:val="en-GB"/>
        </w:rPr>
        <w:t>stone tools</w:t>
      </w:r>
      <w:r w:rsidR="00AC399E">
        <w:rPr>
          <w:color w:val="000000" w:themeColor="text1"/>
          <w:lang w:val="en-GB"/>
        </w:rPr>
        <w:t xml:space="preserve">, </w:t>
      </w:r>
      <w:r w:rsidR="00AC399E" w:rsidRPr="00FD5D88">
        <w:rPr>
          <w:color w:val="000000" w:themeColor="text1"/>
          <w:lang w:val="en-GB"/>
        </w:rPr>
        <w:t>buildings and houses</w:t>
      </w:r>
      <w:r w:rsidR="00AC399E">
        <w:rPr>
          <w:color w:val="000000" w:themeColor="text1"/>
          <w:lang w:val="en-GB"/>
        </w:rPr>
        <w:t xml:space="preserve">, </w:t>
      </w:r>
      <w:r w:rsidR="00AC399E" w:rsidRPr="00FD5D88">
        <w:rPr>
          <w:color w:val="000000" w:themeColor="text1"/>
          <w:lang w:val="en-GB"/>
        </w:rPr>
        <w:t xml:space="preserve">plant and animal remains, shell and bone artefacts and burials </w:t>
      </w:r>
      <w:r w:rsidR="00AC399E" w:rsidRPr="00C07F6D">
        <w:rPr>
          <w:lang w:val="en-GB"/>
        </w:rPr>
        <w:t>are not necessarily always transmitted through inheritance from one generation to the next but can also be transmitted through social contact, from one cultural society to its neighbour.</w:t>
      </w:r>
      <w:r w:rsidR="00AC399E">
        <w:rPr>
          <w:lang w:val="en-GB"/>
        </w:rPr>
        <w:t xml:space="preserve"> Our </w:t>
      </w:r>
      <w:r w:rsidR="00AC399E" w:rsidRPr="00C07F6D">
        <w:rPr>
          <w:lang w:val="en-GB"/>
        </w:rPr>
        <w:t>phylogenetic tree</w:t>
      </w:r>
      <w:r w:rsidR="00AC399E">
        <w:rPr>
          <w:lang w:val="en-GB"/>
        </w:rPr>
        <w:t xml:space="preserve"> thus captures not only a</w:t>
      </w:r>
      <w:r w:rsidR="00AC399E" w:rsidRPr="00C07F6D">
        <w:rPr>
          <w:lang w:val="en-GB"/>
        </w:rPr>
        <w:t xml:space="preserve"> historical signal of descent of these</w:t>
      </w:r>
      <w:r w:rsidR="00AC399E">
        <w:rPr>
          <w:lang w:val="en-GB"/>
        </w:rPr>
        <w:t xml:space="preserve"> cultures</w:t>
      </w:r>
      <w:r w:rsidR="004D5924">
        <w:rPr>
          <w:lang w:val="en-GB"/>
        </w:rPr>
        <w:t>, but also a signal of interaction and contemporaneous existence. Nevertheless, it provides a solid quantitative basis for cultural similarity across time and space and allows us to make some inferences about cultural diffusion and migration.</w:t>
      </w:r>
    </w:p>
    <w:p w14:paraId="337E79C1" w14:textId="77777777" w:rsidR="00F819A3" w:rsidRDefault="00F819A3" w:rsidP="00AC399E">
      <w:pPr>
        <w:spacing w:line="480" w:lineRule="auto"/>
        <w:ind w:firstLine="284"/>
        <w:rPr>
          <w:color w:val="000000" w:themeColor="text1"/>
          <w:lang w:val="en-US"/>
        </w:rPr>
      </w:pPr>
    </w:p>
    <w:p w14:paraId="40779D3C" w14:textId="77777777" w:rsidR="00F819A3" w:rsidRDefault="00F819A3" w:rsidP="00F819A3">
      <w:pPr>
        <w:spacing w:line="480" w:lineRule="auto"/>
        <w:rPr>
          <w:color w:val="000000" w:themeColor="text1"/>
          <w:lang w:val="en-US"/>
        </w:rPr>
      </w:pPr>
    </w:p>
    <w:p w14:paraId="421EE460" w14:textId="77777777" w:rsidR="00F819A3" w:rsidRDefault="00F819A3" w:rsidP="00F819A3">
      <w:pPr>
        <w:spacing w:line="480" w:lineRule="auto"/>
        <w:rPr>
          <w:color w:val="000000" w:themeColor="text1"/>
          <w:lang w:val="en-US"/>
        </w:rPr>
      </w:pPr>
    </w:p>
    <w:p w14:paraId="5359305A" w14:textId="77777777" w:rsidR="00F819A3" w:rsidRDefault="00F819A3" w:rsidP="00F819A3">
      <w:pPr>
        <w:spacing w:line="480" w:lineRule="auto"/>
        <w:rPr>
          <w:color w:val="000000" w:themeColor="text1"/>
          <w:lang w:val="en-US"/>
        </w:rPr>
      </w:pPr>
    </w:p>
    <w:p w14:paraId="74DC33B9" w14:textId="77777777" w:rsidR="00F819A3" w:rsidRDefault="00F819A3" w:rsidP="00F819A3">
      <w:pPr>
        <w:spacing w:line="480" w:lineRule="auto"/>
        <w:rPr>
          <w:color w:val="000000" w:themeColor="text1"/>
          <w:lang w:val="en-US"/>
        </w:rPr>
      </w:pPr>
    </w:p>
    <w:p w14:paraId="03F97186" w14:textId="1F1DCB91" w:rsidR="00F819A3" w:rsidRDefault="00F819A3" w:rsidP="00F819A3">
      <w:pPr>
        <w:spacing w:line="480" w:lineRule="auto"/>
        <w:rPr>
          <w:lang w:val="en-GB"/>
        </w:rPr>
      </w:pPr>
      <w:r>
        <w:rPr>
          <w:color w:val="000000" w:themeColor="text1"/>
          <w:lang w:val="en-US"/>
        </w:rPr>
        <w:t xml:space="preserve">Fig. SI 8.1 </w:t>
      </w:r>
      <w:r w:rsidRPr="00C90511">
        <w:rPr>
          <w:color w:val="000000" w:themeColor="text1"/>
          <w:lang w:val="en-US"/>
        </w:rPr>
        <w:t>Bayesian phylogenetic analysis of the archaeological database</w:t>
      </w:r>
      <w:r>
        <w:rPr>
          <w:color w:val="000000" w:themeColor="text1"/>
          <w:lang w:val="en-US"/>
        </w:rPr>
        <w:t xml:space="preserve"> with cultural clusters marked in different colo</w:t>
      </w:r>
      <w:r w:rsidR="009E09BA">
        <w:rPr>
          <w:color w:val="000000" w:themeColor="text1"/>
          <w:lang w:val="en-US"/>
        </w:rPr>
        <w:t>u</w:t>
      </w:r>
      <w:r>
        <w:rPr>
          <w:color w:val="000000" w:themeColor="text1"/>
          <w:lang w:val="en-US"/>
        </w:rPr>
        <w:t>rs</w:t>
      </w:r>
    </w:p>
    <w:p w14:paraId="44416B68" w14:textId="77777777" w:rsidR="00D8135E" w:rsidRDefault="00F819A3" w:rsidP="00D8135E">
      <w:pPr>
        <w:spacing w:line="480" w:lineRule="auto"/>
        <w:ind w:firstLine="284"/>
        <w:rPr>
          <w:color w:val="000000" w:themeColor="text1"/>
          <w:lang w:val="en-US"/>
        </w:rPr>
      </w:pPr>
      <w:r w:rsidRPr="00F819A3">
        <w:rPr>
          <w:noProof/>
          <w:lang w:val="en-GB"/>
        </w:rPr>
        <w:lastRenderedPageBreak/>
        <w:drawing>
          <wp:inline distT="0" distB="0" distL="0" distR="0" wp14:anchorId="002BC624" wp14:editId="35C1495A">
            <wp:extent cx="5731510" cy="7519035"/>
            <wp:effectExtent l="0" t="0" r="0" b="0"/>
            <wp:docPr id="1" name="Picture 1"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with low confidence"/>
                    <pic:cNvPicPr/>
                  </pic:nvPicPr>
                  <pic:blipFill>
                    <a:blip r:embed="rId5"/>
                    <a:stretch>
                      <a:fillRect/>
                    </a:stretch>
                  </pic:blipFill>
                  <pic:spPr>
                    <a:xfrm>
                      <a:off x="0" y="0"/>
                      <a:ext cx="5731510" cy="7519035"/>
                    </a:xfrm>
                    <a:prstGeom prst="rect">
                      <a:avLst/>
                    </a:prstGeom>
                  </pic:spPr>
                </pic:pic>
              </a:graphicData>
            </a:graphic>
          </wp:inline>
        </w:drawing>
      </w:r>
    </w:p>
    <w:p w14:paraId="58EBABA8" w14:textId="702B329C" w:rsidR="00F819A3" w:rsidRPr="00D8135E" w:rsidRDefault="00F819A3" w:rsidP="00D8135E">
      <w:pPr>
        <w:spacing w:line="480" w:lineRule="auto"/>
        <w:ind w:firstLine="284"/>
        <w:rPr>
          <w:lang w:val="en-GB"/>
        </w:rPr>
      </w:pPr>
      <w:r>
        <w:rPr>
          <w:color w:val="000000" w:themeColor="text1"/>
          <w:lang w:val="en-US"/>
        </w:rPr>
        <w:t>Fig. SI 8.2</w:t>
      </w:r>
      <w:r w:rsidR="00D8135E">
        <w:rPr>
          <w:color w:val="000000" w:themeColor="text1"/>
          <w:lang w:val="en-US"/>
        </w:rPr>
        <w:t xml:space="preserve"> </w:t>
      </w:r>
      <w:r>
        <w:rPr>
          <w:color w:val="000000" w:themeColor="text1"/>
          <w:lang w:val="en-US"/>
        </w:rPr>
        <w:t xml:space="preserve"> </w:t>
      </w:r>
      <w:r>
        <w:rPr>
          <w:lang w:val="en-US"/>
        </w:rPr>
        <w:t>Distribution of sites included in the archaeological database</w:t>
      </w:r>
      <w:r w:rsidR="00D8135E">
        <w:rPr>
          <w:lang w:val="en-US"/>
        </w:rPr>
        <w:t xml:space="preserve"> (a)</w:t>
      </w:r>
      <w:r>
        <w:rPr>
          <w:lang w:val="en-US"/>
        </w:rPr>
        <w:t xml:space="preserve"> </w:t>
      </w:r>
      <w:r>
        <w:rPr>
          <w:color w:val="000000" w:themeColor="text1"/>
          <w:lang w:val="en-US"/>
        </w:rPr>
        <w:t>with cultural clusters marked in different colo</w:t>
      </w:r>
      <w:r w:rsidR="009E09BA">
        <w:rPr>
          <w:color w:val="000000" w:themeColor="text1"/>
          <w:lang w:val="en-US"/>
        </w:rPr>
        <w:t>u</w:t>
      </w:r>
      <w:r>
        <w:rPr>
          <w:color w:val="000000" w:themeColor="text1"/>
          <w:lang w:val="en-US"/>
        </w:rPr>
        <w:t>rs</w:t>
      </w:r>
      <w:r w:rsidR="00D8135E">
        <w:rPr>
          <w:color w:val="000000" w:themeColor="text1"/>
          <w:lang w:val="en-US"/>
        </w:rPr>
        <w:t xml:space="preserve"> (b)</w:t>
      </w:r>
      <w:r>
        <w:rPr>
          <w:color w:val="000000" w:themeColor="text1"/>
          <w:lang w:val="en-US"/>
        </w:rPr>
        <w:t xml:space="preserve"> in line with </w:t>
      </w:r>
      <w:r w:rsidR="009E09BA">
        <w:rPr>
          <w:color w:val="000000" w:themeColor="text1"/>
          <w:lang w:val="en-US"/>
        </w:rPr>
        <w:t xml:space="preserve">the </w:t>
      </w:r>
      <w:r>
        <w:rPr>
          <w:lang w:val="en-US"/>
        </w:rPr>
        <w:t xml:space="preserve">Bayesian tree in </w:t>
      </w:r>
      <w:r>
        <w:rPr>
          <w:color w:val="000000" w:themeColor="text1"/>
          <w:lang w:val="en-US"/>
        </w:rPr>
        <w:t>Fig. SI 8.1</w:t>
      </w:r>
    </w:p>
    <w:p w14:paraId="4BEDAB0C" w14:textId="284688B5" w:rsidR="00F819A3" w:rsidRDefault="008D19C2" w:rsidP="0065030F">
      <w:pPr>
        <w:spacing w:line="360" w:lineRule="auto"/>
        <w:rPr>
          <w:b/>
          <w:bCs/>
          <w:lang w:val="en-US"/>
        </w:rPr>
      </w:pPr>
      <w:r>
        <w:rPr>
          <w:color w:val="000000" w:themeColor="text1"/>
          <w:sz w:val="20"/>
          <w:szCs w:val="20"/>
          <w:lang w:val="en-US"/>
        </w:rPr>
        <w:t xml:space="preserve"> </w:t>
      </w:r>
    </w:p>
    <w:p w14:paraId="7F10FA5B" w14:textId="4CB04DD5" w:rsidR="00F819A3" w:rsidRDefault="00D8135E" w:rsidP="0065030F">
      <w:pPr>
        <w:spacing w:line="360" w:lineRule="auto"/>
        <w:rPr>
          <w:b/>
          <w:bCs/>
          <w:lang w:val="en-US"/>
        </w:rPr>
      </w:pPr>
      <w:r w:rsidRPr="00D8135E">
        <w:rPr>
          <w:b/>
          <w:bCs/>
          <w:noProof/>
          <w:lang w:val="en-US"/>
        </w:rPr>
        <w:lastRenderedPageBreak/>
        <w:drawing>
          <wp:inline distT="0" distB="0" distL="0" distR="0" wp14:anchorId="22A6B53B" wp14:editId="7E081DB0">
            <wp:extent cx="5071274" cy="9285691"/>
            <wp:effectExtent l="0" t="0" r="0" b="0"/>
            <wp:docPr id="4" name="Picture 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ap&#10;&#10;Description automatically generated"/>
                    <pic:cNvPicPr/>
                  </pic:nvPicPr>
                  <pic:blipFill>
                    <a:blip r:embed="rId6"/>
                    <a:stretch>
                      <a:fillRect/>
                    </a:stretch>
                  </pic:blipFill>
                  <pic:spPr>
                    <a:xfrm>
                      <a:off x="0" y="0"/>
                      <a:ext cx="5098918" cy="9336308"/>
                    </a:xfrm>
                    <a:prstGeom prst="rect">
                      <a:avLst/>
                    </a:prstGeom>
                  </pic:spPr>
                </pic:pic>
              </a:graphicData>
            </a:graphic>
          </wp:inline>
        </w:drawing>
      </w:r>
    </w:p>
    <w:p w14:paraId="51E60D4C" w14:textId="77777777" w:rsidR="00F819A3" w:rsidRDefault="00F819A3" w:rsidP="0065030F">
      <w:pPr>
        <w:spacing w:line="360" w:lineRule="auto"/>
        <w:rPr>
          <w:b/>
          <w:bCs/>
          <w:lang w:val="en-US"/>
        </w:rPr>
      </w:pPr>
    </w:p>
    <w:p w14:paraId="74A928B1" w14:textId="64251E87" w:rsidR="0065030F" w:rsidRPr="00676FEB" w:rsidRDefault="0065030F" w:rsidP="0065030F">
      <w:pPr>
        <w:spacing w:line="360" w:lineRule="auto"/>
        <w:rPr>
          <w:b/>
          <w:bCs/>
          <w:lang w:val="en-US"/>
        </w:rPr>
      </w:pPr>
      <w:r w:rsidRPr="00676FEB">
        <w:rPr>
          <w:b/>
          <w:bCs/>
          <w:lang w:val="en-US"/>
        </w:rPr>
        <w:t>2</w:t>
      </w:r>
      <w:r>
        <w:rPr>
          <w:b/>
          <w:bCs/>
          <w:lang w:val="en-US"/>
        </w:rPr>
        <w:t xml:space="preserve"> </w:t>
      </w:r>
      <w:r w:rsidRPr="00676FEB">
        <w:rPr>
          <w:b/>
          <w:bCs/>
          <w:lang w:val="en-US"/>
        </w:rPr>
        <w:t>Results</w:t>
      </w:r>
    </w:p>
    <w:p w14:paraId="6E3E87D2" w14:textId="69A7FF61" w:rsidR="004429D4" w:rsidRDefault="00F819A3" w:rsidP="004429D4">
      <w:pPr>
        <w:spacing w:line="360" w:lineRule="auto"/>
        <w:rPr>
          <w:color w:val="000000" w:themeColor="text1"/>
          <w:shd w:val="clear" w:color="auto" w:fill="FFFFFF"/>
          <w:lang w:val="en-US"/>
        </w:rPr>
      </w:pPr>
      <w:r w:rsidRPr="002514ED">
        <w:rPr>
          <w:color w:val="000000" w:themeColor="text1"/>
          <w:shd w:val="clear" w:color="auto" w:fill="FFFFFF"/>
          <w:lang w:val="en-US"/>
        </w:rPr>
        <w:t>We find that the</w:t>
      </w:r>
      <w:r w:rsidR="009457D8" w:rsidRPr="002514ED">
        <w:rPr>
          <w:color w:val="000000" w:themeColor="text1"/>
          <w:shd w:val="clear" w:color="auto" w:fill="FFFFFF"/>
          <w:lang w:val="en-US"/>
        </w:rPr>
        <w:t xml:space="preserve"> </w:t>
      </w:r>
      <w:r w:rsidRPr="002514ED">
        <w:rPr>
          <w:color w:val="000000" w:themeColor="text1"/>
          <w:shd w:val="clear" w:color="auto" w:fill="FFFFFF"/>
          <w:lang w:val="en-US"/>
        </w:rPr>
        <w:t>m</w:t>
      </w:r>
      <w:r w:rsidR="009457D8" w:rsidRPr="002514ED">
        <w:rPr>
          <w:color w:val="000000" w:themeColor="text1"/>
          <w:shd w:val="clear" w:color="auto" w:fill="FFFFFF"/>
          <w:lang w:val="en-US"/>
        </w:rPr>
        <w:t>ajor cultural complexes</w:t>
      </w:r>
      <w:r w:rsidRPr="002514ED">
        <w:rPr>
          <w:color w:val="000000" w:themeColor="text1"/>
          <w:shd w:val="clear" w:color="auto" w:fill="FFFFFF"/>
          <w:lang w:val="en-US"/>
        </w:rPr>
        <w:t xml:space="preserve"> known from archaeology </w:t>
      </w:r>
      <w:r w:rsidR="009457D8" w:rsidRPr="002514ED">
        <w:rPr>
          <w:color w:val="000000" w:themeColor="text1"/>
          <w:shd w:val="clear" w:color="auto" w:fill="FFFFFF"/>
          <w:lang w:val="en-US"/>
        </w:rPr>
        <w:t xml:space="preserve">cluster </w:t>
      </w:r>
      <w:r w:rsidR="004B5EB9" w:rsidRPr="002514ED">
        <w:rPr>
          <w:color w:val="000000" w:themeColor="text1"/>
          <w:shd w:val="clear" w:color="auto" w:fill="FFFFFF"/>
          <w:lang w:val="en-US"/>
        </w:rPr>
        <w:t xml:space="preserve">correctly </w:t>
      </w:r>
      <w:r w:rsidR="009457D8" w:rsidRPr="002514ED">
        <w:rPr>
          <w:color w:val="000000" w:themeColor="text1"/>
          <w:shd w:val="clear" w:color="auto" w:fill="FFFFFF"/>
          <w:lang w:val="en-US"/>
        </w:rPr>
        <w:t>on the tree</w:t>
      </w:r>
      <w:r w:rsidR="004B5EB9" w:rsidRPr="002514ED">
        <w:rPr>
          <w:color w:val="000000" w:themeColor="text1"/>
          <w:shd w:val="clear" w:color="auto" w:fill="FFFFFF"/>
          <w:lang w:val="en-US"/>
        </w:rPr>
        <w:t>: Japanese Yayoi (</w:t>
      </w:r>
      <w:r w:rsidR="004B5EB9" w:rsidRPr="002514ED">
        <w:t>3000–1700 BP</w:t>
      </w:r>
      <w:r w:rsidR="004B5EB9" w:rsidRPr="002514ED">
        <w:rPr>
          <w:lang w:val="en-US"/>
        </w:rPr>
        <w:t>) in light green, Korean Mumun (</w:t>
      </w:r>
      <w:r w:rsidR="004B5EB9" w:rsidRPr="002514ED">
        <w:t>3500–2300 BP</w:t>
      </w:r>
      <w:r w:rsidR="004B5EB9" w:rsidRPr="002514ED">
        <w:rPr>
          <w:lang w:val="en-US"/>
        </w:rPr>
        <w:t>) in light green, Korean Middle-Late Chulmun (</w:t>
      </w:r>
      <w:r w:rsidR="004B5EB9" w:rsidRPr="002514ED">
        <w:rPr>
          <w:color w:val="000000"/>
        </w:rPr>
        <w:t>5500</w:t>
      </w:r>
      <w:r w:rsidR="004B5EB9" w:rsidRPr="002514ED">
        <w:t>–2300 BP</w:t>
      </w:r>
      <w:r w:rsidR="004B5EB9" w:rsidRPr="002514ED">
        <w:rPr>
          <w:lang w:val="en-US"/>
        </w:rPr>
        <w:t xml:space="preserve">) in pink, the West Liao </w:t>
      </w:r>
      <w:r w:rsidR="004B5EB9" w:rsidRPr="002514ED">
        <w:rPr>
          <w:color w:val="000000" w:themeColor="text1"/>
          <w:shd w:val="clear" w:color="auto" w:fill="FFFFFF"/>
          <w:lang w:val="en-US"/>
        </w:rPr>
        <w:t xml:space="preserve">Xinglongwa-Zhaobaogou-Hongshan complex in red, West Liao Xiajiadian in dark green, the Liaodong Xiaozhushan </w:t>
      </w:r>
      <w:r w:rsidR="002514ED" w:rsidRPr="002514ED">
        <w:rPr>
          <w:color w:val="000000" w:themeColor="text1"/>
          <w:shd w:val="clear" w:color="auto" w:fill="FFFFFF"/>
          <w:lang w:val="en-US"/>
        </w:rPr>
        <w:t>(</w:t>
      </w:r>
      <w:r w:rsidR="002514ED" w:rsidRPr="002514ED">
        <w:rPr>
          <w:color w:val="1E1E1E"/>
          <w:spacing w:val="4"/>
        </w:rPr>
        <w:t>7000</w:t>
      </w:r>
      <w:r w:rsidR="002514ED" w:rsidRPr="002514ED">
        <w:rPr>
          <w:color w:val="1E1E1E"/>
          <w:spacing w:val="4"/>
          <w:lang w:val="en-US"/>
        </w:rPr>
        <w:t>-</w:t>
      </w:r>
      <w:r w:rsidR="002514ED" w:rsidRPr="002514ED">
        <w:rPr>
          <w:color w:val="1E1E1E"/>
          <w:spacing w:val="4"/>
        </w:rPr>
        <w:t>4000</w:t>
      </w:r>
      <w:r w:rsidR="002514ED" w:rsidRPr="002514ED">
        <w:rPr>
          <w:color w:val="1E1E1E"/>
          <w:spacing w:val="4"/>
          <w:lang w:val="en-US"/>
        </w:rPr>
        <w:t xml:space="preserve"> </w:t>
      </w:r>
      <w:r w:rsidR="002514ED" w:rsidRPr="002514ED">
        <w:rPr>
          <w:color w:val="1E1E1E"/>
          <w:spacing w:val="4"/>
        </w:rPr>
        <w:t>BP</w:t>
      </w:r>
      <w:r w:rsidR="002514ED" w:rsidRPr="002514ED">
        <w:rPr>
          <w:color w:val="000000" w:themeColor="text1"/>
          <w:shd w:val="clear" w:color="auto" w:fill="FFFFFF"/>
          <w:lang w:val="en-US"/>
        </w:rPr>
        <w:t>)</w:t>
      </w:r>
      <w:r w:rsidR="002514ED">
        <w:rPr>
          <w:color w:val="000000" w:themeColor="text1"/>
          <w:shd w:val="clear" w:color="auto" w:fill="FFFFFF"/>
          <w:lang w:val="en-US"/>
        </w:rPr>
        <w:t xml:space="preserve"> </w:t>
      </w:r>
      <w:r w:rsidR="002514ED" w:rsidRPr="002514ED">
        <w:rPr>
          <w:color w:val="000000" w:themeColor="text1"/>
          <w:shd w:val="clear" w:color="auto" w:fill="FFFFFF"/>
          <w:lang w:val="en-US"/>
        </w:rPr>
        <w:t xml:space="preserve">and Shuangtuozi (4000 – 3500 BP) </w:t>
      </w:r>
      <w:r w:rsidR="004B5EB9" w:rsidRPr="002514ED">
        <w:rPr>
          <w:color w:val="000000" w:themeColor="text1"/>
          <w:shd w:val="clear" w:color="auto" w:fill="FFFFFF"/>
          <w:lang w:val="en-US"/>
        </w:rPr>
        <w:t>culture</w:t>
      </w:r>
      <w:r w:rsidR="002514ED" w:rsidRPr="002514ED">
        <w:rPr>
          <w:color w:val="000000" w:themeColor="text1"/>
          <w:shd w:val="clear" w:color="auto" w:fill="FFFFFF"/>
          <w:lang w:val="en-US"/>
        </w:rPr>
        <w:t>s</w:t>
      </w:r>
      <w:r w:rsidR="004B5EB9" w:rsidRPr="002514ED">
        <w:rPr>
          <w:color w:val="000000" w:themeColor="text1"/>
          <w:shd w:val="clear" w:color="auto" w:fill="FFFFFF"/>
          <w:lang w:val="en-US"/>
        </w:rPr>
        <w:t xml:space="preserve"> in blue and Zaisanovka</w:t>
      </w:r>
      <w:r w:rsidR="002514ED" w:rsidRPr="002514ED">
        <w:rPr>
          <w:color w:val="000000" w:themeColor="text1"/>
          <w:shd w:val="clear" w:color="auto" w:fill="FFFFFF"/>
          <w:lang w:val="en-US"/>
        </w:rPr>
        <w:t xml:space="preserve"> (</w:t>
      </w:r>
      <w:r w:rsidR="002514ED" w:rsidRPr="002514ED">
        <w:rPr>
          <w:color w:val="000000"/>
        </w:rPr>
        <w:t>5200</w:t>
      </w:r>
      <w:r w:rsidR="002514ED" w:rsidRPr="002514ED">
        <w:t>-</w:t>
      </w:r>
      <w:r w:rsidR="002514ED" w:rsidRPr="002514ED">
        <w:rPr>
          <w:color w:val="000000"/>
        </w:rPr>
        <w:t>3300 BP</w:t>
      </w:r>
      <w:r w:rsidR="002514ED" w:rsidRPr="002514ED">
        <w:rPr>
          <w:color w:val="000000" w:themeColor="text1"/>
          <w:shd w:val="clear" w:color="auto" w:fill="FFFFFF"/>
          <w:lang w:val="en-US"/>
        </w:rPr>
        <w:t>)</w:t>
      </w:r>
      <w:r w:rsidR="004B5EB9" w:rsidRPr="002514ED">
        <w:rPr>
          <w:color w:val="000000" w:themeColor="text1"/>
          <w:shd w:val="clear" w:color="auto" w:fill="FFFFFF"/>
          <w:lang w:val="en-US"/>
        </w:rPr>
        <w:t xml:space="preserve"> in the Primorye in orange. </w:t>
      </w:r>
    </w:p>
    <w:p w14:paraId="7150D80F" w14:textId="6A7FAB64" w:rsidR="004429D4" w:rsidRDefault="002514ED" w:rsidP="004429D4">
      <w:pPr>
        <w:spacing w:line="360" w:lineRule="auto"/>
        <w:ind w:firstLine="284"/>
        <w:rPr>
          <w:color w:val="000000" w:themeColor="text1"/>
          <w:lang w:val="en-US"/>
        </w:rPr>
      </w:pPr>
      <w:r>
        <w:rPr>
          <w:color w:val="000000" w:themeColor="text1"/>
          <w:shd w:val="clear" w:color="auto" w:fill="FFFFFF"/>
          <w:lang w:val="en-US"/>
        </w:rPr>
        <w:t xml:space="preserve">In addition, </w:t>
      </w:r>
      <w:r w:rsidR="003D1905">
        <w:rPr>
          <w:color w:val="000000"/>
          <w:lang w:val="en-US"/>
        </w:rPr>
        <w:t>c</w:t>
      </w:r>
      <w:r w:rsidR="003D1905">
        <w:rPr>
          <w:color w:val="000000" w:themeColor="text1"/>
          <w:shd w:val="clear" w:color="auto" w:fill="FFFFFF"/>
          <w:lang w:val="en-US"/>
        </w:rPr>
        <w:t xml:space="preserve">ultural </w:t>
      </w:r>
      <w:r w:rsidR="00CD4996">
        <w:rPr>
          <w:color w:val="000000" w:themeColor="text1"/>
          <w:shd w:val="clear" w:color="auto" w:fill="FFFFFF"/>
          <w:lang w:val="en-US"/>
        </w:rPr>
        <w:t xml:space="preserve">connections proposed by archaeologists in the past such as </w:t>
      </w:r>
      <w:r w:rsidR="003D1905">
        <w:rPr>
          <w:color w:val="000000" w:themeColor="text1"/>
          <w:lang w:val="en-US"/>
        </w:rPr>
        <w:t>the</w:t>
      </w:r>
      <w:r w:rsidR="00CD4996">
        <w:rPr>
          <w:color w:val="000000" w:themeColor="text1"/>
          <w:lang w:val="en-US"/>
        </w:rPr>
        <w:t xml:space="preserve"> Shandong-Liaodong </w:t>
      </w:r>
      <w:r w:rsidR="003D1905">
        <w:rPr>
          <w:color w:val="000000" w:themeColor="text1"/>
          <w:lang w:val="en-US"/>
        </w:rPr>
        <w:t>interaction sphere (Xu 1995: 78-79) and</w:t>
      </w:r>
      <w:r w:rsidR="00CD4996">
        <w:rPr>
          <w:color w:val="000000" w:themeColor="text1"/>
          <w:lang w:val="en-US"/>
        </w:rPr>
        <w:t xml:space="preserve"> </w:t>
      </w:r>
      <w:r w:rsidR="003D1905">
        <w:rPr>
          <w:color w:val="000000" w:themeColor="text1"/>
          <w:lang w:val="en-US"/>
        </w:rPr>
        <w:t xml:space="preserve">the </w:t>
      </w:r>
      <w:r w:rsidR="00CD4996">
        <w:rPr>
          <w:color w:val="000000" w:themeColor="text1"/>
          <w:lang w:val="en-US"/>
        </w:rPr>
        <w:t xml:space="preserve">Yayoi-Mumun cluster </w:t>
      </w:r>
      <w:r w:rsidR="009E09BA" w:rsidRPr="009E09BA">
        <w:rPr>
          <w:color w:val="000000" w:themeColor="text1"/>
          <w:lang w:val="en-US"/>
        </w:rPr>
        <w:t>(Miyamoto 2014, 2016)</w:t>
      </w:r>
      <w:r w:rsidR="009E09BA">
        <w:rPr>
          <w:color w:val="000000" w:themeColor="text1"/>
          <w:lang w:val="en-US"/>
        </w:rPr>
        <w:t xml:space="preserve"> </w:t>
      </w:r>
      <w:r w:rsidR="003D1905" w:rsidRPr="003D1905">
        <w:rPr>
          <w:color w:val="000000" w:themeColor="text1"/>
          <w:lang w:val="en-US"/>
        </w:rPr>
        <w:t>are well reflected in the tree.</w:t>
      </w:r>
      <w:r w:rsidR="003D1905">
        <w:rPr>
          <w:color w:val="000000" w:themeColor="text1"/>
          <w:lang w:val="en-US"/>
        </w:rPr>
        <w:t xml:space="preserve"> This is also the case for previously shown cultural discontinuity in particular regions, such as the discontinuity between Neolithic Chulmun and Bronze Age Mumun culture in Korea </w:t>
      </w:r>
      <w:r w:rsidR="009E09BA">
        <w:rPr>
          <w:color w:val="000000" w:themeColor="text1"/>
          <w:lang w:val="en-US"/>
        </w:rPr>
        <w:t>(Hudson &amp; Robbeets 2020)</w:t>
      </w:r>
      <w:r w:rsidR="003D1905">
        <w:rPr>
          <w:color w:val="FF0000"/>
          <w:sz w:val="20"/>
          <w:szCs w:val="20"/>
          <w:lang w:val="en-US"/>
        </w:rPr>
        <w:t xml:space="preserve"> </w:t>
      </w:r>
      <w:r w:rsidR="003D1905" w:rsidRPr="009457D8">
        <w:rPr>
          <w:color w:val="000000" w:themeColor="text1"/>
          <w:lang w:val="en-US"/>
        </w:rPr>
        <w:t>between</w:t>
      </w:r>
      <w:r w:rsidR="003D1905">
        <w:rPr>
          <w:color w:val="000000" w:themeColor="text1"/>
          <w:lang w:val="en-US"/>
        </w:rPr>
        <w:t xml:space="preserve"> the Neolithic</w:t>
      </w:r>
      <w:r w:rsidR="003D1905" w:rsidRPr="009457D8">
        <w:rPr>
          <w:color w:val="000000" w:themeColor="text1"/>
          <w:lang w:val="en-US"/>
        </w:rPr>
        <w:t xml:space="preserve"> Xinglongwa-Zhabaogou-Hongshan complex and </w:t>
      </w:r>
      <w:r w:rsidR="003D1905">
        <w:rPr>
          <w:color w:val="000000" w:themeColor="text1"/>
          <w:lang w:val="en-US"/>
        </w:rPr>
        <w:t xml:space="preserve">the </w:t>
      </w:r>
      <w:r w:rsidR="003D1905" w:rsidRPr="009457D8">
        <w:rPr>
          <w:color w:val="000000" w:themeColor="text1"/>
          <w:lang w:val="en-US"/>
        </w:rPr>
        <w:t>Bronze Age Xiadiajian</w:t>
      </w:r>
      <w:r w:rsidR="003D1905">
        <w:rPr>
          <w:color w:val="000000" w:themeColor="text1"/>
          <w:lang w:val="en-US"/>
        </w:rPr>
        <w:t xml:space="preserve"> culture </w:t>
      </w:r>
      <w:r w:rsidR="003D1905" w:rsidRPr="00B436DC">
        <w:t xml:space="preserve">in the West Liao region </w:t>
      </w:r>
      <w:r w:rsidR="009E09BA" w:rsidRPr="00B436DC">
        <w:t xml:space="preserve">(Shelach-Lavi 2015) </w:t>
      </w:r>
      <w:r w:rsidR="004429D4" w:rsidRPr="00B436DC">
        <w:t>and the alleged differences between the contemporaneous Hongshan (red) and Haminmangha (green) cultures in the West Liao region (Duan et al. 2018).</w:t>
      </w:r>
    </w:p>
    <w:p w14:paraId="2E4A39D6" w14:textId="4A62C806" w:rsidR="008E0918" w:rsidRDefault="00101E6A" w:rsidP="008E0918">
      <w:pPr>
        <w:spacing w:line="360" w:lineRule="auto"/>
        <w:ind w:firstLine="284"/>
        <w:rPr>
          <w:color w:val="000000" w:themeColor="text1"/>
          <w:lang w:val="en-US"/>
        </w:rPr>
      </w:pPr>
      <w:r>
        <w:rPr>
          <w:color w:val="000000" w:themeColor="text1"/>
          <w:lang w:val="en-US"/>
        </w:rPr>
        <w:t xml:space="preserve">Remarkably, </w:t>
      </w:r>
      <w:r w:rsidR="001916E6">
        <w:rPr>
          <w:color w:val="000000" w:themeColor="text1"/>
          <w:lang w:val="en-US"/>
        </w:rPr>
        <w:t xml:space="preserve">the sites belonging to the Xiaohexi culture </w:t>
      </w:r>
      <w:r w:rsidR="005D097C">
        <w:rPr>
          <w:color w:val="000000" w:themeColor="text1"/>
          <w:lang w:val="en-US"/>
        </w:rPr>
        <w:t>(8</w:t>
      </w:r>
      <w:r w:rsidR="001916E6">
        <w:rPr>
          <w:color w:val="000000" w:themeColor="text1"/>
          <w:lang w:val="en-US"/>
        </w:rPr>
        <w:t>0</w:t>
      </w:r>
      <w:r w:rsidR="005D097C">
        <w:rPr>
          <w:color w:val="000000" w:themeColor="text1"/>
          <w:lang w:val="en-US"/>
        </w:rPr>
        <w:t>00</w:t>
      </w:r>
      <w:r w:rsidR="001916E6">
        <w:rPr>
          <w:color w:val="000000" w:themeColor="text1"/>
          <w:lang w:val="en-US"/>
        </w:rPr>
        <w:t>-7000</w:t>
      </w:r>
      <w:r w:rsidR="005D097C">
        <w:rPr>
          <w:color w:val="000000" w:themeColor="text1"/>
          <w:lang w:val="en-US"/>
        </w:rPr>
        <w:t xml:space="preserve"> BP) </w:t>
      </w:r>
      <w:r w:rsidR="001916E6">
        <w:rPr>
          <w:color w:val="000000" w:themeColor="text1"/>
          <w:lang w:val="en-US"/>
        </w:rPr>
        <w:t xml:space="preserve">do not fall within the </w:t>
      </w:r>
      <w:r w:rsidR="001916E6" w:rsidRPr="009457D8">
        <w:rPr>
          <w:color w:val="000000" w:themeColor="text1"/>
          <w:lang w:val="en-US"/>
        </w:rPr>
        <w:t xml:space="preserve">Xinglongwa-Zhabaogou-Hongshan </w:t>
      </w:r>
      <w:r w:rsidR="001916E6">
        <w:rPr>
          <w:color w:val="000000" w:themeColor="text1"/>
          <w:lang w:val="en-US"/>
        </w:rPr>
        <w:t>complex, but</w:t>
      </w:r>
      <w:r w:rsidR="001916E6" w:rsidRPr="009457D8">
        <w:rPr>
          <w:color w:val="000000" w:themeColor="text1"/>
          <w:lang w:val="en-US"/>
        </w:rPr>
        <w:t xml:space="preserve"> </w:t>
      </w:r>
      <w:r w:rsidR="001916E6">
        <w:rPr>
          <w:color w:val="000000" w:themeColor="text1"/>
          <w:lang w:val="en-US"/>
        </w:rPr>
        <w:t>are scattered across different branches in the tree, one clustering with the non-</w:t>
      </w:r>
      <w:r w:rsidR="001916E6" w:rsidRPr="009457D8">
        <w:rPr>
          <w:color w:val="000000" w:themeColor="text1"/>
          <w:lang w:val="en-US"/>
        </w:rPr>
        <w:t xml:space="preserve">Xinglongwa-Zhabaogou-Hongshan </w:t>
      </w:r>
      <w:r w:rsidR="001916E6">
        <w:rPr>
          <w:color w:val="000000" w:themeColor="text1"/>
          <w:lang w:val="en-US"/>
        </w:rPr>
        <w:t xml:space="preserve">clade, another one appearing in the Xiajiadian complex while yet others cluster with the </w:t>
      </w:r>
      <w:r w:rsidR="001916E6" w:rsidRPr="002514ED">
        <w:rPr>
          <w:lang w:val="en-US"/>
        </w:rPr>
        <w:t>Korean</w:t>
      </w:r>
      <w:r w:rsidR="001916E6">
        <w:rPr>
          <w:lang w:val="en-US"/>
        </w:rPr>
        <w:t xml:space="preserve"> </w:t>
      </w:r>
      <w:r w:rsidR="001916E6" w:rsidRPr="002514ED">
        <w:rPr>
          <w:lang w:val="en-US"/>
        </w:rPr>
        <w:t>Chulmun</w:t>
      </w:r>
      <w:r w:rsidR="001916E6">
        <w:rPr>
          <w:lang w:val="en-US"/>
        </w:rPr>
        <w:t xml:space="preserve"> complex.  This may indicate that</w:t>
      </w:r>
      <w:r w:rsidR="00CD089F">
        <w:rPr>
          <w:lang w:val="en-US"/>
        </w:rPr>
        <w:t xml:space="preserve"> </w:t>
      </w:r>
      <w:r w:rsidR="001916E6">
        <w:rPr>
          <w:lang w:val="en-US"/>
        </w:rPr>
        <w:t xml:space="preserve">all </w:t>
      </w:r>
      <w:r w:rsidR="001916E6" w:rsidRPr="009457D8">
        <w:rPr>
          <w:color w:val="000000" w:themeColor="text1"/>
          <w:lang w:val="en-US"/>
        </w:rPr>
        <w:t>cultures</w:t>
      </w:r>
      <w:r w:rsidR="009630F2">
        <w:rPr>
          <w:color w:val="000000" w:themeColor="text1"/>
          <w:lang w:val="en-US"/>
        </w:rPr>
        <w:t xml:space="preserve"> marked in colo</w:t>
      </w:r>
      <w:r w:rsidR="009E09BA">
        <w:rPr>
          <w:color w:val="000000" w:themeColor="text1"/>
          <w:lang w:val="en-US"/>
        </w:rPr>
        <w:t>u</w:t>
      </w:r>
      <w:r w:rsidR="009630F2">
        <w:rPr>
          <w:color w:val="000000" w:themeColor="text1"/>
          <w:lang w:val="en-US"/>
        </w:rPr>
        <w:t xml:space="preserve">r </w:t>
      </w:r>
      <w:r w:rsidR="00CD089F">
        <w:rPr>
          <w:color w:val="000000" w:themeColor="text1"/>
          <w:lang w:val="en-US"/>
        </w:rPr>
        <w:t xml:space="preserve">descend from different groups in the Xiaohexi phase </w:t>
      </w:r>
      <w:r w:rsidR="009630F2">
        <w:rPr>
          <w:color w:val="000000" w:themeColor="text1"/>
          <w:lang w:val="en-US"/>
        </w:rPr>
        <w:t>of</w:t>
      </w:r>
      <w:r w:rsidR="00CD089F" w:rsidRPr="009457D8">
        <w:rPr>
          <w:color w:val="000000" w:themeColor="text1"/>
          <w:lang w:val="en-US"/>
        </w:rPr>
        <w:t xml:space="preserve"> the West Liao area</w:t>
      </w:r>
      <w:r w:rsidR="00CD089F">
        <w:rPr>
          <w:color w:val="000000" w:themeColor="text1"/>
          <w:lang w:val="en-US"/>
        </w:rPr>
        <w:t xml:space="preserve">, preceding the </w:t>
      </w:r>
      <w:r w:rsidR="00CD089F" w:rsidRPr="009457D8">
        <w:rPr>
          <w:color w:val="000000" w:themeColor="text1"/>
          <w:lang w:val="en-US"/>
        </w:rPr>
        <w:t xml:space="preserve">Xinglongwa-Zhabaogou-Hongshan </w:t>
      </w:r>
      <w:r w:rsidR="00CD089F">
        <w:rPr>
          <w:color w:val="000000" w:themeColor="text1"/>
          <w:lang w:val="en-US"/>
        </w:rPr>
        <w:t xml:space="preserve">complex. The </w:t>
      </w:r>
      <w:r w:rsidR="009630F2">
        <w:rPr>
          <w:color w:val="000000" w:themeColor="text1"/>
          <w:lang w:val="en-US"/>
        </w:rPr>
        <w:t xml:space="preserve">common </w:t>
      </w:r>
      <w:r w:rsidR="00CD089F">
        <w:rPr>
          <w:color w:val="000000" w:themeColor="text1"/>
          <w:lang w:val="en-US"/>
        </w:rPr>
        <w:t>root of all colo</w:t>
      </w:r>
      <w:r w:rsidR="009E09BA">
        <w:rPr>
          <w:color w:val="000000" w:themeColor="text1"/>
          <w:lang w:val="en-US"/>
        </w:rPr>
        <w:t>u</w:t>
      </w:r>
      <w:r w:rsidR="00CD089F">
        <w:rPr>
          <w:color w:val="000000" w:themeColor="text1"/>
          <w:lang w:val="en-US"/>
        </w:rPr>
        <w:t xml:space="preserve">red branches, estimated at </w:t>
      </w:r>
      <w:r w:rsidR="00CD089F">
        <w:rPr>
          <w:lang w:val="en-US"/>
        </w:rPr>
        <w:t xml:space="preserve">9690 BP </w:t>
      </w:r>
      <w:r w:rsidR="009630F2">
        <w:rPr>
          <w:lang w:val="en-US"/>
        </w:rPr>
        <w:t xml:space="preserve">roughly </w:t>
      </w:r>
      <w:r w:rsidR="00CD089F">
        <w:rPr>
          <w:lang w:val="en-US"/>
        </w:rPr>
        <w:t>coincides with the</w:t>
      </w:r>
      <w:r w:rsidR="00CD089F">
        <w:rPr>
          <w:color w:val="000000" w:themeColor="text1"/>
          <w:lang w:val="en-US"/>
        </w:rPr>
        <w:t xml:space="preserve"> onset of sedentism and cultivation and the transition to a wetter climate in the region and is close to the root of our linguistic tree, estimated</w:t>
      </w:r>
      <w:r w:rsidR="009630F2">
        <w:rPr>
          <w:color w:val="000000" w:themeColor="text1"/>
          <w:lang w:val="en-US"/>
        </w:rPr>
        <w:t xml:space="preserve"> </w:t>
      </w:r>
      <w:r w:rsidR="009630F2" w:rsidRPr="00333926">
        <w:rPr>
          <w:lang w:val="en-GB"/>
        </w:rPr>
        <w:t xml:space="preserve">at </w:t>
      </w:r>
      <w:r w:rsidR="009630F2" w:rsidRPr="00333926">
        <w:rPr>
          <w:color w:val="212121"/>
          <w:shd w:val="clear" w:color="auto" w:fill="FFFFFF"/>
        </w:rPr>
        <w:t>9181 BP (5595 -12793 95%</w:t>
      </w:r>
      <w:r w:rsidR="009630F2" w:rsidRPr="00333926">
        <w:rPr>
          <w:color w:val="212121"/>
          <w:shd w:val="clear" w:color="auto" w:fill="FFFFFF"/>
          <w:lang w:val="en-US"/>
        </w:rPr>
        <w:t xml:space="preserve"> </w:t>
      </w:r>
      <w:r w:rsidR="009630F2" w:rsidRPr="00333926">
        <w:rPr>
          <w:color w:val="212121"/>
          <w:shd w:val="clear" w:color="auto" w:fill="FFFFFF"/>
        </w:rPr>
        <w:t>HPD)</w:t>
      </w:r>
      <w:r w:rsidR="009630F2">
        <w:rPr>
          <w:color w:val="212121"/>
          <w:shd w:val="clear" w:color="auto" w:fill="FFFFFF"/>
          <w:lang w:val="en-US"/>
        </w:rPr>
        <w:t>.</w:t>
      </w:r>
      <w:r w:rsidR="009630F2" w:rsidRPr="00333926">
        <w:rPr>
          <w:color w:val="212121"/>
          <w:shd w:val="clear" w:color="auto" w:fill="FFFFFF"/>
          <w:lang w:val="en-US"/>
        </w:rPr>
        <w:t xml:space="preserve"> </w:t>
      </w:r>
      <w:r w:rsidR="00CD089F">
        <w:rPr>
          <w:color w:val="000000" w:themeColor="text1"/>
          <w:lang w:val="en-US"/>
        </w:rPr>
        <w:t xml:space="preserve">  </w:t>
      </w:r>
    </w:p>
    <w:p w14:paraId="4AA078A7" w14:textId="6F5D5927" w:rsidR="0089101B" w:rsidRPr="0089101B" w:rsidRDefault="0089101B" w:rsidP="0089101B">
      <w:pPr>
        <w:spacing w:line="360" w:lineRule="auto"/>
        <w:ind w:firstLine="284"/>
        <w:rPr>
          <w:lang w:val="en-US"/>
        </w:rPr>
      </w:pPr>
      <w:r>
        <w:rPr>
          <w:color w:val="000000" w:themeColor="text1"/>
          <w:shd w:val="clear" w:color="auto" w:fill="FFFFFF"/>
          <w:lang w:val="en-US"/>
        </w:rPr>
        <w:t xml:space="preserve">The observation that early sites with </w:t>
      </w:r>
      <w:r>
        <w:rPr>
          <w:color w:val="000000" w:themeColor="text1"/>
          <w:lang w:val="en-US"/>
        </w:rPr>
        <w:t>limited evidence for agriculture, such as</w:t>
      </w:r>
      <w:r>
        <w:rPr>
          <w:color w:val="000000" w:themeColor="text1"/>
          <w:shd w:val="clear" w:color="auto" w:fill="FFFFFF"/>
          <w:lang w:val="en-US"/>
        </w:rPr>
        <w:t xml:space="preserve"> Houtoumuga (Phase I to IV) as well as the </w:t>
      </w:r>
      <w:r>
        <w:rPr>
          <w:color w:val="000000" w:themeColor="text1"/>
          <w:lang w:val="en-US"/>
        </w:rPr>
        <w:t xml:space="preserve">Xiaonanshan (Phase I) site fall completely outside the tree, indicate that they do not derive from the same common ancestor as the other sites that we link to the spread of agriculture.  </w:t>
      </w:r>
    </w:p>
    <w:p w14:paraId="67F9D0BD" w14:textId="103EC1D1" w:rsidR="002141B8" w:rsidRDefault="008E0918" w:rsidP="002141B8">
      <w:pPr>
        <w:spacing w:line="360" w:lineRule="auto"/>
        <w:ind w:firstLine="284"/>
        <w:rPr>
          <w:lang w:val="en-US"/>
        </w:rPr>
      </w:pPr>
      <w:r w:rsidRPr="00655D35">
        <w:t>Arch</w:t>
      </w:r>
      <w:r>
        <w:t>a</w:t>
      </w:r>
      <w:r w:rsidRPr="00655D35">
        <w:t>eobotanical studies show</w:t>
      </w:r>
      <w:r>
        <w:rPr>
          <w:lang w:val="en-US"/>
        </w:rPr>
        <w:t xml:space="preserve"> </w:t>
      </w:r>
      <w:r w:rsidRPr="00655D35">
        <w:t xml:space="preserve">that wet-rice agriculture </w:t>
      </w:r>
      <w:r>
        <w:rPr>
          <w:lang w:val="en-US"/>
        </w:rPr>
        <w:t>reached</w:t>
      </w:r>
      <w:r w:rsidRPr="00655D35">
        <w:t xml:space="preserve"> the Korean peninsula</w:t>
      </w:r>
      <w:r w:rsidR="00B11085">
        <w:rPr>
          <w:lang w:val="en-US"/>
        </w:rPr>
        <w:t xml:space="preserve"> as part of the Mumun culture </w:t>
      </w:r>
      <w:r w:rsidRPr="00655D35">
        <w:t xml:space="preserve">in the late </w:t>
      </w:r>
      <w:r>
        <w:rPr>
          <w:lang w:val="en-US"/>
        </w:rPr>
        <w:t>fourth</w:t>
      </w:r>
      <w:r w:rsidRPr="00655D35">
        <w:t xml:space="preserve"> millennium B</w:t>
      </w:r>
      <w:r>
        <w:rPr>
          <w:lang w:val="en-US"/>
        </w:rPr>
        <w:t xml:space="preserve">P </w:t>
      </w:r>
      <w:r w:rsidRPr="00655D35">
        <w:t>(</w:t>
      </w:r>
      <w:r>
        <w:rPr>
          <w:lang w:val="en-US"/>
        </w:rPr>
        <w:t>3</w:t>
      </w:r>
      <w:r w:rsidRPr="00655D35">
        <w:t>300</w:t>
      </w:r>
      <w:r>
        <w:t>–</w:t>
      </w:r>
      <w:r>
        <w:rPr>
          <w:lang w:val="en-US"/>
        </w:rPr>
        <w:t>3</w:t>
      </w:r>
      <w:r w:rsidRPr="00655D35">
        <w:t>000 B</w:t>
      </w:r>
      <w:r>
        <w:rPr>
          <w:lang w:val="en-US"/>
        </w:rPr>
        <w:t>P</w:t>
      </w:r>
      <w:r w:rsidRPr="00655D35">
        <w:t xml:space="preserve">) via the Shandong and Liaodong </w:t>
      </w:r>
      <w:r>
        <w:rPr>
          <w:lang w:val="en-US"/>
        </w:rPr>
        <w:t>P</w:t>
      </w:r>
      <w:r w:rsidRPr="0079245A">
        <w:t>eninsulas</w:t>
      </w:r>
      <w:r>
        <w:rPr>
          <w:lang w:val="en-US"/>
        </w:rPr>
        <w:t xml:space="preserve">, from where it was transmitted to Japan after 3000 BP, </w:t>
      </w:r>
      <w:r>
        <w:rPr>
          <w:lang w:val="en-US"/>
        </w:rPr>
        <w:lastRenderedPageBreak/>
        <w:t xml:space="preserve">by farmers who </w:t>
      </w:r>
      <w:r w:rsidRPr="00655D35">
        <w:t>established the Yayoi culture</w:t>
      </w:r>
      <w:r w:rsidRPr="00655D35">
        <w:rPr>
          <w:color w:val="131313"/>
        </w:rPr>
        <w:t xml:space="preserve"> (</w:t>
      </w:r>
      <w:r>
        <w:rPr>
          <w:color w:val="131313"/>
          <w:lang w:val="en-US"/>
        </w:rPr>
        <w:t>3000</w:t>
      </w:r>
      <w:r>
        <w:t>–</w:t>
      </w:r>
      <w:r>
        <w:rPr>
          <w:lang w:val="en-US"/>
        </w:rPr>
        <w:t>1700 BP</w:t>
      </w:r>
      <w:r w:rsidRPr="00655D35">
        <w:rPr>
          <w:color w:val="131313"/>
        </w:rPr>
        <w:t>)</w:t>
      </w:r>
      <w:r w:rsidR="00B436DC">
        <w:rPr>
          <w:color w:val="131313"/>
          <w:lang w:val="en-US"/>
        </w:rPr>
        <w:t xml:space="preserve"> </w:t>
      </w:r>
      <w:r w:rsidR="00B436DC">
        <w:rPr>
          <w:lang w:val="en-US"/>
        </w:rPr>
        <w:t>(</w:t>
      </w:r>
      <w:r w:rsidR="00B436DC" w:rsidRPr="00655D35">
        <w:t xml:space="preserve">Ahn </w:t>
      </w:r>
      <w:r w:rsidR="00B436DC">
        <w:rPr>
          <w:lang w:val="en-US"/>
        </w:rPr>
        <w:t xml:space="preserve"> </w:t>
      </w:r>
      <w:r w:rsidR="00B436DC" w:rsidRPr="00655D35">
        <w:t>2010</w:t>
      </w:r>
      <w:r w:rsidR="00B436DC">
        <w:rPr>
          <w:lang w:val="en-US"/>
        </w:rPr>
        <w:t xml:space="preserve">, </w:t>
      </w:r>
      <w:r w:rsidR="00B436DC" w:rsidRPr="00655D35">
        <w:t>Miyamoto</w:t>
      </w:r>
      <w:r w:rsidR="00B436DC">
        <w:rPr>
          <w:lang w:val="en-US"/>
        </w:rPr>
        <w:t xml:space="preserve"> 2014, 2016</w:t>
      </w:r>
      <w:r w:rsidR="00B436DC" w:rsidRPr="00655D35">
        <w:t>)</w:t>
      </w:r>
      <w:r>
        <w:rPr>
          <w:color w:val="131313"/>
          <w:lang w:val="en-US"/>
        </w:rPr>
        <w:t>.</w:t>
      </w:r>
      <w:r>
        <w:rPr>
          <w:lang w:val="en-US"/>
        </w:rPr>
        <w:t xml:space="preserve"> </w:t>
      </w:r>
      <w:r w:rsidR="009630F2">
        <w:rPr>
          <w:lang w:val="en-US"/>
        </w:rPr>
        <w:t xml:space="preserve">Against our expectation, </w:t>
      </w:r>
      <w:r>
        <w:rPr>
          <w:lang w:val="en-US"/>
        </w:rPr>
        <w:t xml:space="preserve">however, </w:t>
      </w:r>
      <w:r w:rsidR="009630F2">
        <w:rPr>
          <w:lang w:val="en-US"/>
        </w:rPr>
        <w:t>the Bronze Age Mumun-Yayoi</w:t>
      </w:r>
      <w:r>
        <w:rPr>
          <w:lang w:val="en-US"/>
        </w:rPr>
        <w:t xml:space="preserve"> complex (light green) forms a clade together with the </w:t>
      </w:r>
      <w:r w:rsidRPr="00B23805">
        <w:rPr>
          <w:color w:val="000000" w:themeColor="text1"/>
          <w:shd w:val="clear" w:color="auto" w:fill="FFFFFF"/>
          <w:lang w:val="en-US"/>
        </w:rPr>
        <w:t>Xiajiadian</w:t>
      </w:r>
      <w:r>
        <w:rPr>
          <w:color w:val="000000" w:themeColor="text1"/>
          <w:shd w:val="clear" w:color="auto" w:fill="FFFFFF"/>
          <w:lang w:val="en-US"/>
        </w:rPr>
        <w:t xml:space="preserve"> complex (dark green) rather </w:t>
      </w:r>
      <w:r w:rsidR="009630F2">
        <w:rPr>
          <w:lang w:val="en-US"/>
        </w:rPr>
        <w:t xml:space="preserve">than clustering with the </w:t>
      </w:r>
      <w:r w:rsidR="009630F2">
        <w:rPr>
          <w:color w:val="000000" w:themeColor="text1"/>
          <w:shd w:val="clear" w:color="auto" w:fill="FFFFFF"/>
          <w:lang w:val="en-US"/>
        </w:rPr>
        <w:t>Liaodong-Shandong cultures</w:t>
      </w:r>
      <w:r>
        <w:rPr>
          <w:color w:val="000000" w:themeColor="text1"/>
          <w:shd w:val="clear" w:color="auto" w:fill="FFFFFF"/>
          <w:lang w:val="en-US"/>
        </w:rPr>
        <w:t xml:space="preserve"> (blue).</w:t>
      </w:r>
      <w:r w:rsidR="00B11085">
        <w:rPr>
          <w:color w:val="000000" w:themeColor="text1"/>
          <w:shd w:val="clear" w:color="auto" w:fill="FFFFFF"/>
          <w:lang w:val="en-US"/>
        </w:rPr>
        <w:t xml:space="preserve"> This may be explained by cultural interaction with </w:t>
      </w:r>
      <w:r w:rsidR="00B11085" w:rsidRPr="00B23805">
        <w:rPr>
          <w:color w:val="000000" w:themeColor="text1"/>
          <w:shd w:val="clear" w:color="auto" w:fill="FFFFFF"/>
          <w:lang w:val="en-US"/>
        </w:rPr>
        <w:t>Xiajiadian</w:t>
      </w:r>
      <w:r w:rsidR="00B11085">
        <w:rPr>
          <w:color w:val="000000" w:themeColor="text1"/>
          <w:shd w:val="clear" w:color="auto" w:fill="FFFFFF"/>
          <w:lang w:val="en-US"/>
        </w:rPr>
        <w:t xml:space="preserve"> groups in the Bronze Age, when the ancestors of the </w:t>
      </w:r>
      <w:r w:rsidR="00B11085">
        <w:rPr>
          <w:lang w:val="en-US"/>
        </w:rPr>
        <w:t>Mumun and Yayoi were living on the coasts between Liaodong and Shandong, neighbo</w:t>
      </w:r>
      <w:r w:rsidR="0089101B">
        <w:rPr>
          <w:lang w:val="en-US"/>
        </w:rPr>
        <w:t>u</w:t>
      </w:r>
      <w:r w:rsidR="00B11085">
        <w:rPr>
          <w:lang w:val="en-US"/>
        </w:rPr>
        <w:t xml:space="preserve">ring the Xiajiadian in the north. </w:t>
      </w:r>
      <w:r w:rsidR="00B11085">
        <w:rPr>
          <w:shd w:val="clear" w:color="auto" w:fill="FFFFFF"/>
          <w:lang w:val="en-US"/>
        </w:rPr>
        <w:t>The cultural interaction may be mirrored by the fact that Mumun and Yayoi can be modelled in terms of Xiajiadian in our genetic admixture plot (Fig. 3b).</w:t>
      </w:r>
    </w:p>
    <w:p w14:paraId="7CB19DD4" w14:textId="7279F6AF" w:rsidR="005D664E" w:rsidRDefault="00CC2BCB" w:rsidP="002141B8">
      <w:pPr>
        <w:spacing w:line="360" w:lineRule="auto"/>
        <w:ind w:firstLine="284"/>
        <w:rPr>
          <w:color w:val="000000" w:themeColor="text1"/>
          <w:shd w:val="clear" w:color="auto" w:fill="FFFFFF"/>
          <w:lang w:val="en-US"/>
        </w:rPr>
      </w:pPr>
      <w:r w:rsidRPr="00797B1C">
        <w:rPr>
          <w:rFonts w:eastAsiaTheme="minorEastAsia"/>
          <w:lang w:val="en-GB"/>
        </w:rPr>
        <w:t>Archaeological evidence (Kuzmin 2013</w:t>
      </w:r>
      <w:r w:rsidR="0089101B">
        <w:rPr>
          <w:rFonts w:eastAsiaTheme="minorEastAsia"/>
          <w:lang w:val="en-GB"/>
        </w:rPr>
        <w:t xml:space="preserve">; </w:t>
      </w:r>
      <w:r w:rsidRPr="00797B1C">
        <w:rPr>
          <w:rFonts w:eastAsiaTheme="minorEastAsia"/>
          <w:lang w:val="en-GB"/>
        </w:rPr>
        <w:t>Miyamoto 2014</w:t>
      </w:r>
      <w:r w:rsidR="0089101B">
        <w:rPr>
          <w:rFonts w:eastAsiaTheme="minorEastAsia"/>
          <w:lang w:val="en-GB"/>
        </w:rPr>
        <w:t>;</w:t>
      </w:r>
      <w:r w:rsidRPr="00797B1C">
        <w:rPr>
          <w:rFonts w:eastAsiaTheme="minorEastAsia"/>
          <w:lang w:val="en-GB"/>
        </w:rPr>
        <w:t xml:space="preserve"> Li et al. 2020) shows that</w:t>
      </w:r>
      <w:r w:rsidR="00797B1C" w:rsidRPr="00797B1C">
        <w:rPr>
          <w:rFonts w:eastAsiaTheme="minorEastAsia"/>
          <w:lang w:val="en-GB"/>
        </w:rPr>
        <w:t xml:space="preserve"> millet agriculture dispersed directly across the Amur region to the Primorye. This is confirmed by the clustering of </w:t>
      </w:r>
      <w:r w:rsidR="00797B1C" w:rsidRPr="00797B1C">
        <w:rPr>
          <w:shd w:val="clear" w:color="auto" w:fill="FFFFFF"/>
          <w:lang w:val="en-US"/>
        </w:rPr>
        <w:t>the eastern Amur sites from the Neolithic with the Zaisanovka cultures in the Primorye (orange).</w:t>
      </w:r>
      <w:r w:rsidR="00797B1C">
        <w:rPr>
          <w:rFonts w:eastAsiaTheme="minorEastAsia"/>
          <w:lang w:val="en-GB"/>
        </w:rPr>
        <w:t xml:space="preserve"> </w:t>
      </w:r>
      <w:r>
        <w:rPr>
          <w:shd w:val="clear" w:color="auto" w:fill="FFFFFF"/>
          <w:lang w:val="en-US"/>
        </w:rPr>
        <w:t>In contrast to the eastern Amur sites</w:t>
      </w:r>
      <w:r w:rsidR="00797B1C">
        <w:rPr>
          <w:shd w:val="clear" w:color="auto" w:fill="FFFFFF"/>
          <w:lang w:val="en-US"/>
        </w:rPr>
        <w:t xml:space="preserve">, </w:t>
      </w:r>
      <w:r>
        <w:rPr>
          <w:shd w:val="clear" w:color="auto" w:fill="FFFFFF"/>
          <w:lang w:val="en-US"/>
        </w:rPr>
        <w:t xml:space="preserve">the </w:t>
      </w:r>
      <w:r w:rsidR="005D664E">
        <w:rPr>
          <w:color w:val="000000" w:themeColor="text1"/>
          <w:shd w:val="clear" w:color="auto" w:fill="FFFFFF"/>
          <w:lang w:val="en-US"/>
        </w:rPr>
        <w:t xml:space="preserve">western Amur </w:t>
      </w:r>
      <w:r>
        <w:rPr>
          <w:color w:val="000000" w:themeColor="text1"/>
          <w:shd w:val="clear" w:color="auto" w:fill="FFFFFF"/>
          <w:lang w:val="en-US"/>
        </w:rPr>
        <w:t>sites (blue)</w:t>
      </w:r>
      <w:r w:rsidR="005D664E">
        <w:rPr>
          <w:color w:val="000000" w:themeColor="text1"/>
          <w:shd w:val="clear" w:color="auto" w:fill="FFFFFF"/>
          <w:lang w:val="en-US"/>
        </w:rPr>
        <w:t xml:space="preserve">, </w:t>
      </w:r>
      <w:r>
        <w:rPr>
          <w:color w:val="000000" w:themeColor="text1"/>
          <w:shd w:val="clear" w:color="auto" w:fill="FFFFFF"/>
          <w:lang w:val="en-US"/>
        </w:rPr>
        <w:t>most of which date back to the Bronze Age,</w:t>
      </w:r>
      <w:r w:rsidR="005D664E">
        <w:rPr>
          <w:color w:val="000000" w:themeColor="text1"/>
          <w:shd w:val="clear" w:color="auto" w:fill="FFFFFF"/>
          <w:lang w:val="en-US"/>
        </w:rPr>
        <w:t xml:space="preserve"> cluster with those on </w:t>
      </w:r>
      <w:r>
        <w:rPr>
          <w:color w:val="000000" w:themeColor="text1"/>
          <w:shd w:val="clear" w:color="auto" w:fill="FFFFFF"/>
          <w:lang w:val="en-US"/>
        </w:rPr>
        <w:t xml:space="preserve">the </w:t>
      </w:r>
      <w:r w:rsidR="005D664E">
        <w:rPr>
          <w:color w:val="000000" w:themeColor="text1"/>
          <w:shd w:val="clear" w:color="auto" w:fill="FFFFFF"/>
          <w:lang w:val="en-US"/>
        </w:rPr>
        <w:t>Liaodong Peninsula</w:t>
      </w:r>
      <w:r>
        <w:rPr>
          <w:color w:val="000000" w:themeColor="text1"/>
          <w:shd w:val="clear" w:color="auto" w:fill="FFFFFF"/>
          <w:lang w:val="en-US"/>
        </w:rPr>
        <w:t>.</w:t>
      </w:r>
      <w:r w:rsidR="00797B1C">
        <w:rPr>
          <w:color w:val="000000" w:themeColor="text1"/>
          <w:shd w:val="clear" w:color="auto" w:fill="FFFFFF"/>
          <w:lang w:val="en-US"/>
        </w:rPr>
        <w:t xml:space="preserve"> This may suggest that the Liaodong-Shandong cultural complex, </w:t>
      </w:r>
      <w:r w:rsidR="002141B8">
        <w:rPr>
          <w:color w:val="000000" w:themeColor="text1"/>
          <w:shd w:val="clear" w:color="auto" w:fill="FFFFFF"/>
          <w:lang w:val="en-US"/>
        </w:rPr>
        <w:t>for which our tree</w:t>
      </w:r>
      <w:r w:rsidR="00797B1C">
        <w:rPr>
          <w:color w:val="000000" w:themeColor="text1"/>
          <w:shd w:val="clear" w:color="auto" w:fill="FFFFFF"/>
          <w:lang w:val="en-US"/>
        </w:rPr>
        <w:t xml:space="preserve"> displays continuity from the Neolithic into the Bronze Age, spread northward into the </w:t>
      </w:r>
      <w:r w:rsidR="002141B8">
        <w:rPr>
          <w:color w:val="000000" w:themeColor="text1"/>
          <w:shd w:val="clear" w:color="auto" w:fill="FFFFFF"/>
          <w:lang w:val="en-US"/>
        </w:rPr>
        <w:t xml:space="preserve">western </w:t>
      </w:r>
      <w:r w:rsidR="00797B1C">
        <w:rPr>
          <w:color w:val="000000" w:themeColor="text1"/>
          <w:shd w:val="clear" w:color="auto" w:fill="FFFFFF"/>
          <w:lang w:val="en-US"/>
        </w:rPr>
        <w:t>Amur</w:t>
      </w:r>
      <w:r w:rsidR="002141B8">
        <w:rPr>
          <w:color w:val="000000" w:themeColor="text1"/>
          <w:shd w:val="clear" w:color="auto" w:fill="FFFFFF"/>
          <w:lang w:val="en-US"/>
        </w:rPr>
        <w:t xml:space="preserve"> region</w:t>
      </w:r>
      <w:r w:rsidR="00797B1C">
        <w:rPr>
          <w:color w:val="000000" w:themeColor="text1"/>
          <w:shd w:val="clear" w:color="auto" w:fill="FFFFFF"/>
          <w:lang w:val="en-US"/>
        </w:rPr>
        <w:t>.</w:t>
      </w:r>
    </w:p>
    <w:p w14:paraId="46B779C1" w14:textId="4BF99514" w:rsidR="003171E8" w:rsidRDefault="002141B8" w:rsidP="003171E8">
      <w:pPr>
        <w:spacing w:line="360" w:lineRule="auto"/>
        <w:ind w:firstLine="284"/>
        <w:rPr>
          <w:color w:val="000000" w:themeColor="text1"/>
          <w:lang w:val="en-US"/>
        </w:rPr>
      </w:pPr>
      <w:r>
        <w:rPr>
          <w:color w:val="000000" w:themeColor="text1"/>
          <w:shd w:val="clear" w:color="auto" w:fill="FFFFFF"/>
          <w:lang w:val="en-US"/>
        </w:rPr>
        <w:t>Only a few sites show an aberrant colo</w:t>
      </w:r>
      <w:r w:rsidR="009E09BA">
        <w:rPr>
          <w:color w:val="000000" w:themeColor="text1"/>
          <w:shd w:val="clear" w:color="auto" w:fill="FFFFFF"/>
          <w:lang w:val="en-US"/>
        </w:rPr>
        <w:t>u</w:t>
      </w:r>
      <w:r>
        <w:rPr>
          <w:color w:val="000000" w:themeColor="text1"/>
          <w:shd w:val="clear" w:color="auto" w:fill="FFFFFF"/>
          <w:lang w:val="en-US"/>
        </w:rPr>
        <w:t>r, unexpectedly different from neighbo</w:t>
      </w:r>
      <w:r w:rsidR="0089101B">
        <w:rPr>
          <w:color w:val="000000" w:themeColor="text1"/>
          <w:shd w:val="clear" w:color="auto" w:fill="FFFFFF"/>
          <w:lang w:val="en-US"/>
        </w:rPr>
        <w:t>u</w:t>
      </w:r>
      <w:r>
        <w:rPr>
          <w:color w:val="000000" w:themeColor="text1"/>
          <w:shd w:val="clear" w:color="auto" w:fill="FFFFFF"/>
          <w:lang w:val="en-US"/>
        </w:rPr>
        <w:t xml:space="preserve">ring sites in the same region and/or time period. This is the case for the Neolithic </w:t>
      </w:r>
      <w:r w:rsidRPr="005D664E">
        <w:rPr>
          <w:color w:val="000000" w:themeColor="text1"/>
          <w:lang w:val="en-US"/>
        </w:rPr>
        <w:t>Lower Houwa</w:t>
      </w:r>
      <w:r>
        <w:rPr>
          <w:color w:val="000000" w:themeColor="text1"/>
          <w:lang w:val="en-US"/>
        </w:rPr>
        <w:t xml:space="preserve"> site</w:t>
      </w:r>
      <w:r w:rsidRPr="005D664E">
        <w:rPr>
          <w:color w:val="000000" w:themeColor="text1"/>
          <w:lang w:val="en-US"/>
        </w:rPr>
        <w:t xml:space="preserve"> </w:t>
      </w:r>
      <w:r w:rsidR="00F52738">
        <w:rPr>
          <w:color w:val="000000" w:themeColor="text1"/>
          <w:lang w:val="en-US"/>
        </w:rPr>
        <w:t xml:space="preserve">(6500-5000 BP; green) </w:t>
      </w:r>
      <w:r>
        <w:rPr>
          <w:color w:val="000000" w:themeColor="text1"/>
          <w:lang w:val="en-US"/>
        </w:rPr>
        <w:t>on the Liaodong peninsula</w:t>
      </w:r>
      <w:r w:rsidR="00F52738">
        <w:rPr>
          <w:color w:val="000000" w:themeColor="text1"/>
          <w:lang w:val="en-US"/>
        </w:rPr>
        <w:t xml:space="preserve">, the Neolithic Haminmangha site (6000-5000 BP; green) in the West Liao region, the </w:t>
      </w:r>
      <w:r w:rsidR="003B27BB">
        <w:rPr>
          <w:color w:val="000000" w:themeColor="text1"/>
          <w:shd w:val="clear" w:color="auto" w:fill="FFFFFF"/>
          <w:lang w:val="en-US"/>
        </w:rPr>
        <w:t>Neolithic</w:t>
      </w:r>
      <w:r w:rsidR="00F52738">
        <w:rPr>
          <w:color w:val="000000" w:themeColor="text1"/>
          <w:lang w:val="en-US"/>
        </w:rPr>
        <w:t xml:space="preserve"> Xiaonanshan site excavated in 1991 (8000-6000 BP; green), </w:t>
      </w:r>
      <w:r w:rsidR="003B27BB">
        <w:rPr>
          <w:color w:val="000000" w:themeColor="text1"/>
          <w:lang w:val="en-US"/>
        </w:rPr>
        <w:t xml:space="preserve">the </w:t>
      </w:r>
      <w:r w:rsidR="003171E8">
        <w:rPr>
          <w:color w:val="000000" w:themeColor="text1"/>
          <w:lang w:val="en-US"/>
        </w:rPr>
        <w:t xml:space="preserve">Neolithic Age </w:t>
      </w:r>
      <w:r w:rsidR="003B27BB" w:rsidRPr="003B27BB">
        <w:rPr>
          <w:color w:val="000000" w:themeColor="text1"/>
          <w:lang w:val="en-US"/>
        </w:rPr>
        <w:t>Shangmashi Lower Layer</w:t>
      </w:r>
      <w:r w:rsidR="003B27BB">
        <w:rPr>
          <w:color w:val="000000" w:themeColor="text1"/>
          <w:lang w:val="en-US"/>
        </w:rPr>
        <w:t xml:space="preserve"> site</w:t>
      </w:r>
      <w:r w:rsidR="003171E8">
        <w:rPr>
          <w:color w:val="000000" w:themeColor="text1"/>
          <w:lang w:val="en-US"/>
        </w:rPr>
        <w:t xml:space="preserve"> (6000-5000 BP; orange)</w:t>
      </w:r>
      <w:r w:rsidR="003B27BB">
        <w:rPr>
          <w:color w:val="000000" w:themeColor="text1"/>
          <w:lang w:val="en-US"/>
        </w:rPr>
        <w:t xml:space="preserve"> in </w:t>
      </w:r>
      <w:r w:rsidR="003171E8">
        <w:rPr>
          <w:color w:val="000000" w:themeColor="text1"/>
          <w:lang w:val="en-US"/>
        </w:rPr>
        <w:t xml:space="preserve">Liaodong and </w:t>
      </w:r>
      <w:r w:rsidR="00F52738">
        <w:rPr>
          <w:color w:val="000000" w:themeColor="text1"/>
          <w:lang w:val="en-US"/>
        </w:rPr>
        <w:t xml:space="preserve"> </w:t>
      </w:r>
      <w:r w:rsidR="003B27BB">
        <w:rPr>
          <w:color w:val="000000" w:themeColor="text1"/>
          <w:lang w:val="en-US"/>
        </w:rPr>
        <w:t xml:space="preserve">the Bronze Age </w:t>
      </w:r>
      <w:r w:rsidR="003B27BB" w:rsidRPr="005D664E">
        <w:rPr>
          <w:color w:val="000000" w:themeColor="text1"/>
          <w:lang w:val="en-US"/>
        </w:rPr>
        <w:t>Hanam Misari</w:t>
      </w:r>
      <w:r w:rsidR="003B27BB">
        <w:rPr>
          <w:color w:val="000000" w:themeColor="text1"/>
          <w:lang w:val="en-US"/>
        </w:rPr>
        <w:t xml:space="preserve"> site (2600-2300 BP, pink) in Korea</w:t>
      </w:r>
      <w:r w:rsidR="003171E8">
        <w:rPr>
          <w:color w:val="000000" w:themeColor="text1"/>
          <w:lang w:val="en-US"/>
        </w:rPr>
        <w:t>.</w:t>
      </w:r>
    </w:p>
    <w:p w14:paraId="4B1E8696" w14:textId="77777777" w:rsidR="00477F76" w:rsidRDefault="003171E8" w:rsidP="00477F76">
      <w:pPr>
        <w:spacing w:line="360" w:lineRule="auto"/>
        <w:ind w:firstLine="284"/>
        <w:rPr>
          <w:lang w:val="en-US"/>
        </w:rPr>
      </w:pPr>
      <w:r>
        <w:rPr>
          <w:color w:val="000000" w:themeColor="text1"/>
          <w:lang w:val="en-US"/>
        </w:rPr>
        <w:t>As Haminmangha is situated north of the Liao and Xiaonanshan further northeast in the Amur, the unexpected clustering with the Xiajiadian sites may mirror our genetic observation that Lower Xiajiadian individuals cause an influx of less admixed Amur genome into the West Liao region, suggesting migration from more northern regions (Fig. 3b; Extended data Fig. 7).</w:t>
      </w:r>
    </w:p>
    <w:p w14:paraId="5FA2A7F4" w14:textId="1867DBA8" w:rsidR="00477F76" w:rsidRDefault="00477F76" w:rsidP="0065030F">
      <w:pPr>
        <w:spacing w:line="480" w:lineRule="auto"/>
        <w:rPr>
          <w:color w:val="000000" w:themeColor="text1"/>
          <w:lang w:val="en-US"/>
        </w:rPr>
      </w:pPr>
    </w:p>
    <w:p w14:paraId="6362731A" w14:textId="52E699B1" w:rsidR="00D8135E" w:rsidRDefault="00D8135E" w:rsidP="0065030F">
      <w:pPr>
        <w:spacing w:line="480" w:lineRule="auto"/>
        <w:rPr>
          <w:color w:val="000000" w:themeColor="text1"/>
          <w:lang w:val="en-US"/>
        </w:rPr>
      </w:pPr>
    </w:p>
    <w:p w14:paraId="73A2EEB1" w14:textId="4CAC02DF" w:rsidR="00D8135E" w:rsidRDefault="00D8135E" w:rsidP="0065030F">
      <w:pPr>
        <w:spacing w:line="480" w:lineRule="auto"/>
        <w:rPr>
          <w:color w:val="000000" w:themeColor="text1"/>
          <w:lang w:val="en-US"/>
        </w:rPr>
      </w:pPr>
    </w:p>
    <w:p w14:paraId="7DF7078A" w14:textId="08E933DE" w:rsidR="00D8135E" w:rsidRDefault="00D8135E" w:rsidP="0065030F">
      <w:pPr>
        <w:spacing w:line="480" w:lineRule="auto"/>
        <w:rPr>
          <w:color w:val="000000" w:themeColor="text1"/>
          <w:lang w:val="en-US"/>
        </w:rPr>
      </w:pPr>
    </w:p>
    <w:p w14:paraId="75779380" w14:textId="77777777" w:rsidR="00D8135E" w:rsidRDefault="00D8135E" w:rsidP="0065030F">
      <w:pPr>
        <w:spacing w:line="480" w:lineRule="auto"/>
        <w:rPr>
          <w:color w:val="000000" w:themeColor="text1"/>
          <w:lang w:val="en-US"/>
        </w:rPr>
      </w:pPr>
    </w:p>
    <w:p w14:paraId="58FB82B5" w14:textId="77777777" w:rsidR="002D2982" w:rsidRPr="00DD6514" w:rsidRDefault="002D2982" w:rsidP="002D2982">
      <w:pPr>
        <w:spacing w:line="276" w:lineRule="auto"/>
        <w:ind w:left="284" w:hanging="284"/>
        <w:rPr>
          <w:b/>
          <w:lang w:val="en-US"/>
        </w:rPr>
      </w:pPr>
      <w:r>
        <w:rPr>
          <w:b/>
          <w:bCs/>
          <w:color w:val="000000" w:themeColor="text1"/>
          <w:lang w:val="en-US"/>
        </w:rPr>
        <w:lastRenderedPageBreak/>
        <w:t xml:space="preserve"> </w:t>
      </w:r>
      <w:r w:rsidRPr="00DD6514">
        <w:rPr>
          <w:b/>
          <w:lang w:val="en-US"/>
        </w:rPr>
        <w:t xml:space="preserve">References </w:t>
      </w:r>
      <w:r w:rsidRPr="00DD6514">
        <w:rPr>
          <w:b/>
        </w:rPr>
        <w:t xml:space="preserve">mentioned in Supplementary Information </w:t>
      </w:r>
      <w:r>
        <w:rPr>
          <w:b/>
          <w:lang w:val="en-US"/>
        </w:rPr>
        <w:t>8</w:t>
      </w:r>
    </w:p>
    <w:p w14:paraId="43D2401B" w14:textId="77777777" w:rsidR="002D2982" w:rsidRDefault="002D2982" w:rsidP="002D2982"/>
    <w:p w14:paraId="73F22A4A" w14:textId="77777777" w:rsidR="002D2982" w:rsidRPr="001F6781" w:rsidRDefault="002D2982" w:rsidP="002D2982">
      <w:pPr>
        <w:pStyle w:val="NormalWeb"/>
      </w:pPr>
      <w:r w:rsidRPr="001F6781">
        <w:rPr>
          <w:rFonts w:hint="cs"/>
        </w:rPr>
        <w:t xml:space="preserve">Ahn, S. M. 2010. The emergence of rice agriculture in Korea: Archaeobotanical perspectives. </w:t>
      </w:r>
      <w:r w:rsidRPr="001F6781">
        <w:rPr>
          <w:rFonts w:hint="cs"/>
          <w:i/>
          <w:iCs/>
        </w:rPr>
        <w:t>Archaeol</w:t>
      </w:r>
      <w:r w:rsidRPr="001F6781">
        <w:rPr>
          <w:i/>
          <w:iCs/>
          <w:lang w:val="en-US"/>
        </w:rPr>
        <w:t>.</w:t>
      </w:r>
      <w:r w:rsidRPr="001F6781">
        <w:rPr>
          <w:rFonts w:hint="cs"/>
          <w:i/>
          <w:iCs/>
        </w:rPr>
        <w:t xml:space="preserve"> Anthropol</w:t>
      </w:r>
      <w:r w:rsidRPr="001F6781">
        <w:rPr>
          <w:i/>
          <w:iCs/>
          <w:lang w:val="en-US"/>
        </w:rPr>
        <w:t>.</w:t>
      </w:r>
      <w:r w:rsidRPr="001F6781">
        <w:rPr>
          <w:rFonts w:hint="cs"/>
          <w:i/>
          <w:iCs/>
        </w:rPr>
        <w:t xml:space="preserve"> Sci</w:t>
      </w:r>
      <w:r w:rsidRPr="001F6781">
        <w:rPr>
          <w:lang w:val="en-US"/>
        </w:rPr>
        <w:t>.</w:t>
      </w:r>
      <w:r w:rsidRPr="001F6781">
        <w:rPr>
          <w:rFonts w:hint="cs"/>
        </w:rPr>
        <w:t xml:space="preserve"> </w:t>
      </w:r>
      <w:r w:rsidRPr="001F6781">
        <w:rPr>
          <w:rFonts w:hint="cs"/>
          <w:b/>
          <w:bCs/>
        </w:rPr>
        <w:t>2</w:t>
      </w:r>
      <w:r w:rsidRPr="001F6781">
        <w:rPr>
          <w:rFonts w:hint="cs"/>
        </w:rPr>
        <w:t xml:space="preserve">, 89–98. </w:t>
      </w:r>
    </w:p>
    <w:p w14:paraId="2C4D5AF6" w14:textId="77777777" w:rsidR="002D2982" w:rsidRPr="001F6781" w:rsidRDefault="002D2982" w:rsidP="002D2982">
      <w:r w:rsidRPr="001F6781">
        <w:rPr>
          <w:lang w:val="en-US"/>
        </w:rPr>
        <w:t xml:space="preserve">Duan, </w:t>
      </w:r>
      <w:r w:rsidRPr="001F6781">
        <w:t xml:space="preserve">Tianjing, Shiqi Ma, Shanshan Li &amp; Yuhan Chen 2018. Petrographic analysis of pottery from the Haminmangha site (2010–2011), Inner Mongolia. </w:t>
      </w:r>
      <w:r w:rsidRPr="001F6781">
        <w:rPr>
          <w:i/>
          <w:iCs/>
        </w:rPr>
        <w:t>Asian Archaeol</w:t>
      </w:r>
      <w:r w:rsidRPr="001F6781">
        <w:rPr>
          <w:i/>
          <w:iCs/>
          <w:lang w:val="en-US"/>
        </w:rPr>
        <w:t>.</w:t>
      </w:r>
      <w:r w:rsidRPr="001F6781">
        <w:t xml:space="preserve"> </w:t>
      </w:r>
      <w:r w:rsidRPr="001F6781">
        <w:rPr>
          <w:b/>
          <w:bCs/>
        </w:rPr>
        <w:t>2</w:t>
      </w:r>
      <w:r w:rsidRPr="001F6781">
        <w:rPr>
          <w:lang w:val="en-US"/>
        </w:rPr>
        <w:t xml:space="preserve">, </w:t>
      </w:r>
      <w:r w:rsidRPr="001F6781">
        <w:t xml:space="preserve">43–50 </w:t>
      </w:r>
      <w:hyperlink r:id="rId7" w:history="1">
        <w:r w:rsidRPr="001F6781">
          <w:rPr>
            <w:rStyle w:val="Hyperlink"/>
          </w:rPr>
          <w:t>https://doi.org/10.1007/s41826-018-0014-3</w:t>
        </w:r>
      </w:hyperlink>
    </w:p>
    <w:p w14:paraId="2EA74F6F" w14:textId="77777777" w:rsidR="002D2982" w:rsidRPr="001F6781" w:rsidRDefault="002D2982" w:rsidP="002D2982"/>
    <w:p w14:paraId="639F1469" w14:textId="77777777" w:rsidR="002D2982" w:rsidRPr="001F6781" w:rsidRDefault="002D2982" w:rsidP="002D2982">
      <w:pPr>
        <w:autoSpaceDE w:val="0"/>
        <w:autoSpaceDN w:val="0"/>
        <w:adjustRightInd w:val="0"/>
        <w:rPr>
          <w:rFonts w:eastAsiaTheme="minorEastAsia"/>
          <w:lang w:val="en-GB"/>
        </w:rPr>
      </w:pPr>
      <w:r w:rsidRPr="001F6781">
        <w:rPr>
          <w:rFonts w:eastAsiaTheme="minorEastAsia"/>
          <w:lang w:val="en-GB"/>
        </w:rPr>
        <w:t xml:space="preserve">Hudson, M.J. &amp; Robbeets, M. 2020. Archaeolinguistic evidence for the farming/language dispersal of Koreanic. </w:t>
      </w:r>
      <w:r w:rsidRPr="001F6781">
        <w:rPr>
          <w:rFonts w:eastAsiaTheme="minorEastAsia"/>
          <w:i/>
          <w:iCs/>
          <w:lang w:val="en-GB"/>
        </w:rPr>
        <w:t>Evol. Hum. Sci</w:t>
      </w:r>
      <w:r w:rsidRPr="001F6781">
        <w:rPr>
          <w:rFonts w:eastAsiaTheme="minorEastAsia"/>
          <w:lang w:val="en-GB"/>
        </w:rPr>
        <w:t xml:space="preserve">. </w:t>
      </w:r>
      <w:r w:rsidRPr="001F6781">
        <w:rPr>
          <w:rFonts w:eastAsiaTheme="minorEastAsia"/>
          <w:b/>
          <w:bCs/>
          <w:lang w:val="en-GB"/>
        </w:rPr>
        <w:t>2</w:t>
      </w:r>
      <w:r w:rsidRPr="001F6781">
        <w:rPr>
          <w:rFonts w:eastAsiaTheme="minorEastAsia"/>
          <w:lang w:val="en-GB"/>
        </w:rPr>
        <w:t xml:space="preserve">, e52. </w:t>
      </w:r>
    </w:p>
    <w:p w14:paraId="68DEFE19" w14:textId="77777777" w:rsidR="002D2982" w:rsidRPr="001F6781" w:rsidRDefault="002D2982" w:rsidP="002D2982"/>
    <w:p w14:paraId="4DC6EBE2" w14:textId="77777777" w:rsidR="002D2982" w:rsidRPr="001F6781" w:rsidRDefault="002D2982" w:rsidP="002D2982">
      <w:pPr>
        <w:autoSpaceDE w:val="0"/>
        <w:autoSpaceDN w:val="0"/>
        <w:adjustRightInd w:val="0"/>
        <w:rPr>
          <w:rFonts w:eastAsiaTheme="minorEastAsia"/>
          <w:lang w:val="en-GB"/>
        </w:rPr>
      </w:pPr>
      <w:r w:rsidRPr="001F6781">
        <w:rPr>
          <w:rFonts w:eastAsiaTheme="minorEastAsia"/>
          <w:lang w:val="en-GB"/>
        </w:rPr>
        <w:t xml:space="preserve">Kuzmin, Y.V., 2013. The beginnings of prehistoric agriculture in the Russian Far East: Current evidence and concepts. </w:t>
      </w:r>
      <w:r w:rsidRPr="001F6781">
        <w:rPr>
          <w:rFonts w:eastAsiaTheme="minorEastAsia"/>
          <w:i/>
          <w:iCs/>
          <w:lang w:val="en-GB"/>
        </w:rPr>
        <w:t>Documenta Praehist</w:t>
      </w:r>
      <w:r w:rsidRPr="001F6781">
        <w:rPr>
          <w:rFonts w:eastAsiaTheme="minorEastAsia"/>
          <w:lang w:val="en-GB"/>
        </w:rPr>
        <w:t xml:space="preserve">. </w:t>
      </w:r>
      <w:r w:rsidRPr="001F6781">
        <w:rPr>
          <w:rFonts w:eastAsiaTheme="minorEastAsia"/>
          <w:b/>
          <w:bCs/>
          <w:lang w:val="en-GB"/>
        </w:rPr>
        <w:t>40</w:t>
      </w:r>
      <w:r w:rsidRPr="001F6781">
        <w:rPr>
          <w:rFonts w:eastAsiaTheme="minorEastAsia"/>
          <w:lang w:val="en-GB"/>
        </w:rPr>
        <w:t>, 1–12.</w:t>
      </w:r>
    </w:p>
    <w:p w14:paraId="63541F08" w14:textId="77777777" w:rsidR="002D2982" w:rsidRPr="001F6781" w:rsidRDefault="002D2982" w:rsidP="002D2982"/>
    <w:p w14:paraId="2D375F42" w14:textId="77777777" w:rsidR="002D2982" w:rsidRPr="001F6781" w:rsidRDefault="002D2982" w:rsidP="002D2982">
      <w:pPr>
        <w:rPr>
          <w:lang w:val="en-US"/>
        </w:rPr>
      </w:pPr>
      <w:r w:rsidRPr="001F6781">
        <w:t xml:space="preserve">Li, T., Ning, C., Zhushchikhovskaya, I.S., Hudson, M.J. &amp; Robbeets, M. </w:t>
      </w:r>
      <w:r w:rsidRPr="001F6781">
        <w:rPr>
          <w:lang w:val="en-US"/>
        </w:rPr>
        <w:t xml:space="preserve">2020 </w:t>
      </w:r>
      <w:r w:rsidRPr="001F6781">
        <w:t xml:space="preserve">Millet agriculture dispersed from Northeast China to the Russian Far East: integrating archaeology, genetics and linguistics. </w:t>
      </w:r>
      <w:r w:rsidRPr="001F6781">
        <w:rPr>
          <w:i/>
          <w:iCs/>
        </w:rPr>
        <w:t>Archaeol. Res. Asia</w:t>
      </w:r>
      <w:r w:rsidRPr="001F6781">
        <w:t xml:space="preserve"> </w:t>
      </w:r>
      <w:r w:rsidRPr="001F6781">
        <w:rPr>
          <w:b/>
          <w:bCs/>
        </w:rPr>
        <w:t>22</w:t>
      </w:r>
      <w:r w:rsidRPr="001F6781">
        <w:t>, e100177.</w:t>
      </w:r>
      <w:r w:rsidRPr="001F6781">
        <w:rPr>
          <w:lang w:val="en-US"/>
        </w:rPr>
        <w:t xml:space="preserve"> </w:t>
      </w:r>
    </w:p>
    <w:p w14:paraId="404E294A" w14:textId="77777777" w:rsidR="002D2982" w:rsidRPr="001F6781" w:rsidRDefault="002D2982" w:rsidP="002D2982">
      <w:pPr>
        <w:rPr>
          <w:b/>
          <w:bCs/>
          <w:lang w:val="en-US"/>
        </w:rPr>
      </w:pPr>
    </w:p>
    <w:p w14:paraId="1192CC36" w14:textId="77777777" w:rsidR="002D2982" w:rsidRPr="001F6781" w:rsidRDefault="002D2982" w:rsidP="002D2982">
      <w:pPr>
        <w:autoSpaceDE w:val="0"/>
        <w:autoSpaceDN w:val="0"/>
        <w:adjustRightInd w:val="0"/>
        <w:rPr>
          <w:rFonts w:eastAsiaTheme="minorEastAsia"/>
          <w:lang w:val="en-GB"/>
        </w:rPr>
      </w:pPr>
      <w:r w:rsidRPr="001F6781">
        <w:rPr>
          <w:rFonts w:eastAsiaTheme="minorEastAsia"/>
          <w:lang w:val="en-GB"/>
        </w:rPr>
        <w:t xml:space="preserve">Miyamoto, K., 2014. The initial spread of early agriculture into Northeast Asia. </w:t>
      </w:r>
      <w:r w:rsidRPr="001F6781">
        <w:rPr>
          <w:rFonts w:eastAsiaTheme="minorEastAsia"/>
          <w:i/>
          <w:iCs/>
          <w:lang w:val="en-GB"/>
        </w:rPr>
        <w:t>Asian</w:t>
      </w:r>
      <w:r w:rsidRPr="001F6781">
        <w:rPr>
          <w:rFonts w:eastAsiaTheme="minorEastAsia"/>
          <w:lang w:val="en-GB"/>
        </w:rPr>
        <w:t xml:space="preserve"> </w:t>
      </w:r>
      <w:r w:rsidRPr="001F6781">
        <w:rPr>
          <w:rFonts w:eastAsiaTheme="minorEastAsia"/>
          <w:i/>
          <w:iCs/>
          <w:lang w:val="en-GB"/>
        </w:rPr>
        <w:t>Archaeol</w:t>
      </w:r>
      <w:r w:rsidRPr="001F6781">
        <w:rPr>
          <w:rFonts w:eastAsiaTheme="minorEastAsia"/>
          <w:lang w:val="en-GB"/>
        </w:rPr>
        <w:t xml:space="preserve">. </w:t>
      </w:r>
      <w:r w:rsidRPr="001F6781">
        <w:rPr>
          <w:rFonts w:eastAsiaTheme="minorEastAsia"/>
          <w:b/>
          <w:bCs/>
          <w:lang w:val="en-GB"/>
        </w:rPr>
        <w:t>3</w:t>
      </w:r>
      <w:r w:rsidRPr="001F6781">
        <w:rPr>
          <w:rFonts w:eastAsiaTheme="minorEastAsia"/>
          <w:lang w:val="en-GB"/>
        </w:rPr>
        <w:t>, 1–12.</w:t>
      </w:r>
    </w:p>
    <w:p w14:paraId="47B0DC4E" w14:textId="77777777" w:rsidR="002D2982" w:rsidRPr="001F6781" w:rsidRDefault="002D2982" w:rsidP="002D2982">
      <w:pPr>
        <w:rPr>
          <w:rFonts w:eastAsiaTheme="minorEastAsia"/>
          <w:lang w:val="en-GB"/>
        </w:rPr>
      </w:pPr>
      <w:r w:rsidRPr="001F6781">
        <w:rPr>
          <w:rFonts w:eastAsiaTheme="minorEastAsia"/>
          <w:lang w:val="en-GB"/>
        </w:rPr>
        <w:t xml:space="preserve"> </w:t>
      </w:r>
    </w:p>
    <w:p w14:paraId="67006803" w14:textId="77777777" w:rsidR="002D2982" w:rsidRPr="001F6781" w:rsidRDefault="002D2982" w:rsidP="002D2982">
      <w:pPr>
        <w:autoSpaceDE w:val="0"/>
        <w:autoSpaceDN w:val="0"/>
        <w:adjustRightInd w:val="0"/>
        <w:rPr>
          <w:rFonts w:eastAsiaTheme="minorEastAsia"/>
          <w:lang w:val="en-GB"/>
        </w:rPr>
      </w:pPr>
      <w:r w:rsidRPr="001F6781">
        <w:rPr>
          <w:rFonts w:eastAsiaTheme="minorEastAsia"/>
          <w:lang w:val="en-GB"/>
        </w:rPr>
        <w:t xml:space="preserve">Miyamoto, K., 2016. Archaeological explanation for the diffusion theory of the Japonic and Koreanic languages. </w:t>
      </w:r>
      <w:r w:rsidRPr="001F6781">
        <w:rPr>
          <w:rFonts w:eastAsiaTheme="minorEastAsia"/>
          <w:i/>
          <w:iCs/>
          <w:lang w:val="en-GB"/>
        </w:rPr>
        <w:t>Jpn. J. Archaeol</w:t>
      </w:r>
      <w:r w:rsidRPr="001F6781">
        <w:rPr>
          <w:rFonts w:eastAsiaTheme="minorEastAsia"/>
          <w:lang w:val="en-GB"/>
        </w:rPr>
        <w:t xml:space="preserve">. </w:t>
      </w:r>
      <w:r w:rsidRPr="001F6781">
        <w:rPr>
          <w:rFonts w:eastAsiaTheme="minorEastAsia"/>
          <w:b/>
          <w:bCs/>
          <w:lang w:val="en-GB"/>
        </w:rPr>
        <w:t>4</w:t>
      </w:r>
      <w:r w:rsidRPr="001F6781">
        <w:rPr>
          <w:rFonts w:eastAsiaTheme="minorEastAsia"/>
          <w:lang w:val="en-GB"/>
        </w:rPr>
        <w:t>, 53–75.</w:t>
      </w:r>
    </w:p>
    <w:p w14:paraId="15A32677" w14:textId="77777777" w:rsidR="002D2982" w:rsidRPr="001F6781" w:rsidRDefault="002D2982" w:rsidP="002D2982">
      <w:pPr>
        <w:autoSpaceDE w:val="0"/>
        <w:autoSpaceDN w:val="0"/>
        <w:adjustRightInd w:val="0"/>
        <w:rPr>
          <w:rFonts w:eastAsiaTheme="minorEastAsia"/>
          <w:lang w:val="en-GB"/>
        </w:rPr>
      </w:pPr>
    </w:p>
    <w:p w14:paraId="2F0761DF" w14:textId="77777777" w:rsidR="002D2982" w:rsidRPr="001F6781" w:rsidRDefault="002D2982" w:rsidP="002D2982">
      <w:pPr>
        <w:rPr>
          <w:color w:val="000000" w:themeColor="text1"/>
          <w:lang w:val="en-US"/>
        </w:rPr>
      </w:pPr>
      <w:r w:rsidRPr="001F6781">
        <w:rPr>
          <w:color w:val="000000" w:themeColor="text1"/>
          <w:lang w:val="en-US"/>
        </w:rPr>
        <w:t xml:space="preserve">Shelach-Lavi, G. 2015. </w:t>
      </w:r>
      <w:r w:rsidRPr="001F6781">
        <w:rPr>
          <w:i/>
          <w:iCs/>
          <w:color w:val="000000" w:themeColor="text1"/>
          <w:lang w:val="en-US"/>
        </w:rPr>
        <w:t>The Archaeology of Early China: From Prehistory to the Han Dynasty</w:t>
      </w:r>
      <w:r w:rsidRPr="001F6781">
        <w:rPr>
          <w:color w:val="000000" w:themeColor="text1"/>
          <w:lang w:val="en-US"/>
        </w:rPr>
        <w:t xml:space="preserve"> (Cambridge Univ. Press). </w:t>
      </w:r>
    </w:p>
    <w:p w14:paraId="49427C28" w14:textId="77777777" w:rsidR="002D2982" w:rsidRPr="001F6781" w:rsidRDefault="002D2982" w:rsidP="002D2982">
      <w:pPr>
        <w:rPr>
          <w:rFonts w:eastAsiaTheme="minorEastAsia"/>
          <w:lang w:val="en-GB"/>
        </w:rPr>
      </w:pPr>
    </w:p>
    <w:p w14:paraId="16A1E3B3" w14:textId="77777777" w:rsidR="002D2982" w:rsidRPr="001F6781" w:rsidRDefault="002D2982" w:rsidP="002D2982">
      <w:pPr>
        <w:rPr>
          <w:color w:val="000000" w:themeColor="text1"/>
          <w:lang w:val="en-US"/>
        </w:rPr>
      </w:pPr>
      <w:r w:rsidRPr="001F6781">
        <w:rPr>
          <w:iCs/>
          <w:lang w:val="en-US"/>
        </w:rPr>
        <w:t xml:space="preserve">Shelach, G. &amp; Teng, M. 2013, in </w:t>
      </w:r>
      <w:r w:rsidRPr="001F6781">
        <w:rPr>
          <w:i/>
          <w:color w:val="000000" w:themeColor="text1"/>
        </w:rPr>
        <w:t>A Companion to Chinese Archaeology</w:t>
      </w:r>
      <w:r w:rsidRPr="001F6781">
        <w:rPr>
          <w:i/>
          <w:color w:val="000000" w:themeColor="text1"/>
          <w:lang w:val="en-US"/>
        </w:rPr>
        <w:t xml:space="preserve"> </w:t>
      </w:r>
      <w:r w:rsidRPr="001F6781">
        <w:rPr>
          <w:iCs/>
          <w:color w:val="000000" w:themeColor="text1"/>
          <w:lang w:val="en-US"/>
        </w:rPr>
        <w:t>(ed</w:t>
      </w:r>
      <w:r w:rsidRPr="001F6781">
        <w:rPr>
          <w:i/>
          <w:color w:val="000000" w:themeColor="text1"/>
          <w:lang w:val="en-US"/>
        </w:rPr>
        <w:t xml:space="preserve"> </w:t>
      </w:r>
      <w:r w:rsidRPr="001F6781">
        <w:rPr>
          <w:iCs/>
          <w:lang w:val="en-US"/>
        </w:rPr>
        <w:t xml:space="preserve">Underhill, A.) </w:t>
      </w:r>
      <w:r w:rsidRPr="001F6781">
        <w:rPr>
          <w:color w:val="000000" w:themeColor="text1"/>
          <w:lang w:val="en-US"/>
        </w:rPr>
        <w:t>37-54  (</w:t>
      </w:r>
      <w:r w:rsidRPr="001F6781">
        <w:rPr>
          <w:color w:val="000000" w:themeColor="text1"/>
        </w:rPr>
        <w:t>Wiley–Blackwell</w:t>
      </w:r>
      <w:r w:rsidRPr="001F6781">
        <w:rPr>
          <w:iCs/>
          <w:lang w:val="en-US"/>
        </w:rPr>
        <w:t xml:space="preserve">). </w:t>
      </w:r>
      <w:r w:rsidRPr="001F6781">
        <w:rPr>
          <w:color w:val="000000" w:themeColor="text1"/>
          <w:lang w:val="en-US"/>
        </w:rPr>
        <w:t xml:space="preserve"> </w:t>
      </w:r>
      <w:r w:rsidRPr="001F6781">
        <w:rPr>
          <w:color w:val="000000" w:themeColor="text1"/>
        </w:rPr>
        <w:t xml:space="preserve">  </w:t>
      </w:r>
      <w:r w:rsidRPr="001F6781">
        <w:rPr>
          <w:color w:val="000000" w:themeColor="text1"/>
          <w:lang w:val="en-US"/>
        </w:rPr>
        <w:t xml:space="preserve"> </w:t>
      </w:r>
    </w:p>
    <w:p w14:paraId="5BA90359" w14:textId="77777777" w:rsidR="002D2982" w:rsidRPr="00A466DA" w:rsidRDefault="002D2982" w:rsidP="002D2982">
      <w:pPr>
        <w:rPr>
          <w:iCs/>
          <w:lang w:val="en-US"/>
        </w:rPr>
      </w:pPr>
      <w:r>
        <w:rPr>
          <w:iCs/>
          <w:lang w:val="en-US"/>
        </w:rPr>
        <w:t xml:space="preserve">  </w:t>
      </w:r>
    </w:p>
    <w:p w14:paraId="595C9066" w14:textId="7DF24572" w:rsidR="00101E6A" w:rsidRPr="00E43E9B" w:rsidRDefault="00101E6A" w:rsidP="002D2982">
      <w:pPr>
        <w:spacing w:line="360" w:lineRule="auto"/>
        <w:rPr>
          <w:lang w:val="en-US"/>
        </w:rPr>
      </w:pPr>
    </w:p>
    <w:sectPr w:rsidR="00101E6A" w:rsidRPr="00E43E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44266A"/>
    <w:multiLevelType w:val="hybridMultilevel"/>
    <w:tmpl w:val="CCCC39E2"/>
    <w:lvl w:ilvl="0" w:tplc="EBB4D8DA">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7"/>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030F"/>
    <w:rsid w:val="00012BB0"/>
    <w:rsid w:val="000244FB"/>
    <w:rsid w:val="00101E6A"/>
    <w:rsid w:val="00116050"/>
    <w:rsid w:val="00131A28"/>
    <w:rsid w:val="00136E79"/>
    <w:rsid w:val="00167EC8"/>
    <w:rsid w:val="001854E8"/>
    <w:rsid w:val="001916E6"/>
    <w:rsid w:val="001A210D"/>
    <w:rsid w:val="001E13DC"/>
    <w:rsid w:val="001E271F"/>
    <w:rsid w:val="001F519E"/>
    <w:rsid w:val="002141B8"/>
    <w:rsid w:val="002514ED"/>
    <w:rsid w:val="002D2982"/>
    <w:rsid w:val="003171E8"/>
    <w:rsid w:val="00393052"/>
    <w:rsid w:val="003B27BB"/>
    <w:rsid w:val="003D07CB"/>
    <w:rsid w:val="003D1905"/>
    <w:rsid w:val="003F2D6A"/>
    <w:rsid w:val="004429D4"/>
    <w:rsid w:val="00477F76"/>
    <w:rsid w:val="004B5EB9"/>
    <w:rsid w:val="004C6F1B"/>
    <w:rsid w:val="004D3D3E"/>
    <w:rsid w:val="004D5924"/>
    <w:rsid w:val="00512C34"/>
    <w:rsid w:val="00554B52"/>
    <w:rsid w:val="005C6DB0"/>
    <w:rsid w:val="005D097C"/>
    <w:rsid w:val="005D664E"/>
    <w:rsid w:val="005E339B"/>
    <w:rsid w:val="005F2180"/>
    <w:rsid w:val="0065030F"/>
    <w:rsid w:val="006C760A"/>
    <w:rsid w:val="00706851"/>
    <w:rsid w:val="007701AA"/>
    <w:rsid w:val="00781388"/>
    <w:rsid w:val="00797B1C"/>
    <w:rsid w:val="007B0E58"/>
    <w:rsid w:val="007B3D3D"/>
    <w:rsid w:val="007F2661"/>
    <w:rsid w:val="00866B70"/>
    <w:rsid w:val="0089101B"/>
    <w:rsid w:val="008C2BFC"/>
    <w:rsid w:val="008D19C2"/>
    <w:rsid w:val="008E0918"/>
    <w:rsid w:val="009457D8"/>
    <w:rsid w:val="009630F2"/>
    <w:rsid w:val="009A4E5A"/>
    <w:rsid w:val="009E09BA"/>
    <w:rsid w:val="00A46311"/>
    <w:rsid w:val="00A466DA"/>
    <w:rsid w:val="00A8621E"/>
    <w:rsid w:val="00AA0213"/>
    <w:rsid w:val="00AC399E"/>
    <w:rsid w:val="00AE5820"/>
    <w:rsid w:val="00B00218"/>
    <w:rsid w:val="00B065C9"/>
    <w:rsid w:val="00B11085"/>
    <w:rsid w:val="00B436DC"/>
    <w:rsid w:val="00B64C10"/>
    <w:rsid w:val="00BB3860"/>
    <w:rsid w:val="00BC46EE"/>
    <w:rsid w:val="00C51B62"/>
    <w:rsid w:val="00CC2BCB"/>
    <w:rsid w:val="00CD089F"/>
    <w:rsid w:val="00CD4996"/>
    <w:rsid w:val="00D02FC7"/>
    <w:rsid w:val="00D74112"/>
    <w:rsid w:val="00D8135E"/>
    <w:rsid w:val="00DD151A"/>
    <w:rsid w:val="00DF0F23"/>
    <w:rsid w:val="00E31317"/>
    <w:rsid w:val="00E43E9B"/>
    <w:rsid w:val="00E824D8"/>
    <w:rsid w:val="00EE3551"/>
    <w:rsid w:val="00F16395"/>
    <w:rsid w:val="00F17AF1"/>
    <w:rsid w:val="00F52738"/>
    <w:rsid w:val="00F70FEA"/>
    <w:rsid w:val="00F819A3"/>
    <w:rsid w:val="00FC12BD"/>
  </w:rsids>
  <m:mathPr>
    <m:mathFont m:val="Cambria Math"/>
    <m:brkBin m:val="before"/>
    <m:brkBinSub m:val="--"/>
    <m:smallFrac m:val="0"/>
    <m:dispDef/>
    <m:lMargin m:val="0"/>
    <m:rMargin m:val="0"/>
    <m:defJc m:val="centerGroup"/>
    <m:wrapIndent m:val="1440"/>
    <m:intLim m:val="subSup"/>
    <m:naryLim m:val="undOvr"/>
  </m:mathPr>
  <w:themeFontLang w:val="en-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1BC6C"/>
  <w15:chartTrackingRefBased/>
  <w15:docId w15:val="{AFFB1D37-F803-3549-9638-25082C487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B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BC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210D"/>
    <w:pPr>
      <w:ind w:left="720"/>
      <w:contextualSpacing/>
    </w:pPr>
  </w:style>
  <w:style w:type="character" w:customStyle="1" w:styleId="apple-converted-space">
    <w:name w:val="apple-converted-space"/>
    <w:basedOn w:val="DefaultParagraphFont"/>
    <w:rsid w:val="002514ED"/>
  </w:style>
  <w:style w:type="character" w:styleId="Hyperlink">
    <w:name w:val="Hyperlink"/>
    <w:basedOn w:val="DefaultParagraphFont"/>
    <w:uiPriority w:val="99"/>
    <w:unhideWhenUsed/>
    <w:rsid w:val="00CC2BCB"/>
    <w:rPr>
      <w:color w:val="0563C1" w:themeColor="hyperlink"/>
      <w:u w:val="single"/>
    </w:rPr>
  </w:style>
  <w:style w:type="character" w:styleId="UnresolvedMention">
    <w:name w:val="Unresolved Mention"/>
    <w:basedOn w:val="DefaultParagraphFont"/>
    <w:uiPriority w:val="99"/>
    <w:semiHidden/>
    <w:unhideWhenUsed/>
    <w:rsid w:val="00CC2BCB"/>
    <w:rPr>
      <w:color w:val="605E5C"/>
      <w:shd w:val="clear" w:color="auto" w:fill="E1DFDD"/>
    </w:rPr>
  </w:style>
  <w:style w:type="paragraph" w:styleId="NormalWeb">
    <w:name w:val="Normal (Web)"/>
    <w:basedOn w:val="Normal"/>
    <w:uiPriority w:val="99"/>
    <w:unhideWhenUsed/>
    <w:rsid w:val="002D298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8538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07/s41826-018-0014-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1497</Words>
  <Characters>8537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 Robbeets</dc:creator>
  <cp:keywords/>
  <dc:description/>
  <cp:lastModifiedBy>martine Robbeets</cp:lastModifiedBy>
  <cp:revision>8</cp:revision>
  <dcterms:created xsi:type="dcterms:W3CDTF">2021-02-05T14:32:00Z</dcterms:created>
  <dcterms:modified xsi:type="dcterms:W3CDTF">2021-02-18T11:43:00Z</dcterms:modified>
</cp:coreProperties>
</file>