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6DC7" w14:textId="5B1126B8" w:rsidR="00E00E2B" w:rsidRDefault="00E00E2B" w:rsidP="00E00E2B">
      <w:pPr>
        <w:jc w:val="both"/>
        <w:rPr>
          <w:rFonts w:ascii="Cambria" w:hAnsi="Cambria"/>
          <w:b/>
          <w:bCs/>
          <w:color w:val="000000" w:themeColor="text1"/>
        </w:rPr>
      </w:pPr>
      <w:r w:rsidRPr="00312FB0">
        <w:rPr>
          <w:rFonts w:ascii="Cambria" w:hAnsi="Cambria"/>
          <w:b/>
          <w:bCs/>
          <w:color w:val="000000" w:themeColor="text1"/>
        </w:rPr>
        <w:t>Supplementary materials</w:t>
      </w:r>
    </w:p>
    <w:p w14:paraId="3C0736C9" w14:textId="2ACB31C7" w:rsidR="008F7CD6" w:rsidRDefault="008F7CD6" w:rsidP="00E00E2B">
      <w:pPr>
        <w:jc w:val="both"/>
        <w:rPr>
          <w:rFonts w:ascii="Cambria" w:hAnsi="Cambria"/>
          <w:b/>
          <w:bCs/>
          <w:color w:val="000000" w:themeColor="text1"/>
        </w:rPr>
      </w:pPr>
    </w:p>
    <w:p w14:paraId="50415ADC" w14:textId="77777777" w:rsidR="00FB2643" w:rsidRDefault="00FB2643" w:rsidP="00E00E2B">
      <w:pPr>
        <w:jc w:val="both"/>
        <w:rPr>
          <w:rFonts w:ascii="Cambria" w:hAnsi="Cambria"/>
          <w:b/>
          <w:bCs/>
          <w:color w:val="000000" w:themeColor="text1"/>
        </w:rPr>
      </w:pPr>
    </w:p>
    <w:p w14:paraId="53FE31FC" w14:textId="6955752B" w:rsidR="008F7CD6" w:rsidRDefault="008F7CD6" w:rsidP="00E00E2B">
      <w:pPr>
        <w:jc w:val="both"/>
        <w:rPr>
          <w:rFonts w:ascii="Cambria" w:hAnsi="Cambria"/>
          <w:color w:val="000000" w:themeColor="text1"/>
        </w:rPr>
      </w:pPr>
      <w:r>
        <w:rPr>
          <w:rFonts w:ascii="Cambria" w:hAnsi="Cambria"/>
          <w:b/>
          <w:bCs/>
          <w:color w:val="000000" w:themeColor="text1"/>
        </w:rPr>
        <w:t xml:space="preserve">Supplementary figure 1 </w:t>
      </w:r>
      <w:r w:rsidRPr="008F7CD6">
        <w:rPr>
          <w:rFonts w:ascii="Cambria" w:hAnsi="Cambria"/>
          <w:color w:val="000000" w:themeColor="text1"/>
        </w:rPr>
        <w:t>– covariates scatterplots</w:t>
      </w:r>
    </w:p>
    <w:p w14:paraId="0E7CEDBB" w14:textId="77777777" w:rsidR="008F7CD6" w:rsidRDefault="008F7CD6" w:rsidP="00E00E2B">
      <w:pPr>
        <w:jc w:val="both"/>
        <w:rPr>
          <w:rFonts w:ascii="Cambria" w:hAnsi="Cambria"/>
          <w:b/>
          <w:bCs/>
          <w:color w:val="000000" w:themeColor="text1"/>
        </w:rPr>
      </w:pPr>
    </w:p>
    <w:p w14:paraId="1B1850F7" w14:textId="5C363B81" w:rsidR="008F7CD6" w:rsidRDefault="008F7CD6" w:rsidP="008F7CD6">
      <w:pPr>
        <w:jc w:val="center"/>
        <w:rPr>
          <w:rFonts w:ascii="Cambria" w:hAnsi="Cambria"/>
          <w:b/>
          <w:bCs/>
          <w:color w:val="000000" w:themeColor="text1"/>
        </w:rPr>
      </w:pPr>
      <w:r>
        <w:rPr>
          <w:rFonts w:ascii="Cambria" w:hAnsi="Cambria"/>
          <w:b/>
          <w:bCs/>
          <w:noProof/>
          <w:color w:val="000000" w:themeColor="text1"/>
        </w:rPr>
        <w:drawing>
          <wp:inline distT="0" distB="0" distL="0" distR="0" wp14:anchorId="2795B621" wp14:editId="35E92A1C">
            <wp:extent cx="4008474" cy="8110618"/>
            <wp:effectExtent l="0" t="0" r="5080" b="5080"/>
            <wp:docPr id="4" name="Picture 4" descr="A screenshot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 screen&#10;&#10;Description automatically generated with low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257" cy="8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62045" w14:textId="38E94A0A" w:rsidR="00FB2643" w:rsidRDefault="00FB2643" w:rsidP="00FB2643">
      <w:pPr>
        <w:jc w:val="center"/>
        <w:rPr>
          <w:rFonts w:ascii="Cambria" w:hAnsi="Cambria"/>
          <w:b/>
          <w:bCs/>
          <w:color w:val="000000" w:themeColor="text1"/>
        </w:rPr>
      </w:pPr>
      <w:r>
        <w:rPr>
          <w:rFonts w:ascii="Cambria" w:hAnsi="Cambria"/>
          <w:b/>
          <w:bCs/>
          <w:color w:val="000000" w:themeColor="text1"/>
        </w:rPr>
        <w:lastRenderedPageBreak/>
        <w:t xml:space="preserve">Supplementary figure 2 </w:t>
      </w:r>
      <w:r w:rsidRPr="00FB2643">
        <w:rPr>
          <w:rFonts w:ascii="Cambria" w:hAnsi="Cambria"/>
          <w:color w:val="000000" w:themeColor="text1"/>
        </w:rPr>
        <w:t>– vo2max-Locus Coeruleus association and gender variation</w:t>
      </w:r>
    </w:p>
    <w:p w14:paraId="2EB84E6D" w14:textId="27097D3C" w:rsidR="00E00E2B" w:rsidRDefault="00FB2643" w:rsidP="00FB2643">
      <w:pPr>
        <w:jc w:val="center"/>
        <w:rPr>
          <w:rFonts w:ascii="Cambria" w:hAnsi="Cambria"/>
          <w:b/>
          <w:bCs/>
          <w:color w:val="000000" w:themeColor="text1"/>
        </w:rPr>
      </w:pPr>
      <w:r>
        <w:rPr>
          <w:rFonts w:ascii="Cambria" w:hAnsi="Cambria"/>
          <w:b/>
          <w:bCs/>
          <w:noProof/>
          <w:color w:val="000000" w:themeColor="text1"/>
        </w:rPr>
        <w:drawing>
          <wp:inline distT="0" distB="0" distL="0" distR="0" wp14:anchorId="3FDD1E0E" wp14:editId="6B86A233">
            <wp:extent cx="4457700" cy="8750300"/>
            <wp:effectExtent l="0" t="0" r="0" b="0"/>
            <wp:docPr id="7" name="Picture 7" descr="A picture containing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screensho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875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AE64B" w14:textId="2D78AF3F" w:rsidR="00E35FD0" w:rsidRDefault="005E038C" w:rsidP="00E35FD0">
      <w:pPr>
        <w:jc w:val="both"/>
        <w:rPr>
          <w:rFonts w:ascii="Times" w:hAnsi="Times"/>
          <w:color w:val="000000" w:themeColor="text1"/>
        </w:rPr>
      </w:pPr>
      <w:r>
        <w:rPr>
          <w:rFonts w:ascii="Times" w:hAnsi="Times"/>
          <w:b/>
          <w:bCs/>
          <w:color w:val="000000" w:themeColor="text1"/>
        </w:rPr>
        <w:lastRenderedPageBreak/>
        <w:t xml:space="preserve">Supplementary </w:t>
      </w:r>
      <w:r w:rsidR="00AB2A85" w:rsidRPr="00FF2F49">
        <w:rPr>
          <w:rFonts w:ascii="Times" w:hAnsi="Times"/>
          <w:b/>
          <w:bCs/>
          <w:color w:val="000000" w:themeColor="text1"/>
        </w:rPr>
        <w:t xml:space="preserve">Figure </w:t>
      </w:r>
      <w:r w:rsidR="00FB2643">
        <w:rPr>
          <w:rFonts w:ascii="Times" w:hAnsi="Times"/>
          <w:b/>
          <w:bCs/>
          <w:color w:val="000000" w:themeColor="text1"/>
        </w:rPr>
        <w:t>3</w:t>
      </w:r>
      <w:r w:rsidR="00AB2A85" w:rsidRPr="00FF2F49">
        <w:rPr>
          <w:rFonts w:ascii="Times" w:hAnsi="Times"/>
          <w:b/>
          <w:bCs/>
          <w:color w:val="000000" w:themeColor="text1"/>
        </w:rPr>
        <w:t xml:space="preserve"> </w:t>
      </w:r>
      <w:r w:rsidR="00AB2A85" w:rsidRPr="00FF2F49">
        <w:rPr>
          <w:rFonts w:ascii="Times" w:hAnsi="Times"/>
          <w:color w:val="000000" w:themeColor="text1"/>
        </w:rPr>
        <w:t xml:space="preserve">reporting the relationship between </w:t>
      </w:r>
      <w:proofErr w:type="spellStart"/>
      <w:r w:rsidR="00AB2A85" w:rsidRPr="00FF2F49">
        <w:rPr>
          <w:rFonts w:ascii="Times" w:hAnsi="Times"/>
          <w:color w:val="000000" w:themeColor="text1"/>
        </w:rPr>
        <w:t>BrainPAD</w:t>
      </w:r>
      <w:proofErr w:type="spellEnd"/>
      <w:r w:rsidR="00AB2A85" w:rsidRPr="00FF2F49">
        <w:rPr>
          <w:rFonts w:ascii="Times" w:hAnsi="Times"/>
          <w:color w:val="000000" w:themeColor="text1"/>
        </w:rPr>
        <w:t xml:space="preserve"> and Locus Coeruleus signal intensity in </w:t>
      </w:r>
      <w:r w:rsidR="00AB2A85" w:rsidRPr="00FF2F49">
        <w:rPr>
          <w:rFonts w:ascii="Times" w:hAnsi="Times"/>
        </w:rPr>
        <w:t xml:space="preserve">a sample of 41 healthy subjects (age range 60-72). Results are covaried for Age, Gender, Education, Total Intracranial Volume for P&gt;0.01 and P&gt;0.001*. </w:t>
      </w:r>
      <w:r w:rsidR="00AB2A85" w:rsidRPr="00FF2F49">
        <w:rPr>
          <w:rFonts w:ascii="Times" w:hAnsi="Times"/>
          <w:color w:val="000000" w:themeColor="text1"/>
        </w:rPr>
        <w:t xml:space="preserve">The upper portion of the figure, along with the scatterplot shows the Bayesian modelling revealing the </w:t>
      </w:r>
      <w:r w:rsidR="00EE2442">
        <w:rPr>
          <w:rFonts w:ascii="Times" w:hAnsi="Times"/>
          <w:color w:val="000000" w:themeColor="text1"/>
        </w:rPr>
        <w:t>“</w:t>
      </w:r>
      <w:r w:rsidR="00AB2A85" w:rsidRPr="00FF2F49">
        <w:rPr>
          <w:rFonts w:ascii="Times" w:hAnsi="Times"/>
          <w:color w:val="000000" w:themeColor="text1"/>
        </w:rPr>
        <w:t>extreme</w:t>
      </w:r>
      <w:r w:rsidR="00EE2442">
        <w:rPr>
          <w:rFonts w:ascii="Times" w:hAnsi="Times"/>
          <w:color w:val="000000" w:themeColor="text1"/>
        </w:rPr>
        <w:t>”</w:t>
      </w:r>
      <w:r w:rsidR="00AB2A85" w:rsidRPr="00FF2F49">
        <w:rPr>
          <w:rFonts w:ascii="Times" w:hAnsi="Times"/>
          <w:color w:val="000000" w:themeColor="text1"/>
        </w:rPr>
        <w:t xml:space="preserve"> evidence supporting such association, namely, greater LC integrity related to reduced grey matter degeneration. The lower portion of the figure show the 3D reconstruction of the LC findings on a 3D reconstruction of the Brian. The LC cluster is</w:t>
      </w:r>
      <w:r w:rsidR="00E35FD0" w:rsidRPr="00FF2F49">
        <w:rPr>
          <w:rFonts w:ascii="Times" w:hAnsi="Times"/>
          <w:color w:val="000000" w:themeColor="text1"/>
        </w:rPr>
        <w:t xml:space="preserve"> displayed on the LC omni-comprehensive mask </w:t>
      </w:r>
      <w:r w:rsidR="003628AA" w:rsidRPr="00FF2F49">
        <w:rPr>
          <w:rFonts w:ascii="Times" w:hAnsi="Times"/>
          <w:color w:val="000000" w:themeColor="text1"/>
        </w:rPr>
        <w:t xml:space="preserve">by </w:t>
      </w:r>
      <w:r w:rsidR="00E35FD0" w:rsidRPr="00FF2F49">
        <w:rPr>
          <w:rFonts w:ascii="Times" w:hAnsi="Times"/>
          <w:color w:val="000000" w:themeColor="text1"/>
        </w:rPr>
        <w:t>Plini et al. 2021</w:t>
      </w:r>
      <w:r w:rsidR="003628AA" w:rsidRPr="00FF2F49">
        <w:rPr>
          <w:rFonts w:ascii="Times" w:hAnsi="Times"/>
          <w:color w:val="000000" w:themeColor="text1"/>
        </w:rPr>
        <w:t xml:space="preserve">, </w:t>
      </w:r>
      <w:r w:rsidR="00AB2A85" w:rsidRPr="00FF2F49">
        <w:rPr>
          <w:rFonts w:ascii="Times" w:hAnsi="Times"/>
          <w:color w:val="000000" w:themeColor="text1"/>
        </w:rPr>
        <w:t xml:space="preserve"> </w:t>
      </w:r>
      <w:r w:rsidR="003628AA" w:rsidRPr="00FF2F49">
        <w:rPr>
          <w:rFonts w:ascii="Times" w:hAnsi="Times"/>
          <w:color w:val="000000" w:themeColor="text1"/>
        </w:rPr>
        <w:t>and its spatial extent is compared with</w:t>
      </w:r>
      <w:r w:rsidR="00AB2A85" w:rsidRPr="00FF2F49">
        <w:rPr>
          <w:rFonts w:ascii="Times" w:hAnsi="Times"/>
          <w:color w:val="000000" w:themeColor="text1"/>
        </w:rPr>
        <w:t xml:space="preserve"> the previously published LC atlases and masks</w:t>
      </w:r>
      <w:r w:rsidR="00E35FD0" w:rsidRPr="00FF2F49">
        <w:rPr>
          <w:rFonts w:ascii="Times" w:hAnsi="Times"/>
          <w:color w:val="000000" w:themeColor="text1"/>
        </w:rPr>
        <w:t xml:space="preserve">. </w:t>
      </w:r>
    </w:p>
    <w:p w14:paraId="4B461B52" w14:textId="77777777" w:rsidR="0022778E" w:rsidRPr="00FF2F49" w:rsidRDefault="0022778E" w:rsidP="00E35FD0">
      <w:pPr>
        <w:jc w:val="both"/>
        <w:rPr>
          <w:rFonts w:ascii="Times" w:hAnsi="Times"/>
        </w:rPr>
      </w:pPr>
    </w:p>
    <w:p w14:paraId="380918E2" w14:textId="0C11B9D8" w:rsidR="00E00E2B" w:rsidRDefault="00E00E2B" w:rsidP="00E00E2B">
      <w:pPr>
        <w:jc w:val="both"/>
        <w:rPr>
          <w:rFonts w:ascii="Cambria" w:hAnsi="Cambria"/>
          <w:color w:val="5B9BD5" w:themeColor="accent5"/>
        </w:rPr>
      </w:pPr>
      <w:r w:rsidRPr="00215D29">
        <w:rPr>
          <w:rFonts w:ascii="Cambria" w:hAnsi="Cambria"/>
          <w:noProof/>
          <w:color w:val="5B9BD5" w:themeColor="accent5"/>
        </w:rPr>
        <w:drawing>
          <wp:inline distT="0" distB="0" distL="0" distR="0" wp14:anchorId="7B49ED45" wp14:editId="5E20627B">
            <wp:extent cx="6207760" cy="2739324"/>
            <wp:effectExtent l="0" t="0" r="254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9589" cy="2740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C6872" w14:textId="34A7B25C" w:rsidR="00E00E2B" w:rsidRDefault="00E00E2B" w:rsidP="00E00E2B">
      <w:pPr>
        <w:jc w:val="both"/>
        <w:rPr>
          <w:rFonts w:ascii="Cambria" w:hAnsi="Cambria"/>
          <w:color w:val="5B9BD5" w:themeColor="accent5"/>
        </w:rPr>
      </w:pPr>
    </w:p>
    <w:p w14:paraId="207239C8" w14:textId="591F76A3" w:rsidR="005E038C" w:rsidRDefault="005E038C" w:rsidP="00E00E2B">
      <w:pPr>
        <w:jc w:val="both"/>
        <w:rPr>
          <w:rFonts w:ascii="Cambria" w:hAnsi="Cambria"/>
          <w:color w:val="5B9BD5" w:themeColor="accent5"/>
        </w:rPr>
      </w:pPr>
    </w:p>
    <w:p w14:paraId="271721E9" w14:textId="3D7CA131" w:rsidR="005E038C" w:rsidRDefault="005E038C" w:rsidP="00E00E2B">
      <w:pPr>
        <w:jc w:val="both"/>
        <w:rPr>
          <w:rFonts w:ascii="Cambria" w:hAnsi="Cambria"/>
          <w:color w:val="5B9BD5" w:themeColor="accent5"/>
        </w:rPr>
      </w:pPr>
    </w:p>
    <w:p w14:paraId="71409B75" w14:textId="5B5AA3C0" w:rsidR="005E038C" w:rsidRPr="005E038C" w:rsidRDefault="005E038C" w:rsidP="00E00E2B">
      <w:pPr>
        <w:jc w:val="both"/>
        <w:rPr>
          <w:rFonts w:ascii="Cambria" w:hAnsi="Cambria"/>
          <w:b/>
          <w:bCs/>
          <w:color w:val="000000" w:themeColor="text1"/>
        </w:rPr>
      </w:pPr>
      <w:r w:rsidRPr="005E038C">
        <w:rPr>
          <w:rFonts w:ascii="Cambria" w:hAnsi="Cambria"/>
          <w:b/>
          <w:bCs/>
          <w:color w:val="000000" w:themeColor="text1"/>
        </w:rPr>
        <w:t>Supplementary Table 1</w:t>
      </w:r>
    </w:p>
    <w:p w14:paraId="070FCF29" w14:textId="640D7AC8" w:rsidR="00E00E2B" w:rsidRDefault="002F33F4" w:rsidP="00E00E2B">
      <w:pPr>
        <w:jc w:val="center"/>
        <w:rPr>
          <w:rFonts w:ascii="Cambria" w:hAnsi="Cambria"/>
          <w:color w:val="5B9BD5" w:themeColor="accent5"/>
        </w:rPr>
      </w:pPr>
      <w:r w:rsidRPr="002F33F4">
        <w:rPr>
          <w:rFonts w:ascii="Cambria" w:hAnsi="Cambria"/>
          <w:noProof/>
          <w:color w:val="5B9BD5" w:themeColor="accent5"/>
        </w:rPr>
        <w:drawing>
          <wp:inline distT="0" distB="0" distL="0" distR="0" wp14:anchorId="742C47A2" wp14:editId="055E2D56">
            <wp:extent cx="6120130" cy="3071495"/>
            <wp:effectExtent l="0" t="0" r="1270" b="1905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665EDC83-A659-3A46-BEEF-7C5B0FACB5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665EDC83-A659-3A46-BEEF-7C5B0FACB5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B0109" w14:textId="77777777" w:rsidR="00E00E2B" w:rsidRDefault="00E00E2B" w:rsidP="00E00E2B">
      <w:pPr>
        <w:jc w:val="center"/>
        <w:rPr>
          <w:rFonts w:ascii="Cambria" w:hAnsi="Cambria"/>
          <w:color w:val="5B9BD5" w:themeColor="accent5"/>
        </w:rPr>
      </w:pPr>
    </w:p>
    <w:p w14:paraId="63B35F07" w14:textId="77777777" w:rsidR="00E00E2B" w:rsidRDefault="00E00E2B" w:rsidP="00E00E2B">
      <w:pPr>
        <w:jc w:val="center"/>
        <w:rPr>
          <w:rFonts w:ascii="Cambria" w:hAnsi="Cambria"/>
          <w:color w:val="5B9BD5" w:themeColor="accent5"/>
        </w:rPr>
      </w:pPr>
    </w:p>
    <w:p w14:paraId="7351888D" w14:textId="09E7DF9A" w:rsidR="00E00E2B" w:rsidRDefault="00E00E2B" w:rsidP="00E00E2B">
      <w:pPr>
        <w:jc w:val="center"/>
        <w:rPr>
          <w:rFonts w:ascii="Cambria" w:hAnsi="Cambria"/>
          <w:color w:val="5B9BD5" w:themeColor="accent5"/>
        </w:rPr>
      </w:pPr>
    </w:p>
    <w:p w14:paraId="1F79D703" w14:textId="77777777" w:rsidR="00FB2643" w:rsidRDefault="00FB2643" w:rsidP="00E00E2B">
      <w:pPr>
        <w:jc w:val="center"/>
        <w:rPr>
          <w:rFonts w:ascii="Cambria" w:hAnsi="Cambria"/>
          <w:color w:val="5B9BD5" w:themeColor="accent5"/>
        </w:rPr>
      </w:pPr>
    </w:p>
    <w:p w14:paraId="58E1511F" w14:textId="77AFB54D" w:rsidR="00FF2F49" w:rsidRPr="00092C02" w:rsidRDefault="005E038C" w:rsidP="00FF2F49">
      <w:pPr>
        <w:jc w:val="both"/>
        <w:rPr>
          <w:rFonts w:ascii="Times" w:hAnsi="Times"/>
        </w:rPr>
      </w:pPr>
      <w:r>
        <w:rPr>
          <w:rFonts w:ascii="Times" w:hAnsi="Times"/>
          <w:b/>
          <w:bCs/>
          <w:color w:val="000000" w:themeColor="text1"/>
        </w:rPr>
        <w:lastRenderedPageBreak/>
        <w:t xml:space="preserve">Supplementary </w:t>
      </w:r>
      <w:r w:rsidR="00FF2F49" w:rsidRPr="00092C02">
        <w:rPr>
          <w:rFonts w:ascii="Times" w:hAnsi="Times"/>
          <w:b/>
          <w:bCs/>
          <w:color w:val="000000" w:themeColor="text1"/>
        </w:rPr>
        <w:t xml:space="preserve">Figure </w:t>
      </w:r>
      <w:r w:rsidR="00FB2643">
        <w:rPr>
          <w:rFonts w:ascii="Times" w:hAnsi="Times"/>
          <w:b/>
          <w:bCs/>
          <w:color w:val="000000" w:themeColor="text1"/>
        </w:rPr>
        <w:t>4</w:t>
      </w:r>
      <w:r w:rsidR="00FF2F49" w:rsidRPr="00092C02">
        <w:rPr>
          <w:rFonts w:ascii="Times" w:hAnsi="Times"/>
          <w:b/>
          <w:bCs/>
          <w:color w:val="000000" w:themeColor="text1"/>
        </w:rPr>
        <w:t xml:space="preserve"> </w:t>
      </w:r>
      <w:r w:rsidR="00FF2F49" w:rsidRPr="00092C02">
        <w:rPr>
          <w:rFonts w:ascii="Times" w:hAnsi="Times"/>
          <w:color w:val="000000" w:themeColor="text1"/>
        </w:rPr>
        <w:t xml:space="preserve">reporting the relationship between </w:t>
      </w:r>
      <w:r w:rsidR="00EE2442">
        <w:rPr>
          <w:rFonts w:ascii="Times" w:hAnsi="Times"/>
          <w:color w:val="000000" w:themeColor="text1"/>
        </w:rPr>
        <w:t>TOSL</w:t>
      </w:r>
      <w:r w:rsidR="00FF2F49" w:rsidRPr="00092C02">
        <w:rPr>
          <w:rFonts w:ascii="Times" w:hAnsi="Times"/>
          <w:color w:val="000000" w:themeColor="text1"/>
        </w:rPr>
        <w:t xml:space="preserve"> and Locus Coeruleus signal intensity in </w:t>
      </w:r>
      <w:r w:rsidR="00FF2F49" w:rsidRPr="00092C02">
        <w:rPr>
          <w:rFonts w:ascii="Times" w:hAnsi="Times"/>
        </w:rPr>
        <w:t xml:space="preserve">a sample of 41 healthy subjects (age range 60-72). Results are covaried for Age, Gender, Education, Total Intracranial Volume for P&gt;0.01 and P&gt;0.001*. </w:t>
      </w:r>
      <w:r w:rsidR="00FF2F49" w:rsidRPr="00092C02">
        <w:rPr>
          <w:rFonts w:ascii="Times" w:hAnsi="Times"/>
          <w:color w:val="000000" w:themeColor="text1"/>
        </w:rPr>
        <w:t xml:space="preserve">The upper portion of the figure, along with the scatterplot shows the Bayesian modelling revealing the </w:t>
      </w:r>
      <w:r w:rsidR="00EE2442">
        <w:rPr>
          <w:rFonts w:ascii="Times" w:hAnsi="Times"/>
          <w:color w:val="000000" w:themeColor="text1"/>
        </w:rPr>
        <w:t>“very strong”</w:t>
      </w:r>
      <w:r w:rsidR="00FF2F49" w:rsidRPr="00092C02">
        <w:rPr>
          <w:rFonts w:ascii="Times" w:hAnsi="Times"/>
          <w:color w:val="000000" w:themeColor="text1"/>
        </w:rPr>
        <w:t xml:space="preserve"> supporting such association, namely, greater LC integrity related to </w:t>
      </w:r>
      <w:r w:rsidR="00AD4830">
        <w:rPr>
          <w:rFonts w:ascii="Times" w:hAnsi="Times"/>
          <w:color w:val="000000" w:themeColor="text1"/>
        </w:rPr>
        <w:t>greater cognitive functioning</w:t>
      </w:r>
      <w:r w:rsidR="00FF2F49" w:rsidRPr="00092C02">
        <w:rPr>
          <w:rFonts w:ascii="Times" w:hAnsi="Times"/>
          <w:color w:val="000000" w:themeColor="text1"/>
        </w:rPr>
        <w:t xml:space="preserve">. The lower portion of the figure show the 3D reconstruction of the LC findings on a 3D reconstruction of the Brian. The LC cluster is displayed on the LC omni-comprehensive mask by Plini et al. 2021,  and its spatial extent is compared with the previously published LC atlases and masks. </w:t>
      </w:r>
    </w:p>
    <w:p w14:paraId="3D17E60D" w14:textId="77777777" w:rsidR="00FF2F49" w:rsidRDefault="00FF2F49" w:rsidP="00E00E2B">
      <w:pPr>
        <w:jc w:val="center"/>
        <w:rPr>
          <w:rFonts w:ascii="Cambria" w:hAnsi="Cambria"/>
          <w:color w:val="5B9BD5" w:themeColor="accent5"/>
        </w:rPr>
      </w:pPr>
    </w:p>
    <w:p w14:paraId="19F0707A" w14:textId="77777777" w:rsidR="00E00E2B" w:rsidRDefault="00E00E2B" w:rsidP="00E00E2B">
      <w:pPr>
        <w:jc w:val="center"/>
        <w:rPr>
          <w:rFonts w:ascii="Cambria" w:hAnsi="Cambria"/>
          <w:color w:val="5B9BD5" w:themeColor="accent5"/>
        </w:rPr>
      </w:pPr>
      <w:r w:rsidRPr="001C589A">
        <w:rPr>
          <w:rFonts w:ascii="Cambria" w:hAnsi="Cambria"/>
          <w:noProof/>
          <w:color w:val="5B9BD5" w:themeColor="accent5"/>
        </w:rPr>
        <w:drawing>
          <wp:inline distT="0" distB="0" distL="0" distR="0" wp14:anchorId="58D11987" wp14:editId="68CD3E56">
            <wp:extent cx="6216544" cy="2743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9736" cy="274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7B77C" w14:textId="238E0AA1" w:rsidR="00E00E2B" w:rsidRDefault="00E00E2B" w:rsidP="00E00E2B">
      <w:pPr>
        <w:jc w:val="both"/>
        <w:rPr>
          <w:rFonts w:ascii="Cambria" w:hAnsi="Cambria"/>
          <w:color w:val="5B9BD5" w:themeColor="accent5"/>
        </w:rPr>
      </w:pPr>
    </w:p>
    <w:p w14:paraId="1B3A97D6" w14:textId="31DF9BF3" w:rsidR="005E038C" w:rsidRDefault="005E038C" w:rsidP="00E00E2B">
      <w:pPr>
        <w:jc w:val="both"/>
        <w:rPr>
          <w:rFonts w:ascii="Cambria" w:hAnsi="Cambria"/>
          <w:color w:val="5B9BD5" w:themeColor="accent5"/>
        </w:rPr>
      </w:pPr>
    </w:p>
    <w:p w14:paraId="6A6E7D63" w14:textId="2BCD1D14" w:rsidR="005E038C" w:rsidRDefault="005E038C" w:rsidP="00E00E2B">
      <w:pPr>
        <w:jc w:val="both"/>
        <w:rPr>
          <w:rFonts w:ascii="Cambria" w:hAnsi="Cambria"/>
          <w:color w:val="5B9BD5" w:themeColor="accent5"/>
        </w:rPr>
      </w:pPr>
    </w:p>
    <w:p w14:paraId="76E14122" w14:textId="39A81381" w:rsidR="005E038C" w:rsidRPr="005E038C" w:rsidRDefault="005E038C" w:rsidP="00E00E2B">
      <w:pPr>
        <w:jc w:val="both"/>
        <w:rPr>
          <w:rFonts w:ascii="Cambria" w:hAnsi="Cambria"/>
          <w:b/>
          <w:bCs/>
          <w:color w:val="000000" w:themeColor="text1"/>
        </w:rPr>
      </w:pPr>
      <w:r w:rsidRPr="005E038C">
        <w:rPr>
          <w:rFonts w:ascii="Cambria" w:hAnsi="Cambria"/>
          <w:b/>
          <w:bCs/>
          <w:color w:val="000000" w:themeColor="text1"/>
        </w:rPr>
        <w:t>Supplementary Table 2</w:t>
      </w:r>
    </w:p>
    <w:p w14:paraId="00E6EE9C" w14:textId="27386240" w:rsidR="00E00E2B" w:rsidRDefault="002F33F4" w:rsidP="00E00E2B">
      <w:pPr>
        <w:jc w:val="both"/>
        <w:rPr>
          <w:rFonts w:ascii="Cambria" w:hAnsi="Cambria"/>
          <w:color w:val="5B9BD5" w:themeColor="accent5"/>
        </w:rPr>
      </w:pPr>
      <w:r w:rsidRPr="002F33F4">
        <w:rPr>
          <w:rFonts w:ascii="Cambria" w:hAnsi="Cambria"/>
          <w:noProof/>
          <w:color w:val="5B9BD5" w:themeColor="accent5"/>
        </w:rPr>
        <w:drawing>
          <wp:inline distT="0" distB="0" distL="0" distR="0" wp14:anchorId="391DEB65" wp14:editId="7AEDC063">
            <wp:extent cx="6120130" cy="3071495"/>
            <wp:effectExtent l="0" t="0" r="1270" b="190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6699937-FEA6-3240-A53B-92A4D7F5F3F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56699937-FEA6-3240-A53B-92A4D7F5F3F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C92FD" w14:textId="77777777" w:rsidR="00E00E2B" w:rsidRDefault="00E00E2B" w:rsidP="0022778E">
      <w:pPr>
        <w:jc w:val="center"/>
        <w:rPr>
          <w:rFonts w:ascii="Cambria" w:hAnsi="Cambria"/>
          <w:color w:val="5B9BD5" w:themeColor="accent5"/>
        </w:rPr>
      </w:pPr>
    </w:p>
    <w:p w14:paraId="187FD638" w14:textId="58B4BB8C" w:rsidR="00E00E2B" w:rsidRDefault="00E00E2B" w:rsidP="0022778E">
      <w:pPr>
        <w:jc w:val="center"/>
        <w:rPr>
          <w:rFonts w:ascii="Cambria" w:hAnsi="Cambria"/>
          <w:color w:val="5B9BD5" w:themeColor="accent5"/>
        </w:rPr>
      </w:pPr>
    </w:p>
    <w:p w14:paraId="288BDE00" w14:textId="17C97F3D" w:rsidR="0022778E" w:rsidRDefault="0022778E" w:rsidP="0022778E">
      <w:pPr>
        <w:jc w:val="center"/>
        <w:rPr>
          <w:rFonts w:ascii="Cambria" w:hAnsi="Cambria"/>
          <w:color w:val="5B9BD5" w:themeColor="accent5"/>
        </w:rPr>
      </w:pPr>
    </w:p>
    <w:p w14:paraId="28231589" w14:textId="31288851" w:rsidR="002F33F4" w:rsidRDefault="002F33F4" w:rsidP="0022778E">
      <w:pPr>
        <w:jc w:val="center"/>
        <w:rPr>
          <w:rFonts w:ascii="Cambria" w:hAnsi="Cambria"/>
          <w:color w:val="5B9BD5" w:themeColor="accent5"/>
        </w:rPr>
      </w:pPr>
    </w:p>
    <w:p w14:paraId="7B026530" w14:textId="25F0D382" w:rsidR="002F33F4" w:rsidRDefault="002F33F4" w:rsidP="0022778E">
      <w:pPr>
        <w:jc w:val="center"/>
        <w:rPr>
          <w:rFonts w:ascii="Cambria" w:hAnsi="Cambria"/>
          <w:color w:val="5B9BD5" w:themeColor="accent5"/>
        </w:rPr>
      </w:pPr>
    </w:p>
    <w:p w14:paraId="22EED973" w14:textId="77777777" w:rsidR="002F33F4" w:rsidRDefault="002F33F4" w:rsidP="0022778E">
      <w:pPr>
        <w:jc w:val="center"/>
        <w:rPr>
          <w:rFonts w:ascii="Cambria" w:hAnsi="Cambria"/>
          <w:color w:val="5B9BD5" w:themeColor="accent5"/>
        </w:rPr>
      </w:pPr>
    </w:p>
    <w:p w14:paraId="624BDFAA" w14:textId="47EB50F7" w:rsidR="006D2776" w:rsidRDefault="002F33F4" w:rsidP="0022778E">
      <w:pPr>
        <w:jc w:val="center"/>
      </w:pPr>
      <w:r w:rsidRPr="002F33F4">
        <w:rPr>
          <w:noProof/>
        </w:rPr>
        <w:drawing>
          <wp:inline distT="0" distB="0" distL="0" distR="0" wp14:anchorId="298DEC86" wp14:editId="763D39B9">
            <wp:extent cx="6120130" cy="6429375"/>
            <wp:effectExtent l="0" t="0" r="1270" b="0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AF10203E-8FA5-954D-951A-D3C3A3C1DB7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AF10203E-8FA5-954D-951A-D3C3A3C1DB7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42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27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B"/>
    <w:rsid w:val="000666EB"/>
    <w:rsid w:val="00092C02"/>
    <w:rsid w:val="0022778E"/>
    <w:rsid w:val="002F33F4"/>
    <w:rsid w:val="003628AA"/>
    <w:rsid w:val="005E038C"/>
    <w:rsid w:val="006D2776"/>
    <w:rsid w:val="008F7CD6"/>
    <w:rsid w:val="00966D99"/>
    <w:rsid w:val="00AB2A85"/>
    <w:rsid w:val="00AD4830"/>
    <w:rsid w:val="00E00E2B"/>
    <w:rsid w:val="00E35FD0"/>
    <w:rsid w:val="00EE2442"/>
    <w:rsid w:val="00FB2643"/>
    <w:rsid w:val="00FF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AD0CB"/>
  <w15:chartTrackingRefBased/>
  <w15:docId w15:val="{AC425E36-2D01-4B07-8058-D65E5AF9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</dc:creator>
  <cp:keywords/>
  <dc:description/>
  <cp:lastModifiedBy>Emanuele Plini</cp:lastModifiedBy>
  <cp:revision>11</cp:revision>
  <dcterms:created xsi:type="dcterms:W3CDTF">2023-02-06T15:14:00Z</dcterms:created>
  <dcterms:modified xsi:type="dcterms:W3CDTF">2023-06-07T19:28:00Z</dcterms:modified>
</cp:coreProperties>
</file>