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BBCAC" w14:textId="77777777" w:rsidR="00067F0A" w:rsidRDefault="00067F0A" w:rsidP="00067F0A">
      <w:r w:rsidRPr="005F2BF9">
        <w:rPr>
          <w:b/>
          <w:bCs/>
        </w:rPr>
        <w:t>Fig. S1</w:t>
      </w:r>
      <w:r w:rsidRPr="00E06FAE">
        <w:t xml:space="preserve"> Establishing a </w:t>
      </w:r>
      <w:r>
        <w:t>library-</w:t>
      </w:r>
      <w:r w:rsidRPr="00E06FAE">
        <w:t xml:space="preserve">expressing cells. </w:t>
      </w:r>
      <w:r w:rsidRPr="0070556D">
        <w:rPr>
          <w:b/>
          <w:bCs/>
        </w:rPr>
        <w:t>A</w:t>
      </w:r>
      <w:r w:rsidRPr="00E06FAE" w:rsidDel="007351A4">
        <w:t xml:space="preserve"> </w:t>
      </w:r>
      <w:r w:rsidRPr="00E06FAE">
        <w:t xml:space="preserve"> WT mouse harbor</w:t>
      </w:r>
      <w:r>
        <w:t>ing</w:t>
      </w:r>
      <w:r w:rsidRPr="00E06FAE">
        <w:t xml:space="preserve"> ITB1-related ascites and small tumors</w:t>
      </w:r>
      <w:r>
        <w:t>, indicated by the white arrows or the black arrows in the IHC-stained tissues</w:t>
      </w:r>
      <w:r w:rsidRPr="00E06FAE">
        <w:t>.</w:t>
      </w:r>
      <w:r>
        <w:t xml:space="preserve"> MLN- mesenchymal lymph node.</w:t>
      </w:r>
      <w:r w:rsidRPr="00E06FAE">
        <w:t xml:space="preserve"> </w:t>
      </w:r>
      <w:r w:rsidRPr="0070556D">
        <w:rPr>
          <w:b/>
          <w:bCs/>
        </w:rPr>
        <w:t>B</w:t>
      </w:r>
      <w:r>
        <w:t> </w:t>
      </w:r>
      <w:r w:rsidRPr="00E06FAE">
        <w:t xml:space="preserve">Cas9-infected ITB monoclonal isolated colonies express an active (&gt;95%) Cas9. In all flow cytometry experiments, we used a PD-1 guide and </w:t>
      </w:r>
      <w:r>
        <w:t>determined</w:t>
      </w:r>
      <w:r w:rsidRPr="00E06FAE">
        <w:t xml:space="preserve"> its expression before and after stimulation with IFN-γ. </w:t>
      </w:r>
      <w:r w:rsidRPr="0070556D">
        <w:rPr>
          <w:b/>
          <w:bCs/>
        </w:rPr>
        <w:t>C</w:t>
      </w:r>
      <w:r w:rsidRPr="00E06FAE" w:rsidDel="00EA72D7">
        <w:t xml:space="preserve"> </w:t>
      </w:r>
      <w:r w:rsidRPr="00E06FAE">
        <w:t xml:space="preserve"> Bar graph showing the number of reads per guide. Guides with the same number of reads are grouped</w:t>
      </w:r>
      <w:r>
        <w:t xml:space="preserve"> together and indicated by</w:t>
      </w:r>
      <w:r w:rsidRPr="00E06FAE">
        <w:t xml:space="preserve"> the same color.</w:t>
      </w:r>
      <w:r>
        <w:t xml:space="preserve"> </w:t>
      </w:r>
    </w:p>
    <w:p w14:paraId="7211C8BB" w14:textId="77777777" w:rsidR="00067F0A" w:rsidRDefault="00067F0A" w:rsidP="00067F0A"/>
    <w:p w14:paraId="2F4E9B41" w14:textId="77777777" w:rsidR="00067F0A" w:rsidRDefault="00067F0A" w:rsidP="00067F0A">
      <w:r w:rsidRPr="005F2BF9">
        <w:rPr>
          <w:b/>
          <w:bCs/>
        </w:rPr>
        <w:t>Fig. S2</w:t>
      </w:r>
      <w:r w:rsidRPr="00E06FAE">
        <w:t xml:space="preserve"> Knocking out TRAF3 does not affect </w:t>
      </w:r>
      <w:r>
        <w:t xml:space="preserve">the </w:t>
      </w:r>
      <w:r w:rsidRPr="00E06FAE">
        <w:t>NF-κB</w:t>
      </w:r>
      <w:r>
        <w:t xml:space="preserve"> pathway</w:t>
      </w:r>
      <w:r w:rsidRPr="00E06FAE">
        <w:t xml:space="preserve">. </w:t>
      </w:r>
      <w:r w:rsidRPr="0070556D">
        <w:rPr>
          <w:b/>
          <w:bCs/>
        </w:rPr>
        <w:t>A</w:t>
      </w:r>
      <w:r w:rsidRPr="00E06FAE" w:rsidDel="007351A4">
        <w:t xml:space="preserve"> </w:t>
      </w:r>
      <w:r w:rsidRPr="00E06FAE">
        <w:t xml:space="preserve"> Western blot of ITB1 and TRAF3KO lysates comparing the levels of proteins </w:t>
      </w:r>
      <w:r>
        <w:t xml:space="preserve">of </w:t>
      </w:r>
      <w:r w:rsidRPr="00E06FAE">
        <w:t xml:space="preserve">the NF-κB pathway. The levels of p65 and RelB were monitored in the nucleus, and p100 and p52 were monitored in the whole lysates. Actin and histone H3 were used as loading controls. </w:t>
      </w:r>
      <w:r w:rsidRPr="0070556D">
        <w:rPr>
          <w:b/>
          <w:bCs/>
        </w:rPr>
        <w:t>B</w:t>
      </w:r>
      <w:r w:rsidRPr="00E06FAE">
        <w:t xml:space="preserve">  Quantitative PCR shows the mRNA levels of genes related to the NF-κB pathway (RelB, IL-6, and IκBα). </w:t>
      </w:r>
      <w:r>
        <w:t>Cyan</w:t>
      </w:r>
      <w:r w:rsidRPr="00E06FAE">
        <w:t xml:space="preserve"> bars represent ITB1, </w:t>
      </w:r>
      <w:r>
        <w:t>solid pink bars</w:t>
      </w:r>
      <w:r w:rsidRPr="00E06FAE">
        <w:t xml:space="preserve"> represent </w:t>
      </w:r>
      <w:r w:rsidRPr="0042183F">
        <w:t>TRAF3KO</w:t>
      </w:r>
      <w:r>
        <w:t>1, and dotted pink bars represent TRAF3KO2</w:t>
      </w:r>
      <w:r w:rsidRPr="0042183F">
        <w:t>.</w:t>
      </w:r>
      <w:r w:rsidRPr="00E06FAE">
        <w:t xml:space="preserve"> </w:t>
      </w:r>
      <w:r w:rsidRPr="0070556D">
        <w:rPr>
          <w:b/>
          <w:bCs/>
        </w:rPr>
        <w:t>C</w:t>
      </w:r>
      <w:r w:rsidRPr="00E06FAE" w:rsidDel="00EA72D7">
        <w:t xml:space="preserve"> </w:t>
      </w:r>
      <w:r>
        <w:t xml:space="preserve">MFI of the blot on the main figure, calculated using ImageJ </w:t>
      </w:r>
      <w:r>
        <w:rPr>
          <w:b/>
          <w:bCs/>
        </w:rPr>
        <w:t>D</w:t>
      </w:r>
      <w:r w:rsidRPr="00E06FAE">
        <w:t xml:space="preserve"> Bar graph showing the differences in mean fluorescence intensity of the Cy3 channel in the nucleus between ITB1 (</w:t>
      </w:r>
      <w:r>
        <w:t>cyan</w:t>
      </w:r>
      <w:r w:rsidRPr="00E06FAE">
        <w:t xml:space="preserve">) and TRAF3KO </w:t>
      </w:r>
      <w:r>
        <w:t>cells</w:t>
      </w:r>
      <w:r w:rsidRPr="00E06FAE">
        <w:t xml:space="preserve"> (</w:t>
      </w:r>
      <w:r>
        <w:t>pink</w:t>
      </w:r>
      <w:r w:rsidRPr="00E06FAE">
        <w:t xml:space="preserve">). </w:t>
      </w:r>
    </w:p>
    <w:p w14:paraId="75A6E70C" w14:textId="77777777" w:rsidR="00067F0A" w:rsidRDefault="00067F0A" w:rsidP="00067F0A">
      <w:pPr>
        <w:rPr>
          <w:b/>
          <w:bCs/>
        </w:rPr>
      </w:pPr>
    </w:p>
    <w:p w14:paraId="1EFAC0C8" w14:textId="77777777" w:rsidR="00067F0A" w:rsidRDefault="00067F0A" w:rsidP="00067F0A">
      <w:r w:rsidRPr="005F2BF9">
        <w:rPr>
          <w:b/>
          <w:bCs/>
        </w:rPr>
        <w:t>Fig. S3</w:t>
      </w:r>
      <w:r w:rsidRPr="00E06FAE">
        <w:t xml:space="preserve"> B cells in TRAF3KO-</w:t>
      </w:r>
      <w:r>
        <w:t>i</w:t>
      </w:r>
      <w:r w:rsidRPr="00E06FAE">
        <w:t>njected mice express and secrete more IgAs</w:t>
      </w:r>
      <w:r>
        <w:t xml:space="preserve"> than in ITB1-injected mice</w:t>
      </w:r>
      <w:r w:rsidRPr="00E06FAE">
        <w:t xml:space="preserve">. </w:t>
      </w:r>
      <w:r w:rsidRPr="0070556D">
        <w:rPr>
          <w:b/>
          <w:bCs/>
        </w:rPr>
        <w:t>A</w:t>
      </w:r>
      <w:r w:rsidRPr="00E06FAE" w:rsidDel="007351A4">
        <w:t xml:space="preserve"> </w:t>
      </w:r>
      <w:r>
        <w:t>E</w:t>
      </w:r>
      <w:r w:rsidRPr="00E06FAE">
        <w:t xml:space="preserve">xpression of the costimulatory protein CD40 and </w:t>
      </w:r>
      <w:r>
        <w:t>i</w:t>
      </w:r>
      <w:r w:rsidRPr="00E06FAE">
        <w:t xml:space="preserve">nterleukin-10 (IL-10) on B cells in ITB1-injected and TRAF3KO-injected mice. </w:t>
      </w:r>
      <w:r w:rsidRPr="0070556D">
        <w:rPr>
          <w:b/>
          <w:bCs/>
        </w:rPr>
        <w:t>B</w:t>
      </w:r>
      <w:r>
        <w:rPr>
          <w:b/>
          <w:bCs/>
        </w:rPr>
        <w:t>, C</w:t>
      </w:r>
      <w:r>
        <w:t xml:space="preserve"> </w:t>
      </w:r>
      <w:r w:rsidRPr="00E06FAE">
        <w:t xml:space="preserve">Ig isotyping array </w:t>
      </w:r>
      <w:r>
        <w:t>(B) and</w:t>
      </w:r>
      <w:r w:rsidRPr="00E06FAE">
        <w:t xml:space="preserve"> </w:t>
      </w:r>
      <w:r>
        <w:t>its</w:t>
      </w:r>
      <w:r w:rsidRPr="00E06FAE">
        <w:t xml:space="preserve"> quantification</w:t>
      </w:r>
      <w:r>
        <w:t xml:space="preserve"> (C)</w:t>
      </w:r>
      <w:r w:rsidRPr="00E06FAE">
        <w:t xml:space="preserve">. </w:t>
      </w:r>
      <w:r w:rsidRPr="0070556D">
        <w:rPr>
          <w:b/>
          <w:bCs/>
        </w:rPr>
        <w:t>D</w:t>
      </w:r>
      <w:r w:rsidRPr="00E06FAE" w:rsidDel="00C0679A">
        <w:t xml:space="preserve"> </w:t>
      </w:r>
      <w:r w:rsidRPr="00E06FAE">
        <w:t xml:space="preserve">Scatter plot showing the differentiation between the two clusters of the heatmap. </w:t>
      </w:r>
      <w:r w:rsidRPr="0042183F">
        <w:rPr>
          <w:b/>
          <w:bCs/>
        </w:rPr>
        <w:t>E</w:t>
      </w:r>
      <w:r w:rsidRPr="00E06FAE">
        <w:t xml:space="preserve"> Heatmap showing the average score of each cluster for each immune pathway. </w:t>
      </w:r>
      <w:r w:rsidRPr="0070556D">
        <w:rPr>
          <w:b/>
          <w:bCs/>
        </w:rPr>
        <w:t>F</w:t>
      </w:r>
      <w:r>
        <w:t> </w:t>
      </w:r>
      <w:r w:rsidRPr="00E06FAE">
        <w:t xml:space="preserve">Survival curve showing the difference between patients </w:t>
      </w:r>
      <w:r>
        <w:t xml:space="preserve">with high B cell score (cyan) and </w:t>
      </w:r>
      <w:r w:rsidRPr="00E06FAE">
        <w:t>low</w:t>
      </w:r>
      <w:r>
        <w:t xml:space="preserve"> B cell score</w:t>
      </w:r>
      <w:r w:rsidRPr="00E06FAE">
        <w:t xml:space="preserve"> (</w:t>
      </w:r>
      <w:r>
        <w:t>dark pink</w:t>
      </w:r>
      <w:r w:rsidRPr="00E06FAE">
        <w:t xml:space="preserve">). </w:t>
      </w:r>
    </w:p>
    <w:p w14:paraId="14C2713B" w14:textId="77777777" w:rsidR="00067F0A" w:rsidRDefault="00067F0A" w:rsidP="00067F0A"/>
    <w:p w14:paraId="027E9D3C" w14:textId="77777777" w:rsidR="00067F0A" w:rsidRDefault="00067F0A" w:rsidP="00067F0A">
      <w:r w:rsidRPr="005F2BF9">
        <w:rPr>
          <w:b/>
          <w:bCs/>
        </w:rPr>
        <w:t>Fig. S4</w:t>
      </w:r>
      <w:r w:rsidRPr="00E06FAE">
        <w:t xml:space="preserve"> </w:t>
      </w:r>
      <w:r>
        <w:t>Effect of ABX treatment</w:t>
      </w:r>
      <w:r w:rsidRPr="00E06FAE">
        <w:t xml:space="preserve">. </w:t>
      </w:r>
      <w:r w:rsidRPr="0070556D">
        <w:rPr>
          <w:b/>
          <w:bCs/>
        </w:rPr>
        <w:t>A</w:t>
      </w:r>
      <w:r w:rsidRPr="00E06FAE" w:rsidDel="007351A4">
        <w:t xml:space="preserve"> </w:t>
      </w:r>
      <w:r w:rsidRPr="00E06FAE">
        <w:t xml:space="preserve"> Mouse treated with ABX for </w:t>
      </w:r>
      <w:r>
        <w:t>10</w:t>
      </w:r>
      <w:r w:rsidRPr="00E06FAE">
        <w:t xml:space="preserve"> days and its enlarged cecum.  </w:t>
      </w:r>
      <w:r w:rsidRPr="0070556D">
        <w:rPr>
          <w:b/>
          <w:bCs/>
        </w:rPr>
        <w:t>B</w:t>
      </w:r>
      <w:r w:rsidRPr="00E06FAE">
        <w:t xml:space="preserve">  Fecal samples were collected</w:t>
      </w:r>
      <w:r w:rsidRPr="00AB29EB">
        <w:t xml:space="preserve"> </w:t>
      </w:r>
      <w:r w:rsidRPr="00E06FAE">
        <w:t xml:space="preserve">from both ABX-treated and naïve mice and seeded on a blood agar plate. Growth of colonies </w:t>
      </w:r>
      <w:r>
        <w:t>can</w:t>
      </w:r>
      <w:r w:rsidRPr="00E06FAE">
        <w:t xml:space="preserve"> be seen only on the left side</w:t>
      </w:r>
      <w:r>
        <w:t xml:space="preserve"> of the plate</w:t>
      </w:r>
      <w:r w:rsidRPr="00E06FAE">
        <w:t xml:space="preserve"> where the naïve </w:t>
      </w:r>
      <w:r>
        <w:t>cells</w:t>
      </w:r>
      <w:r w:rsidRPr="00E06FAE">
        <w:t xml:space="preserve"> was seeded. </w:t>
      </w:r>
      <w:r w:rsidRPr="0070556D">
        <w:rPr>
          <w:b/>
          <w:bCs/>
        </w:rPr>
        <w:t>C</w:t>
      </w:r>
      <w:r w:rsidRPr="00E06FAE" w:rsidDel="00EA72D7">
        <w:t xml:space="preserve"> </w:t>
      </w:r>
      <w:r w:rsidRPr="00E06FAE">
        <w:t>Difference in the abundance of three genera, compared using the Wilcoxon signed-rank test.</w:t>
      </w:r>
    </w:p>
    <w:p w14:paraId="4E62AE22" w14:textId="77777777" w:rsidR="00067F0A" w:rsidRDefault="00067F0A" w:rsidP="00067F0A"/>
    <w:p w14:paraId="3ABF360E" w14:textId="77777777" w:rsidR="00067F0A" w:rsidRDefault="00067F0A" w:rsidP="00067F0A">
      <w:r w:rsidRPr="005F2BF9">
        <w:rPr>
          <w:b/>
          <w:bCs/>
        </w:rPr>
        <w:t>Fig. S5</w:t>
      </w:r>
      <w:r w:rsidRPr="00E06FAE">
        <w:t xml:space="preserve"> </w:t>
      </w:r>
      <w:r>
        <w:t>Unique bacteria in the ascites of ovarian cancer patients.</w:t>
      </w:r>
      <w:r w:rsidRPr="00E06FAE">
        <w:t xml:space="preserve"> </w:t>
      </w:r>
      <w:r w:rsidRPr="0070556D">
        <w:rPr>
          <w:b/>
          <w:bCs/>
        </w:rPr>
        <w:t>A</w:t>
      </w:r>
      <w:r w:rsidRPr="00E06FAE" w:rsidDel="007351A4">
        <w:t xml:space="preserve"> </w:t>
      </w:r>
      <w:r w:rsidRPr="00E06FAE">
        <w:t xml:space="preserve"> Bar plot showing the </w:t>
      </w:r>
      <w:r>
        <w:t xml:space="preserve">log2 fold change (x axis), </w:t>
      </w:r>
      <w:r w:rsidRPr="00E06FAE">
        <w:t>discovered using Deseq2</w:t>
      </w:r>
      <w:r>
        <w:t xml:space="preserve">, of </w:t>
      </w:r>
      <w:r w:rsidRPr="00E06FAE">
        <w:t xml:space="preserve">genera </w:t>
      </w:r>
      <w:r>
        <w:t>expressed at least in one</w:t>
      </w:r>
      <w:r w:rsidRPr="00E06FAE">
        <w:t xml:space="preserve"> or more </w:t>
      </w:r>
      <w:r>
        <w:t xml:space="preserve">patients. Genera expressed more in </w:t>
      </w:r>
      <w:r w:rsidRPr="00E06FAE">
        <w:t>cirrhosis</w:t>
      </w:r>
      <w:r>
        <w:t xml:space="preserve"> or OC</w:t>
      </w:r>
      <w:r w:rsidRPr="00E06FAE">
        <w:t xml:space="preserve"> </w:t>
      </w:r>
      <w:r>
        <w:t>are in cyan or pink</w:t>
      </w:r>
      <w:r w:rsidRPr="00E06FAE">
        <w:t>,</w:t>
      </w:r>
      <w:r>
        <w:t xml:space="preserve"> respectively. Genus with black name are expressed significantly in one of the groups, while the grey ones are not significant. </w:t>
      </w:r>
      <w:r w:rsidRPr="00EE39A3">
        <w:rPr>
          <w:b/>
          <w:bCs/>
        </w:rPr>
        <w:t>B</w:t>
      </w:r>
      <w:r>
        <w:rPr>
          <w:b/>
          <w:bCs/>
        </w:rPr>
        <w:t xml:space="preserve"> </w:t>
      </w:r>
      <w:r w:rsidRPr="00E06FAE">
        <w:t xml:space="preserve">Bar plot showing the </w:t>
      </w:r>
      <w:r>
        <w:t xml:space="preserve">log2 fold change (x axis), </w:t>
      </w:r>
      <w:r w:rsidRPr="00E06FAE">
        <w:t>discovered using Deseq2</w:t>
      </w:r>
      <w:r>
        <w:t>, of IgA-</w:t>
      </w:r>
      <w:r>
        <w:lastRenderedPageBreak/>
        <w:t xml:space="preserve">coated </w:t>
      </w:r>
      <w:r w:rsidRPr="00E06FAE">
        <w:t xml:space="preserve">genera </w:t>
      </w:r>
      <w:r>
        <w:t>expressed at least in one</w:t>
      </w:r>
      <w:r w:rsidRPr="00E06FAE">
        <w:t xml:space="preserve"> or more </w:t>
      </w:r>
      <w:r>
        <w:t xml:space="preserve">patients. Genera whose expression was higher in </w:t>
      </w:r>
      <w:r w:rsidRPr="00E06FAE">
        <w:t>cirrhosis</w:t>
      </w:r>
      <w:r>
        <w:t xml:space="preserve"> or OC</w:t>
      </w:r>
      <w:r w:rsidRPr="00E06FAE">
        <w:t xml:space="preserve"> </w:t>
      </w:r>
      <w:r>
        <w:t>are shown in cyan or pink</w:t>
      </w:r>
      <w:r w:rsidRPr="00E06FAE">
        <w:t>,</w:t>
      </w:r>
      <w:r>
        <w:t xml:space="preserve"> respectively. Genera written in black are significantly expressed in one of the groups, while those written in gray are not significantly expressed.</w:t>
      </w:r>
    </w:p>
    <w:p w14:paraId="01735D6F" w14:textId="77777777" w:rsidR="000D4074" w:rsidRDefault="000D4074"/>
    <w:sectPr w:rsidR="000D4074" w:rsidSect="00E14C65">
      <w:footerReference w:type="default" r:id="rId4"/>
      <w:pgSz w:w="11906" w:h="16838" w:code="9"/>
      <w:pgMar w:top="1440" w:right="1701" w:bottom="1440" w:left="1701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9106242"/>
      <w:docPartObj>
        <w:docPartGallery w:val="Page Numbers (Bottom of Page)"/>
        <w:docPartUnique/>
      </w:docPartObj>
    </w:sdtPr>
    <w:sdtEndPr/>
    <w:sdtContent>
      <w:p w14:paraId="5489908D" w14:textId="77777777" w:rsidR="0057501D" w:rsidRDefault="00067F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3C7B466B" w14:textId="77777777" w:rsidR="0057501D" w:rsidRDefault="00067F0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F0A"/>
    <w:rsid w:val="00067F0A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C12CD"/>
  <w15:chartTrackingRefBased/>
  <w15:docId w15:val="{152645D6-90FE-4E81-B559-E9ACC200B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F0A"/>
    <w:pPr>
      <w:spacing w:after="0" w:line="360" w:lineRule="auto"/>
    </w:pPr>
    <w:rPr>
      <w:rFonts w:ascii="Times New Roman" w:hAnsi="Times New Roman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67F0A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F0A"/>
    <w:rPr>
      <w:rFonts w:ascii="Times New Roman" w:hAnsi="Times New Roman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2578</Characters>
  <Application>Microsoft Office Word</Application>
  <DocSecurity>0</DocSecurity>
  <Lines>21</Lines>
  <Paragraphs>6</Paragraphs>
  <ScaleCrop>false</ScaleCrop>
  <Company>Springer Nature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2023-02-14T10:24:00Z</dcterms:created>
  <dcterms:modified xsi:type="dcterms:W3CDTF">2023-02-14T10:25:00Z</dcterms:modified>
</cp:coreProperties>
</file>