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BCF5A" w14:textId="77777777" w:rsidR="00B0336D" w:rsidRDefault="00B0336D" w:rsidP="00B0336D">
      <w:pPr>
        <w:snapToGrid w:val="0"/>
        <w:rPr>
          <w:rFonts w:ascii="Times New Roman" w:hAnsi="Times New Roman" w:cs="Times New Roman"/>
          <w:b/>
          <w:bCs/>
          <w:lang w:val="en-US"/>
        </w:rPr>
      </w:pPr>
      <w:r w:rsidRPr="0081648E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28DE9227" w14:textId="77777777" w:rsidR="00B0336D" w:rsidRPr="002672AD" w:rsidRDefault="00B0336D" w:rsidP="00B0336D">
      <w:pPr>
        <w:snapToGrid w:val="0"/>
        <w:jc w:val="both"/>
        <w:rPr>
          <w:rFonts w:ascii="Times New Roman" w:hAnsi="Times New Roman" w:cs="Times New Roman"/>
          <w:b/>
          <w:bCs/>
          <w:lang w:val="en-US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1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Supplementary Table 1. Factors to explain taxonomy, function, and resistome differences between skin microbiomes.</w:t>
      </w:r>
    </w:p>
    <w:p w14:paraId="7D99AF91" w14:textId="77777777" w:rsidR="00B0336D" w:rsidRPr="002672AD" w:rsidRDefault="00B0336D" w:rsidP="00B0336D">
      <w:pPr>
        <w:snapToGrid w:val="0"/>
        <w:jc w:val="both"/>
        <w:rPr>
          <w:rFonts w:ascii="Times New Roman" w:hAnsi="Times New Roman" w:cs="Times New Roman"/>
          <w:b/>
          <w:bCs/>
          <w:lang w:val="en-US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2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Supplementary Table 2. Enrichment of bacterial species-level taxa, growth rate, and functional and resistome features based on cutotype, host factors, and phenotypes.</w:t>
      </w:r>
    </w:p>
    <w:p w14:paraId="0BF13FDF" w14:textId="77777777" w:rsidR="00B0336D" w:rsidRPr="002672AD" w:rsidRDefault="00B0336D" w:rsidP="00B0336D">
      <w:pPr>
        <w:snapToGrid w:val="0"/>
        <w:jc w:val="both"/>
        <w:rPr>
          <w:rFonts w:ascii="Times New Roman" w:hAnsi="Times New Roman" w:cs="Times New Roman"/>
          <w:b/>
          <w:bCs/>
          <w:lang w:val="en-US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3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Supplementary Table 3. Differences in the contributional diversity of core pathways between cutotypes.</w:t>
      </w:r>
    </w:p>
    <w:p w14:paraId="412BFA98" w14:textId="77777777" w:rsidR="00B0336D" w:rsidRDefault="00B0336D" w:rsidP="00B0336D">
      <w:pPr>
        <w:snapToGrid w:val="0"/>
        <w:jc w:val="both"/>
        <w:rPr>
          <w:rFonts w:ascii="Times New Roman" w:hAnsi="Times New Roman" w:cs="Times New Roman"/>
          <w:color w:val="333333"/>
          <w:shd w:val="clear" w:color="auto" w:fill="FFFFFF"/>
          <w:lang w:eastAsia="zh-CN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4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Supplementary Table 4. Resistome of the skin microbiome grouped by sample and cutotype.</w:t>
      </w:r>
    </w:p>
    <w:p w14:paraId="4F3975FB" w14:textId="77777777" w:rsidR="00B0336D" w:rsidRDefault="00B0336D" w:rsidP="00B0336D">
      <w:pPr>
        <w:snapToGrid w:val="0"/>
        <w:jc w:val="both"/>
        <w:rPr>
          <w:rFonts w:ascii="Times New Roman" w:hAnsi="Times New Roman" w:cs="Times New Roman"/>
          <w:color w:val="333333"/>
          <w:shd w:val="clear" w:color="auto" w:fill="FFFFFF"/>
          <w:lang w:eastAsia="zh-CN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2672A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color w:val="333333"/>
          <w:shd w:val="clear" w:color="auto" w:fill="FFFFFF"/>
        </w:rPr>
        <w:t>5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. Properties of the multivariate correlation network by cutotype.</w:t>
      </w:r>
    </w:p>
    <w:p w14:paraId="6A6FF313" w14:textId="77777777" w:rsidR="00B0336D" w:rsidRDefault="00B0336D" w:rsidP="00B0336D">
      <w:pPr>
        <w:snapToGrid w:val="0"/>
        <w:jc w:val="both"/>
        <w:rPr>
          <w:rFonts w:ascii="Times New Roman" w:hAnsi="Times New Roman" w:cs="Times New Roman"/>
          <w:color w:val="333333"/>
          <w:shd w:val="clear" w:color="auto" w:fill="FFFFFF"/>
          <w:lang w:eastAsia="zh-CN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Pr="002672A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Supplementary Table 6. Quality control and contaminant removal information.</w:t>
      </w:r>
    </w:p>
    <w:p w14:paraId="63CD1863" w14:textId="77777777" w:rsidR="00B0336D" w:rsidRDefault="00B0336D" w:rsidP="00B0336D">
      <w:pPr>
        <w:snapToGrid w:val="0"/>
        <w:jc w:val="both"/>
        <w:rPr>
          <w:rFonts w:ascii="Times New Roman" w:hAnsi="Times New Roman" w:cs="Times New Roman"/>
          <w:color w:val="333333"/>
          <w:shd w:val="clear" w:color="auto" w:fill="FFFFFF"/>
          <w:lang w:eastAsia="zh-CN"/>
        </w:rPr>
      </w:pPr>
      <w:r w:rsidRPr="002672AD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US"/>
        </w:rPr>
        <w:t xml:space="preserve">7 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color w:val="333333"/>
          <w:shd w:val="clear" w:color="auto" w:fill="FFFFFF"/>
        </w:rPr>
        <w:t>7</w:t>
      </w:r>
      <w:r w:rsidRPr="002672AD">
        <w:rPr>
          <w:rFonts w:ascii="Times New Roman" w:hAnsi="Times New Roman" w:cs="Times New Roman"/>
          <w:color w:val="333333"/>
          <w:shd w:val="clear" w:color="auto" w:fill="FFFFFF"/>
        </w:rPr>
        <w:t>. Reference genomes included for SMEG database construction.</w:t>
      </w:r>
    </w:p>
    <w:p w14:paraId="4E2D6ACD" w14:textId="77777777" w:rsidR="00B0336D" w:rsidRDefault="00B0336D" w:rsidP="00B0336D">
      <w:pPr>
        <w:pStyle w:val="EndNoteBibliography"/>
        <w:rPr>
          <w:rFonts w:ascii="Times New Roman" w:hAnsi="Times New Roman" w:cs="Times New Roman"/>
        </w:rPr>
      </w:pPr>
    </w:p>
    <w:p w14:paraId="3F671656" w14:textId="77777777" w:rsidR="00B0336D" w:rsidRDefault="00B0336D" w:rsidP="00B0336D">
      <w:pPr>
        <w:jc w:val="both"/>
        <w:rPr>
          <w:rFonts w:ascii="Times New Roman" w:hAnsi="Times New Roman" w:cs="Times New Roman"/>
          <w:bCs/>
          <w:iCs/>
          <w:lang w:val="en-US"/>
        </w:rPr>
      </w:pPr>
      <w:r w:rsidRPr="00934587">
        <w:rPr>
          <w:rFonts w:ascii="Times New Roman" w:hAnsi="Times New Roman" w:cs="Times New Roman"/>
          <w:b/>
          <w:iCs/>
          <w:lang w:val="en-US"/>
        </w:rPr>
        <w:t xml:space="preserve">Supplementary Fig. 1. Bacterial and fungal microbiome of cheek samples by city. (a) 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Rank prevalence curve of the </w:t>
      </w:r>
      <w:r w:rsidRPr="00934587">
        <w:rPr>
          <w:rFonts w:ascii="Times New Roman" w:hAnsi="Times New Roman" w:cs="Times New Roman"/>
          <w:lang w:val="en-US"/>
        </w:rPr>
        <w:t>1,525 species-level taxa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 detected in the 124 skin microbiome samples. The 42 species commonly detected in all samples (i.e., left edge of histogram) represent the core microbiome. </w:t>
      </w:r>
      <w:r w:rsidRPr="00934587">
        <w:rPr>
          <w:rFonts w:ascii="Times New Roman" w:hAnsi="Times New Roman" w:cs="Times New Roman"/>
          <w:b/>
          <w:bCs/>
          <w:iCs/>
          <w:lang w:val="en-US"/>
        </w:rPr>
        <w:t>(</w:t>
      </w:r>
      <w:r w:rsidRPr="00934587">
        <w:rPr>
          <w:rFonts w:ascii="Times New Roman" w:hAnsi="Times New Roman" w:cs="Times New Roman"/>
          <w:b/>
          <w:iCs/>
          <w:lang w:val="en-US"/>
        </w:rPr>
        <w:t xml:space="preserve">b) 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Shannon diversity based on the rarefied depth of 313,504 reads per sample between cities and organized by acne onset. Statistical significance of pairwise comparisons was based on the Mann–Whitney test. </w:t>
      </w:r>
      <w:r w:rsidRPr="00934587">
        <w:rPr>
          <w:rFonts w:ascii="Times New Roman" w:hAnsi="Times New Roman" w:cs="Times New Roman"/>
          <w:b/>
          <w:bCs/>
          <w:iCs/>
          <w:lang w:val="en-US"/>
        </w:rPr>
        <w:t>(</w:t>
      </w:r>
      <w:r w:rsidRPr="00934587">
        <w:rPr>
          <w:rFonts w:ascii="Times New Roman" w:hAnsi="Times New Roman" w:cs="Times New Roman"/>
          <w:b/>
          <w:iCs/>
          <w:lang w:val="en-US"/>
        </w:rPr>
        <w:t xml:space="preserve">c) </w:t>
      </w:r>
      <w:r w:rsidRPr="00934587">
        <w:rPr>
          <w:rFonts w:ascii="Times New Roman" w:hAnsi="Times New Roman" w:cs="Times New Roman"/>
          <w:iCs/>
          <w:lang w:val="en-US"/>
        </w:rPr>
        <w:t>Relative abundance of f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ungal taxa in the samples. Bars are colored by city. </w:t>
      </w:r>
      <w:r w:rsidRPr="00934587">
        <w:rPr>
          <w:rFonts w:ascii="Times New Roman" w:hAnsi="Times New Roman" w:cs="Times New Roman"/>
          <w:b/>
          <w:bCs/>
          <w:iCs/>
          <w:lang w:val="en-US"/>
        </w:rPr>
        <w:t>(d)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 Top 12 species-level fungal taxa according to relative abundance of the fungal community of each sample organized by city. Other fungal taxa were grouped into the “Minor/Unclassified” category. </w:t>
      </w:r>
      <w:r w:rsidRPr="00934587">
        <w:rPr>
          <w:rFonts w:ascii="Times New Roman" w:hAnsi="Times New Roman" w:cs="Times New Roman"/>
          <w:b/>
          <w:bCs/>
          <w:iCs/>
          <w:lang w:val="en-US"/>
        </w:rPr>
        <w:t>(</w:t>
      </w:r>
      <w:r w:rsidRPr="00934587">
        <w:rPr>
          <w:rFonts w:ascii="Times New Roman" w:hAnsi="Times New Roman" w:cs="Times New Roman"/>
          <w:b/>
          <w:iCs/>
          <w:lang w:val="en-US"/>
        </w:rPr>
        <w:t>e)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 PCoA plot based on the Bray–Curtis dissimilarity of microbiome composition. Each point represents a metagenomic sample colored by city.</w:t>
      </w:r>
    </w:p>
    <w:p w14:paraId="70D0AF3D" w14:textId="77777777" w:rsidR="00B0336D" w:rsidRDefault="00B0336D" w:rsidP="00B0336D">
      <w:pPr>
        <w:jc w:val="both"/>
        <w:rPr>
          <w:rFonts w:ascii="Times New Roman" w:hAnsi="Times New Roman" w:cs="Times New Roman"/>
          <w:bCs/>
          <w:iCs/>
          <w:lang w:val="en-US"/>
        </w:rPr>
      </w:pPr>
    </w:p>
    <w:p w14:paraId="10DFBABD" w14:textId="77777777" w:rsidR="00B0336D" w:rsidRDefault="00B0336D" w:rsidP="00B0336D">
      <w:pPr>
        <w:jc w:val="both"/>
        <w:rPr>
          <w:rFonts w:ascii="Times New Roman" w:hAnsi="Times New Roman" w:cs="Times New Roman"/>
          <w:bCs/>
          <w:iCs/>
          <w:lang w:val="en-US"/>
        </w:rPr>
      </w:pPr>
      <w:r w:rsidRPr="00934587">
        <w:rPr>
          <w:rFonts w:ascii="Times New Roman" w:hAnsi="Times New Roman" w:cs="Times New Roman"/>
          <w:b/>
          <w:iCs/>
          <w:lang w:val="en-US"/>
        </w:rPr>
        <w:t>Supplementary Fig. 2. Over-representation of skin metabolites in the two cutotypes.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 The metabolites shown were significantly (</w:t>
      </w:r>
      <w:r w:rsidRPr="00934587">
        <w:rPr>
          <w:rFonts w:ascii="Times New Roman" w:hAnsi="Times New Roman" w:cs="Times New Roman"/>
          <w:bCs/>
          <w:i/>
          <w:lang w:val="en-US"/>
        </w:rPr>
        <w:t xml:space="preserve">p </w:t>
      </w:r>
      <m:oMath>
        <m:r>
          <w:rPr>
            <w:rFonts w:ascii="Cambria Math" w:hAnsi="Cambria Math" w:cs="Times New Roman"/>
            <w:lang w:val="en-US"/>
          </w:rPr>
          <m:t xml:space="preserve">&lt; </m:t>
        </m:r>
      </m:oMath>
      <w:r w:rsidRPr="00934587">
        <w:rPr>
          <w:rFonts w:ascii="Times New Roman" w:hAnsi="Times New Roman" w:cs="Times New Roman"/>
          <w:bCs/>
          <w:iCs/>
          <w:lang w:val="en-US"/>
        </w:rPr>
        <w:t>0.05) over-represented in cutotypes 1 and 2 according to the v-test. Metabolites are colored according to class.</w:t>
      </w:r>
    </w:p>
    <w:p w14:paraId="720B96A2" w14:textId="77777777" w:rsidR="00B0336D" w:rsidRDefault="00B0336D" w:rsidP="00B0336D">
      <w:pPr>
        <w:jc w:val="both"/>
        <w:rPr>
          <w:rFonts w:ascii="Times New Roman" w:hAnsi="Times New Roman" w:cs="Times New Roman"/>
          <w:bCs/>
          <w:iCs/>
          <w:lang w:val="en-US"/>
        </w:rPr>
      </w:pPr>
    </w:p>
    <w:p w14:paraId="419ECAF9" w14:textId="77777777" w:rsidR="00B0336D" w:rsidRPr="00934587" w:rsidRDefault="00B0336D" w:rsidP="00B0336D">
      <w:pPr>
        <w:jc w:val="both"/>
        <w:rPr>
          <w:rFonts w:ascii="Times New Roman" w:hAnsi="Times New Roman" w:cs="Times New Roman"/>
          <w:bCs/>
          <w:iCs/>
          <w:lang w:val="en-US"/>
        </w:rPr>
      </w:pPr>
      <w:r w:rsidRPr="00934587">
        <w:rPr>
          <w:rFonts w:ascii="Times New Roman" w:hAnsi="Times New Roman" w:cs="Times New Roman"/>
          <w:b/>
          <w:iCs/>
          <w:lang w:val="en-US"/>
        </w:rPr>
        <w:t xml:space="preserve">Supplementary Fig. 3. Rarefaction curves of sequencing reads after quality control. 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The plot shows the number of species identified in each sample as a function of sequencing depth. Samples were rarefied to an even sampling depth of 313,504 reads per sample (indicated by the vertical line) for </w:t>
      </w:r>
      <w:r w:rsidRPr="00934587">
        <w:rPr>
          <w:rFonts w:ascii="Symbol" w:hAnsi="Symbol" w:cs="Times New Roman"/>
          <w:bCs/>
          <w:iCs/>
          <w:lang w:val="en-US"/>
        </w:rPr>
        <w:t></w:t>
      </w:r>
      <w:r w:rsidRPr="00934587">
        <w:rPr>
          <w:rFonts w:ascii="Times New Roman" w:hAnsi="Times New Roman" w:cs="Times New Roman"/>
          <w:bCs/>
          <w:iCs/>
          <w:lang w:val="en-US"/>
        </w:rPr>
        <w:t>-diversity analysis.</w:t>
      </w:r>
    </w:p>
    <w:p w14:paraId="24F0CE27" w14:textId="77777777" w:rsidR="00E1715D" w:rsidRDefault="00B0336D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6D"/>
    <w:rsid w:val="001942F0"/>
    <w:rsid w:val="002C0857"/>
    <w:rsid w:val="003F01F8"/>
    <w:rsid w:val="00884728"/>
    <w:rsid w:val="008E2845"/>
    <w:rsid w:val="00B0336D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3CB7"/>
  <w15:chartTrackingRefBased/>
  <w15:docId w15:val="{43C04B84-A9A7-4CB9-B8B5-3E13F6FB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6D"/>
    <w:pPr>
      <w:spacing w:after="0" w:line="240" w:lineRule="auto"/>
    </w:pPr>
    <w:rPr>
      <w:rFonts w:eastAsiaTheme="minorEastAsia"/>
      <w:sz w:val="24"/>
      <w:szCs w:val="24"/>
      <w:lang w:val="en-CA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B0336D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rsid w:val="00B0336D"/>
    <w:rPr>
      <w:rFonts w:ascii="Calibri" w:eastAsiaTheme="minorEastAsia" w:hAnsi="Calibri" w:cs="Calibri"/>
      <w:sz w:val="24"/>
      <w:szCs w:val="24"/>
      <w:lang w:val="en-CA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>Springer Nature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2023-02-08T22:49:00Z</dcterms:created>
  <dcterms:modified xsi:type="dcterms:W3CDTF">2023-02-08T22:50:00Z</dcterms:modified>
</cp:coreProperties>
</file>