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Diet and phylogeny shape the composition, diversity, and structure of the ant-gut bacterial community</w:t>
      </w:r>
    </w:p>
    <w:p>
      <w:pPr>
        <w:spacing w:line="480" w:lineRule="auto"/>
        <w:jc w:val="center"/>
        <w:rPr>
          <w:rFonts w:hint="default" w:ascii="Times New Roman" w:hAnsi="Times New Roman" w:cs="Times New Roman"/>
          <w:sz w:val="20"/>
          <w:szCs w:val="20"/>
          <w:lang w:val="de-DE"/>
        </w:rPr>
      </w:pPr>
      <w:r>
        <w:rPr>
          <w:rFonts w:hint="default" w:ascii="Times New Roman" w:hAnsi="Times New Roman" w:cs="Times New Roman"/>
          <w:sz w:val="20"/>
          <w:szCs w:val="20"/>
          <w:lang w:val="fr-FR"/>
        </w:rPr>
        <w:t>Defu Chen</w:t>
      </w:r>
      <w:r>
        <w:rPr>
          <w:rFonts w:hint="default" w:ascii="Times New Roman" w:hAnsi="Times New Roman" w:cs="Times New Roman"/>
          <w:sz w:val="20"/>
          <w:szCs w:val="20"/>
          <w:vertAlign w:val="superscript"/>
          <w:lang w:val="de-DE"/>
        </w:rPr>
        <w:t xml:space="preserve"> </w:t>
      </w:r>
      <w:bookmarkStart w:id="0" w:name="OLE_LINK10"/>
      <w:r>
        <w:rPr>
          <w:rFonts w:hint="default" w:ascii="Times New Roman" w:hAnsi="Times New Roman" w:cs="Times New Roman"/>
          <w:sz w:val="20"/>
          <w:szCs w:val="20"/>
          <w:lang w:val="de-DE"/>
        </w:rPr>
        <w:t xml:space="preserve">, </w:t>
      </w:r>
      <w:bookmarkEnd w:id="0"/>
      <w:r>
        <w:rPr>
          <w:rFonts w:hint="default" w:ascii="Times New Roman" w:hAnsi="Times New Roman" w:cs="Times New Roman"/>
          <w:sz w:val="20"/>
          <w:szCs w:val="20"/>
          <w:lang w:val="fr-FR"/>
        </w:rPr>
        <w:t>Xiaoyun Liang</w:t>
      </w:r>
      <w:r>
        <w:rPr>
          <w:rFonts w:hint="default" w:ascii="Times New Roman" w:hAnsi="Times New Roman" w:cs="Times New Roman"/>
          <w:sz w:val="20"/>
          <w:szCs w:val="20"/>
          <w:lang w:val="de-DE"/>
        </w:rPr>
        <w:t xml:space="preserve">, </w:t>
      </w:r>
      <w:r>
        <w:rPr>
          <w:rFonts w:hint="default" w:ascii="Times New Roman" w:hAnsi="Times New Roman" w:cs="Times New Roman"/>
          <w:sz w:val="20"/>
          <w:szCs w:val="20"/>
          <w:lang w:val="fr-FR"/>
        </w:rPr>
        <w:t>Congcong Du</w:t>
      </w:r>
      <w:r>
        <w:rPr>
          <w:rFonts w:hint="default" w:ascii="Times New Roman" w:hAnsi="Times New Roman" w:cs="Times New Roman"/>
          <w:sz w:val="20"/>
          <w:szCs w:val="20"/>
          <w:lang w:val="de-DE"/>
        </w:rPr>
        <w:t>, Zhilin Chen</w:t>
      </w:r>
    </w:p>
    <w:p>
      <w:pPr>
        <w:jc w:val="center"/>
        <w:rPr>
          <w:rFonts w:hint="default" w:ascii="Times New Roman" w:hAnsi="Times New Roman" w:cs="Times New Roman"/>
          <w:b w:val="0"/>
          <w:bCs w:val="0"/>
          <w:sz w:val="20"/>
          <w:szCs w:val="20"/>
          <w:lang w:val="en-US" w:eastAsia="zh-CN"/>
        </w:rPr>
      </w:pPr>
      <w:r>
        <w:rPr>
          <w:rFonts w:hint="default" w:ascii="Times New Roman" w:hAnsi="Times New Roman" w:cs="Times New Roman"/>
          <w:b w:val="0"/>
          <w:bCs w:val="0"/>
          <w:sz w:val="20"/>
          <w:szCs w:val="20"/>
          <w:lang w:val="en-US" w:eastAsia="zh-CN"/>
        </w:rPr>
        <w:t>MICROBIAL ECOLOGY</w:t>
      </w:r>
    </w:p>
    <w:p>
      <w:pPr>
        <w:spacing w:line="480" w:lineRule="auto"/>
        <w:jc w:val="center"/>
        <w:rPr>
          <w:rFonts w:hint="default" w:ascii="Times New Roman" w:hAnsi="Times New Roman" w:cs="Times New Roman"/>
          <w:sz w:val="20"/>
          <w:szCs w:val="20"/>
          <w:u w:val="single"/>
        </w:rPr>
      </w:pPr>
      <w:r>
        <w:rPr>
          <w:rFonts w:hint="default" w:ascii="Times New Roman" w:hAnsi="Times New Roman" w:cs="Times New Roman"/>
          <w:sz w:val="20"/>
          <w:szCs w:val="20"/>
        </w:rPr>
        <w:t xml:space="preserve">* Corresponding author, </w:t>
      </w:r>
      <w:r>
        <w:rPr>
          <w:rFonts w:hint="default" w:ascii="Times New Roman" w:hAnsi="Times New Roman" w:cs="Times New Roman"/>
          <w:sz w:val="20"/>
          <w:szCs w:val="20"/>
          <w:lang w:val="fr-FR"/>
        </w:rPr>
        <w:t>Congcong Du</w:t>
      </w:r>
      <w:r>
        <w:rPr>
          <w:rFonts w:hint="default" w:ascii="Times New Roman" w:hAnsi="Times New Roman" w:cs="Times New Roman"/>
          <w:sz w:val="20"/>
          <w:szCs w:val="20"/>
        </w:rPr>
        <w:t xml:space="preserve"> 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"mailto:Cleverduwang@gmail.com" </w:instrText>
      </w:r>
      <w:r>
        <w:rPr>
          <w:rFonts w:hint="default" w:ascii="Times New Roman" w:hAnsi="Times New Roman" w:cs="Times New Roman"/>
        </w:rPr>
        <w:fldChar w:fldCharType="separate"/>
      </w:r>
      <w:r>
        <w:rPr>
          <w:rStyle w:val="9"/>
          <w:rFonts w:hint="default" w:ascii="Times New Roman" w:hAnsi="Times New Roman" w:cs="Times New Roman"/>
          <w:sz w:val="20"/>
          <w:szCs w:val="20"/>
        </w:rPr>
        <w:t>Cleverduwang@gmail.com</w:t>
      </w:r>
      <w:r>
        <w:rPr>
          <w:rStyle w:val="9"/>
          <w:rFonts w:hint="default" w:ascii="Times New Roman" w:hAnsi="Times New Roman" w:cs="Times New Roman"/>
          <w:sz w:val="20"/>
          <w:szCs w:val="20"/>
        </w:rPr>
        <w:fldChar w:fldCharType="end"/>
      </w:r>
    </w:p>
    <w:p>
      <w:pPr>
        <w:spacing w:line="480" w:lineRule="auto"/>
        <w:jc w:val="center"/>
        <w:rPr>
          <w:rFonts w:hint="default" w:ascii="Times New Roman" w:hAnsi="Times New Roman" w:cs="Times New Roman"/>
          <w:b/>
          <w:bCs/>
          <w:sz w:val="20"/>
          <w:szCs w:val="20"/>
          <w:lang w:val="en-US" w:eastAsia="zh-CN"/>
        </w:rPr>
      </w:pPr>
      <w:r>
        <w:rPr>
          <w:rFonts w:hint="default" w:ascii="Times New Roman" w:hAnsi="Times New Roman" w:cs="Times New Roman"/>
          <w:sz w:val="20"/>
          <w:szCs w:val="20"/>
        </w:rPr>
        <w:t xml:space="preserve">* Corresponding author, </w:t>
      </w:r>
      <w:r>
        <w:rPr>
          <w:rFonts w:hint="default" w:ascii="Times New Roman" w:hAnsi="Times New Roman" w:cs="Times New Roman"/>
          <w:sz w:val="20"/>
          <w:szCs w:val="20"/>
          <w:lang w:val="de-DE"/>
        </w:rPr>
        <w:t>Zhilin Chen</w:t>
      </w:r>
      <w:r>
        <w:rPr>
          <w:rFonts w:hint="default" w:ascii="Times New Roman" w:hAnsi="Times New Roman" w:cs="Times New Roman"/>
          <w:sz w:val="20"/>
          <w:szCs w:val="20"/>
        </w:rPr>
        <w:t xml:space="preserve"> 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"mailto:chenzhilin35@163.com" </w:instrText>
      </w:r>
      <w:r>
        <w:rPr>
          <w:rFonts w:hint="default" w:ascii="Times New Roman" w:hAnsi="Times New Roman" w:cs="Times New Roman"/>
        </w:rPr>
        <w:fldChar w:fldCharType="separate"/>
      </w:r>
      <w:r>
        <w:rPr>
          <w:rStyle w:val="9"/>
          <w:rFonts w:hint="default" w:ascii="Times New Roman" w:hAnsi="Times New Roman" w:cs="Times New Roman"/>
          <w:sz w:val="20"/>
          <w:szCs w:val="20"/>
        </w:rPr>
        <w:t>chenzhilin35@163.com</w:t>
      </w:r>
      <w:r>
        <w:rPr>
          <w:rStyle w:val="9"/>
          <w:rFonts w:hint="default" w:ascii="Times New Roman" w:hAnsi="Times New Roman" w:cs="Times New Roman"/>
          <w:sz w:val="20"/>
          <w:szCs w:val="20"/>
        </w:rPr>
        <w:fldChar w:fldCharType="end"/>
      </w:r>
    </w:p>
    <w:p>
      <w:pPr>
        <w:spacing w:line="480" w:lineRule="auto"/>
        <w:jc w:val="center"/>
        <w:rPr>
          <w:rFonts w:hint="default" w:ascii="Times New Roman" w:hAnsi="Times New Roman" w:cs="Times New Roman"/>
          <w:sz w:val="20"/>
          <w:szCs w:val="20"/>
        </w:rPr>
      </w:pPr>
      <w:r>
        <w:rPr>
          <w:rFonts w:hint="default" w:ascii="Times New Roman" w:hAnsi="Times New Roman" w:cs="Times New Roman"/>
          <w:sz w:val="20"/>
          <w:szCs w:val="20"/>
          <w:vertAlign w:val="superscript"/>
        </w:rPr>
        <w:t xml:space="preserve">1 </w:t>
      </w:r>
      <w:r>
        <w:rPr>
          <w:rFonts w:hint="default" w:ascii="Times New Roman" w:hAnsi="Times New Roman" w:cs="Times New Roman"/>
          <w:sz w:val="20"/>
          <w:szCs w:val="20"/>
        </w:rPr>
        <w:t>Key Laboratory of Ecology of Rare and Endangered Species and Environmental Protection (Guangxi Normal University), Ministry of Education, Guilin 541004, China.</w:t>
      </w:r>
    </w:p>
    <w:p>
      <w:pPr>
        <w:jc w:val="center"/>
        <w:rPr>
          <w:rFonts w:hint="default" w:ascii="Times New Roman" w:hAnsi="Times New Roman" w:cs="Times New Roman"/>
          <w:b/>
          <w:bCs/>
          <w:sz w:val="20"/>
          <w:szCs w:val="20"/>
          <w:lang w:val="en-US" w:eastAsia="zh-CN"/>
        </w:rPr>
      </w:pPr>
      <w:bookmarkStart w:id="1" w:name="OLE_LINK2"/>
      <w:bookmarkStart w:id="2" w:name="OLE_LINK3"/>
      <w:r>
        <w:rPr>
          <w:rFonts w:hint="default" w:ascii="Times New Roman" w:hAnsi="Times New Roman" w:cs="Times New Roman"/>
          <w:sz w:val="20"/>
          <w:szCs w:val="20"/>
          <w:vertAlign w:val="superscript"/>
        </w:rPr>
        <w:t>2</w:t>
      </w:r>
      <w:r>
        <w:rPr>
          <w:rFonts w:hint="default" w:ascii="Times New Roman" w:hAnsi="Times New Roman" w:cs="Times New Roman"/>
          <w:sz w:val="20"/>
          <w:szCs w:val="20"/>
        </w:rPr>
        <w:t xml:space="preserve"> </w:t>
      </w:r>
      <w:bookmarkEnd w:id="1"/>
      <w:bookmarkEnd w:id="2"/>
      <w:r>
        <w:rPr>
          <w:rFonts w:hint="default" w:ascii="Times New Roman" w:hAnsi="Times New Roman" w:cs="Times New Roman"/>
          <w:sz w:val="20"/>
          <w:szCs w:val="20"/>
        </w:rPr>
        <w:t>Guangxi Key Laboratory of Rare and Endangered Animal Ecology (Guangxi Normal University), Guilin 541004, China.</w:t>
      </w:r>
    </w:p>
    <w:p>
      <w:pPr>
        <w:jc w:val="center"/>
        <w:rPr>
          <w:rFonts w:hint="default" w:ascii="Times New Roman" w:hAnsi="Times New Roman" w:eastAsia="Arial Unicode MS" w:cs="Times New Roman"/>
          <w:b/>
          <w:bCs w:val="0"/>
          <w:sz w:val="20"/>
          <w:szCs w:val="20"/>
        </w:rPr>
      </w:pPr>
    </w:p>
    <w:p>
      <w:pPr>
        <w:jc w:val="center"/>
        <w:rPr>
          <w:rFonts w:hint="default" w:ascii="Times New Roman" w:hAnsi="Times New Roman" w:eastAsia="Arial Unicode MS" w:cs="Times New Roman"/>
          <w:b/>
          <w:bCs w:val="0"/>
          <w:sz w:val="20"/>
          <w:szCs w:val="20"/>
        </w:rPr>
      </w:pPr>
    </w:p>
    <w:p>
      <w:pPr>
        <w:jc w:val="both"/>
        <w:rPr>
          <w:rFonts w:hint="default" w:ascii="Times New Roman" w:hAnsi="Times New Roman" w:eastAsia="Arial Unicode MS" w:cs="Times New Roman"/>
          <w:sz w:val="20"/>
          <w:szCs w:val="20"/>
        </w:rPr>
      </w:pPr>
      <w:r>
        <w:rPr>
          <w:rFonts w:hint="default" w:ascii="Times New Roman" w:hAnsi="Times New Roman" w:eastAsia="Arial Unicode MS" w:cs="Times New Roman"/>
          <w:b/>
          <w:bCs w:val="0"/>
          <w:sz w:val="20"/>
          <w:szCs w:val="20"/>
        </w:rPr>
        <w:t>Tab S1</w:t>
      </w:r>
      <w:r>
        <w:rPr>
          <w:rFonts w:hint="default" w:ascii="Times New Roman" w:hAnsi="Times New Roman" w:eastAsia="Arial Unicode MS" w:cs="Times New Roman"/>
          <w:sz w:val="20"/>
          <w:szCs w:val="20"/>
        </w:rPr>
        <w:t xml:space="preserve"> Sample taxonomic status, collection information and diet classification</w:t>
      </w:r>
    </w:p>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7"/>
        <w:gridCol w:w="2677"/>
        <w:gridCol w:w="1505"/>
        <w:gridCol w:w="5005"/>
        <w:gridCol w:w="117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bottom w:val="single" w:color="auto" w:sz="4" w:space="0"/>
            </w:tcBorders>
            <w:shd w:val="clear" w:color="auto" w:fill="FFFFFF" w:themeFill="background1"/>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Sample ID</w:t>
            </w:r>
          </w:p>
        </w:tc>
        <w:tc>
          <w:tcPr>
            <w:tcW w:w="0" w:type="auto"/>
            <w:tcBorders>
              <w:top w:val="single" w:color="auto" w:sz="4" w:space="0"/>
              <w:bottom w:val="single" w:color="auto" w:sz="4" w:space="0"/>
            </w:tcBorders>
            <w:shd w:val="clear" w:color="auto" w:fill="FFFFFF" w:themeFill="background1"/>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Species</w:t>
            </w:r>
          </w:p>
        </w:tc>
        <w:tc>
          <w:tcPr>
            <w:tcW w:w="0" w:type="auto"/>
            <w:tcBorders>
              <w:top w:val="single" w:color="auto" w:sz="4" w:space="0"/>
              <w:bottom w:val="single" w:color="auto" w:sz="4" w:space="0"/>
            </w:tcBorders>
            <w:shd w:val="clear" w:color="auto" w:fill="FFFFFF" w:themeFill="background1"/>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Subfamily</w:t>
            </w:r>
          </w:p>
        </w:tc>
        <w:tc>
          <w:tcPr>
            <w:tcW w:w="0" w:type="auto"/>
            <w:tcBorders>
              <w:top w:val="single" w:color="auto" w:sz="4" w:space="0"/>
              <w:bottom w:val="single" w:color="auto" w:sz="4" w:space="0"/>
            </w:tcBorders>
            <w:shd w:val="clear" w:color="auto" w:fill="FFFFFF" w:themeFill="background1"/>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Collect information</w:t>
            </w:r>
          </w:p>
        </w:tc>
        <w:tc>
          <w:tcPr>
            <w:tcW w:w="0" w:type="auto"/>
            <w:tcBorders>
              <w:top w:val="single" w:color="auto" w:sz="4" w:space="0"/>
              <w:bottom w:val="single" w:color="auto" w:sz="4" w:space="0"/>
            </w:tcBorders>
            <w:shd w:val="clear" w:color="auto" w:fill="FFFFFF" w:themeFill="background1"/>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Diet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w:t>
            </w:r>
          </w:p>
        </w:tc>
        <w:tc>
          <w:tcPr>
            <w:tcW w:w="0" w:type="auto"/>
            <w:tcBorders>
              <w:top w:val="single" w:color="auto" w:sz="4" w:space="0"/>
            </w:tcBorders>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Pheidole</w:t>
            </w:r>
            <w:r>
              <w:rPr>
                <w:rFonts w:hint="default" w:ascii="Times New Roman" w:hAnsi="Times New Roman" w:eastAsia="Arial Unicode MS" w:cs="Times New Roman"/>
                <w:iCs/>
                <w:kern w:val="0"/>
                <w:sz w:val="20"/>
                <w:szCs w:val="20"/>
              </w:rPr>
              <w:t xml:space="preserve"> sp1</w:t>
            </w:r>
          </w:p>
        </w:tc>
        <w:tc>
          <w:tcPr>
            <w:tcW w:w="0" w:type="auto"/>
            <w:tcBorders>
              <w:top w:val="single" w:color="auto" w:sz="4" w:space="0"/>
            </w:tcBorders>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Borders>
              <w:top w:val="single" w:color="auto" w:sz="4" w:space="0"/>
            </w:tcBorders>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24.1044N, 959 m, Jinxiu County, Guangxi</w:t>
            </w:r>
          </w:p>
        </w:tc>
        <w:tc>
          <w:tcPr>
            <w:tcW w:w="0" w:type="auto"/>
            <w:tcBorders>
              <w:top w:val="single" w:color="auto" w:sz="4" w:space="0"/>
            </w:tcBorders>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JX_7</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Proceratium kepingmai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Proceratiinae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24.1044N, 959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JX_15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Nylanderia flaviabdominis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24.1044N, 959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JX_23</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Technomyrmex antennus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Dolichoderinae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JX_25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Pheidole selathorax</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JX_26</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Leptogenys</w:t>
            </w:r>
            <w:r>
              <w:rPr>
                <w:rFonts w:hint="default" w:ascii="Times New Roman" w:hAnsi="Times New Roman" w:eastAsia="Arial Unicode MS" w:cs="Times New Roman"/>
                <w:iCs/>
                <w:kern w:val="0"/>
                <w:sz w:val="20"/>
                <w:szCs w:val="20"/>
              </w:rPr>
              <w:t xml:space="preserve"> sp1</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JX_28</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Camponotus albivillosus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JX_29</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Euponera pilosior</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JX_31</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Aphaenogaster</w:t>
            </w:r>
            <w:r>
              <w:rPr>
                <w:rFonts w:hint="default" w:ascii="Times New Roman" w:hAnsi="Times New Roman" w:eastAsia="Arial Unicode MS" w:cs="Times New Roman"/>
                <w:iCs/>
                <w:kern w:val="0"/>
                <w:sz w:val="20"/>
                <w:szCs w:val="20"/>
              </w:rPr>
              <w:t xml:space="preserve"> sp</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JX_37</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Brachyponera</w:t>
            </w:r>
            <w:r>
              <w:rPr>
                <w:rFonts w:hint="default" w:ascii="Times New Roman" w:hAnsi="Times New Roman" w:eastAsia="Arial Unicode MS" w:cs="Times New Roman"/>
                <w:iCs/>
                <w:kern w:val="0"/>
                <w:sz w:val="20"/>
                <w:szCs w:val="20"/>
              </w:rPr>
              <w:t xml:space="preserve"> sp1</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110.2075E, 24.1039N, 980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JX_38</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Camponotus mitis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110.2075E, 24.1039N, 980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JX_42</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Paratrechina umbra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JX_45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Ectomomyrmex javanus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110.2100E, 24.1122N, 935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JX_50</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Aphaenogaster beccarii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JX_54</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 xml:space="preserve">Ectomomyrmex </w:t>
            </w:r>
            <w:r>
              <w:rPr>
                <w:rFonts w:hint="default" w:ascii="Times New Roman" w:hAnsi="Times New Roman" w:eastAsia="Arial Unicode MS" w:cs="Times New Roman"/>
                <w:iCs/>
                <w:kern w:val="0"/>
                <w:sz w:val="20"/>
                <w:szCs w:val="20"/>
              </w:rPr>
              <w:t>sp</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Odontomachus</w:t>
            </w:r>
            <w:r>
              <w:rPr>
                <w:rFonts w:hint="default" w:ascii="Times New Roman" w:hAnsi="Times New Roman" w:eastAsia="Arial Unicode MS" w:cs="Times New Roman"/>
                <w:iCs/>
                <w:kern w:val="0"/>
                <w:sz w:val="20"/>
                <w:szCs w:val="20"/>
              </w:rPr>
              <w:t xml:space="preserve"> sp</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JX_56</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Stigmatomma eminia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Amblyoponinae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JX_57</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Myopopone castanea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Amblyoponinae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JX_58</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Stigmatomma rothneyi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Amblyoponinae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110.2067E, 24.1019N, 1049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JX_59</w:t>
            </w:r>
          </w:p>
        </w:tc>
        <w:tc>
          <w:tcPr>
            <w:tcW w:w="0" w:type="auto"/>
          </w:tcPr>
          <w:p>
            <w:pPr>
              <w:spacing w:line="480" w:lineRule="auto"/>
              <w:jc w:val="center"/>
              <w:rPr>
                <w:rFonts w:hint="default" w:ascii="Times New Roman" w:hAnsi="Times New Roman" w:eastAsia="Arial Unicode MS" w:cs="Times New Roman"/>
                <w:kern w:val="0"/>
                <w:sz w:val="20"/>
                <w:szCs w:val="20"/>
              </w:rPr>
            </w:pPr>
            <w:bookmarkStart w:id="3" w:name="_Hlk113871272"/>
            <w:r>
              <w:rPr>
                <w:rFonts w:hint="default" w:ascii="Times New Roman" w:hAnsi="Times New Roman" w:eastAsia="Arial Unicode MS" w:cs="Times New Roman"/>
                <w:i/>
                <w:iCs/>
                <w:kern w:val="0"/>
                <w:sz w:val="20"/>
                <w:szCs w:val="20"/>
              </w:rPr>
              <w:t>Technomyrmex albipes</w:t>
            </w:r>
            <w:bookmarkEnd w:id="3"/>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Dolichoderinae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110.2880E, 25.0943N, 700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JX_61</w:t>
            </w:r>
          </w:p>
        </w:tc>
        <w:tc>
          <w:tcPr>
            <w:tcW w:w="0" w:type="auto"/>
          </w:tcPr>
          <w:p>
            <w:pPr>
              <w:spacing w:line="480" w:lineRule="auto"/>
              <w:jc w:val="center"/>
              <w:rPr>
                <w:rFonts w:hint="default" w:ascii="Times New Roman" w:hAnsi="Times New Roman" w:eastAsia="Arial Unicode MS" w:cs="Times New Roman"/>
                <w:kern w:val="0"/>
                <w:sz w:val="20"/>
                <w:szCs w:val="20"/>
              </w:rPr>
            </w:pPr>
            <w:bookmarkStart w:id="4" w:name="_Hlk117067822"/>
            <w:r>
              <w:rPr>
                <w:rFonts w:hint="default" w:ascii="Times New Roman" w:hAnsi="Times New Roman" w:eastAsia="Arial Unicode MS" w:cs="Times New Roman"/>
                <w:i/>
                <w:iCs/>
                <w:kern w:val="0"/>
                <w:sz w:val="20"/>
                <w:szCs w:val="20"/>
              </w:rPr>
              <w:t>Polyrhachis dives</w:t>
            </w:r>
            <w:bookmarkEnd w:id="4"/>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110.2880E, 25.0943N, 700 m, Jinxiu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G_62</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Messor structor</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Wujiaqu, Xinjiang Province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herbivorous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G_63</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 xml:space="preserve">Messor </w:t>
            </w:r>
            <w:r>
              <w:rPr>
                <w:rFonts w:hint="default" w:ascii="Times New Roman" w:hAnsi="Times New Roman" w:eastAsia="Arial Unicode MS" w:cs="Times New Roman"/>
                <w:iCs/>
                <w:kern w:val="0"/>
                <w:sz w:val="20"/>
                <w:szCs w:val="20"/>
              </w:rPr>
              <w:t>sp</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Luozhuang District, Shandong Province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herbivorous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G_64</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Messor aralocaspius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herbivorous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HP_4</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Ectomomyrmex lobocarenus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109.9095E, 25.9256N, 471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Dacatria templaris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109.9095E, 25.9256N, 471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HP_6</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Acanthomyrmex glabfemoralis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109.9095E, 25.9256N, 471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HP_9</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Lasius coloratus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109.9305E, 25.6250N, 940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HP_10</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Aphaenogaster japonica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109.9305E, 25.6250N, 940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HP_11</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Ectomomyrmex astutus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109.9305E, 25.6250N, 940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HP_12</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Leptogenys kitteli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109.9305E, 25.6250N, 940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HP_13</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Camponotus albivillosus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109.9086E, 25.6250N, 808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Carebara vespillo</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109.9086E, 25.6250N, 808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HP_17</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Liometopum sinense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Dolichoderinae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109.9086E, 25.6250N, 808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HP_18</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Aphaenogaster subexaperata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109.9086E, 25.6250N, 808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HP_19</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Stigmatomma eminia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Amblyoponinae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109.9086E, 25.6250N, 808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HP_20</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Technomyrmex albipes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Dolichoderinae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HP_23</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 xml:space="preserve">Leptogenys </w:t>
            </w:r>
            <w:r>
              <w:rPr>
                <w:rFonts w:hint="default" w:ascii="Times New Roman" w:hAnsi="Times New Roman" w:eastAsia="Arial Unicode MS" w:cs="Times New Roman"/>
                <w:iCs/>
                <w:kern w:val="0"/>
                <w:sz w:val="20"/>
                <w:szCs w:val="20"/>
              </w:rPr>
              <w:t>sp2</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HP_25</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Stictoponera coccina</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Ectatomminae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HP_26</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 xml:space="preserve">Leptogenys </w:t>
            </w:r>
            <w:r>
              <w:rPr>
                <w:rFonts w:hint="default" w:ascii="Times New Roman" w:hAnsi="Times New Roman" w:eastAsia="Arial Unicode MS" w:cs="Times New Roman"/>
                <w:iCs/>
                <w:kern w:val="0"/>
                <w:sz w:val="20"/>
                <w:szCs w:val="20"/>
              </w:rPr>
              <w:t>sp3</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HP_27</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Camponotus mitis</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Formicinae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omnivorous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HP_28</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i/>
                <w:iCs/>
                <w:kern w:val="0"/>
                <w:sz w:val="20"/>
                <w:szCs w:val="20"/>
              </w:rPr>
              <w:t xml:space="preserve">Brachyponera </w:t>
            </w:r>
            <w:r>
              <w:rPr>
                <w:rFonts w:hint="default" w:ascii="Times New Roman" w:hAnsi="Times New Roman" w:eastAsia="Arial Unicode MS" w:cs="Times New Roman"/>
                <w:iCs/>
                <w:kern w:val="0"/>
                <w:sz w:val="20"/>
                <w:szCs w:val="20"/>
              </w:rPr>
              <w:t>sp2</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Ponerinae</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109.9082E, 25.6149N, 792 m, Longsheng County, Guangxi</w:t>
            </w:r>
          </w:p>
        </w:tc>
        <w:tc>
          <w:tcPr>
            <w:tcW w:w="0" w:type="auto"/>
          </w:tcPr>
          <w:p>
            <w:pPr>
              <w:spacing w:line="480" w:lineRule="auto"/>
              <w:jc w:val="cente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carnivorous</w:t>
            </w:r>
          </w:p>
        </w:tc>
      </w:tr>
    </w:tbl>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p>
      <w:pPr>
        <w:jc w:val="both"/>
        <w:rPr>
          <w:rFonts w:hint="default" w:ascii="Times New Roman" w:hAnsi="Times New Roman" w:eastAsia="Arial Unicode MS" w:cs="Times New Roman"/>
          <w:sz w:val="20"/>
          <w:szCs w:val="20"/>
        </w:rPr>
      </w:pPr>
      <w:r>
        <w:rPr>
          <w:rFonts w:hint="default" w:ascii="Times New Roman" w:hAnsi="Times New Roman" w:eastAsia="Arial Unicode MS" w:cs="Times New Roman"/>
          <w:b/>
          <w:bCs w:val="0"/>
          <w:sz w:val="20"/>
          <w:szCs w:val="20"/>
        </w:rPr>
        <w:t>Tab S2</w:t>
      </w:r>
      <w:r>
        <w:rPr>
          <w:rFonts w:hint="default" w:ascii="Times New Roman" w:hAnsi="Times New Roman" w:eastAsia="Arial Unicode MS" w:cs="Times New Roman"/>
          <w:sz w:val="20"/>
          <w:szCs w:val="20"/>
        </w:rPr>
        <w:t xml:space="preserve"> </w:t>
      </w:r>
      <w:r>
        <w:rPr>
          <w:rFonts w:hint="default" w:ascii="Times New Roman" w:hAnsi="Times New Roman" w:eastAsia="Arial Unicode MS" w:cs="Times New Roman"/>
          <w:sz w:val="20"/>
          <w:szCs w:val="20"/>
        </w:rPr>
        <w:t xml:space="preserve">The </w:t>
      </w:r>
      <w:r>
        <w:rPr>
          <w:rFonts w:hint="default" w:ascii="Times New Roman" w:hAnsi="Times New Roman" w:eastAsia="Arial Unicode MS" w:cs="Times New Roman"/>
          <w:sz w:val="20"/>
          <w:szCs w:val="20"/>
        </w:rPr>
        <w:t xml:space="preserve">50% and </w:t>
      </w:r>
      <w:r>
        <w:rPr>
          <w:rFonts w:hint="default" w:ascii="Times New Roman" w:hAnsi="Times New Roman" w:eastAsia="Arial Unicode MS" w:cs="Times New Roman"/>
          <w:sz w:val="20"/>
          <w:szCs w:val="20"/>
        </w:rPr>
        <w:t xml:space="preserve">the </w:t>
      </w:r>
      <w:r>
        <w:rPr>
          <w:rFonts w:hint="default" w:ascii="Times New Roman" w:hAnsi="Times New Roman" w:eastAsia="Arial Unicode MS" w:cs="Times New Roman"/>
          <w:sz w:val="20"/>
          <w:szCs w:val="20"/>
        </w:rPr>
        <w:t xml:space="preserve">75% core </w:t>
      </w:r>
      <w:r>
        <w:rPr>
          <w:rFonts w:hint="default" w:ascii="Times New Roman" w:hAnsi="Times New Roman" w:eastAsia="Arial Unicode MS" w:cs="Times New Roman"/>
          <w:sz w:val="20"/>
          <w:szCs w:val="20"/>
        </w:rPr>
        <w:t xml:space="preserve">ant-gut </w:t>
      </w:r>
      <w:r>
        <w:rPr>
          <w:rFonts w:hint="default" w:ascii="Times New Roman" w:hAnsi="Times New Roman" w:eastAsia="Arial Unicode MS" w:cs="Times New Roman"/>
          <w:sz w:val="20"/>
          <w:szCs w:val="20"/>
        </w:rPr>
        <w:t>bacteria</w:t>
      </w:r>
      <w:r>
        <w:rPr>
          <w:rFonts w:hint="default" w:ascii="Times New Roman" w:hAnsi="Times New Roman" w:eastAsia="Arial Unicode MS" w:cs="Times New Roman"/>
          <w:sz w:val="20"/>
          <w:szCs w:val="20"/>
        </w:rPr>
        <w:t xml:space="preserve"> </w:t>
      </w:r>
      <w:r>
        <w:rPr>
          <w:rFonts w:hint="default" w:ascii="Times New Roman" w:hAnsi="Times New Roman" w:eastAsia="Arial Unicode MS" w:cs="Times New Roman"/>
          <w:sz w:val="20"/>
          <w:szCs w:val="20"/>
        </w:rPr>
        <w:t>at OTU level and phylum level</w:t>
      </w:r>
      <w:r>
        <w:rPr>
          <w:rFonts w:hint="default" w:ascii="Times New Roman" w:hAnsi="Times New Roman" w:eastAsia="Arial Unicode MS" w:cs="Times New Roman"/>
          <w:sz w:val="20"/>
          <w:szCs w:val="20"/>
        </w:rPr>
        <w:t>.</w:t>
      </w:r>
    </w:p>
    <w:tbl>
      <w:tblPr>
        <w:tblStyle w:val="7"/>
        <w:tblW w:w="459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3"/>
        <w:gridCol w:w="828"/>
        <w:gridCol w:w="1128"/>
        <w:gridCol w:w="11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Borders>
              <w:top w:val="single" w:color="auto" w:sz="4" w:space="0"/>
              <w:bottom w:val="single" w:color="auto" w:sz="4" w:space="0"/>
            </w:tcBorders>
            <w:shd w:val="clear" w:color="auto" w:fill="FFFFFF" w:themeFill="background1"/>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 xml:space="preserve">Bacteria name </w:t>
            </w:r>
          </w:p>
        </w:tc>
        <w:tc>
          <w:tcPr>
            <w:tcW w:w="1498" w:type="dxa"/>
            <w:tcBorders>
              <w:top w:val="single" w:color="auto" w:sz="4" w:space="0"/>
              <w:bottom w:val="single" w:color="auto" w:sz="4" w:space="0"/>
            </w:tcBorders>
            <w:shd w:val="clear" w:color="auto" w:fill="FFFFFF" w:themeFill="background1"/>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Taxa level</w:t>
            </w:r>
          </w:p>
        </w:tc>
        <w:tc>
          <w:tcPr>
            <w:tcW w:w="1617" w:type="dxa"/>
            <w:tcBorders>
              <w:top w:val="single" w:color="auto" w:sz="4" w:space="0"/>
              <w:bottom w:val="single" w:color="auto" w:sz="4" w:space="0"/>
            </w:tcBorders>
            <w:shd w:val="clear" w:color="auto" w:fill="FFFFFF" w:themeFill="background1"/>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 xml:space="preserve">The 50% </w:t>
            </w:r>
            <w:r>
              <w:rPr>
                <w:rFonts w:hint="default" w:ascii="Times New Roman" w:hAnsi="Times New Roman" w:eastAsia="Arial Unicode MS" w:cs="Times New Roman"/>
                <w:kern w:val="0"/>
                <w:sz w:val="20"/>
                <w:szCs w:val="20"/>
              </w:rPr>
              <w:t xml:space="preserve">core bacterial community </w:t>
            </w:r>
          </w:p>
        </w:tc>
        <w:tc>
          <w:tcPr>
            <w:tcW w:w="1617" w:type="dxa"/>
            <w:tcBorders>
              <w:top w:val="single" w:color="auto" w:sz="4" w:space="0"/>
              <w:bottom w:val="single" w:color="auto" w:sz="4" w:space="0"/>
            </w:tcBorders>
            <w:shd w:val="clear" w:color="auto" w:fill="FFFFFF" w:themeFill="background1"/>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 xml:space="preserve">The 75% </w:t>
            </w:r>
            <w:r>
              <w:rPr>
                <w:rFonts w:hint="default" w:ascii="Times New Roman" w:hAnsi="Times New Roman" w:eastAsia="Arial Unicode MS" w:cs="Times New Roman"/>
                <w:kern w:val="0"/>
                <w:sz w:val="20"/>
                <w:szCs w:val="20"/>
              </w:rPr>
              <w:t xml:space="preserve">core bacterial community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Borders>
              <w:top w:val="single" w:color="auto" w:sz="4" w:space="0"/>
            </w:tcBorders>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OTU775</w:t>
            </w:r>
          </w:p>
        </w:tc>
        <w:tc>
          <w:tcPr>
            <w:tcW w:w="1498" w:type="dxa"/>
            <w:tcBorders>
              <w:top w:val="single" w:color="auto" w:sz="4" w:space="0"/>
            </w:tcBorders>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Borders>
              <w:top w:val="single" w:color="auto" w:sz="4" w:space="0"/>
            </w:tcBorders>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Borders>
              <w:top w:val="single" w:color="auto" w:sz="4" w:space="0"/>
            </w:tcBorders>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OTU577</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OTU3174</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OTU3301</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OTU3332</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OTU3498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OTU3237</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OTU3327</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OTU3209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OTU554</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OTU569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OTU547</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OTU557</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OTU3008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OTU3430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OTU544</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OTU3175</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OTU574</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OTU3169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OTU572</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OTU586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OTU3132</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OTU3170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OTU546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OTU3449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OTU2360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OTU3426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OTU3298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OTU3316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OTU550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OTU548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OTU3352</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OTU3166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OTU3009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OTU552</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OTU566</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OTU3088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OTU3119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OTU3440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OTU545</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OTU3258</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OTU580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OTU571</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OTU3019</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OTU590</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OTU</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Bacteroidota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Firmicutes</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Actinobacteriota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Cyanobacteria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Verrucomicrobiota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unclassified_k__norank_d__Bacteria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Bdellovibrionota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Acidobacteriota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Gemmatimonadota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Myxococcota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Proteobacteria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Patescibacteria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Deinococcota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Planctomycetota</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790"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Chloroflexi</w:t>
            </w:r>
          </w:p>
        </w:tc>
        <w:tc>
          <w:tcPr>
            <w:tcW w:w="1498"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phylum</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c>
          <w:tcPr>
            <w:tcW w:w="1617" w:type="dxa"/>
          </w:tcPr>
          <w:p>
            <w:pPr>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yes</w:t>
            </w:r>
          </w:p>
        </w:tc>
      </w:tr>
    </w:tbl>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spacing w:line="480" w:lineRule="auto"/>
        <w:jc w:val="left"/>
        <w:rPr>
          <w:rFonts w:hint="default" w:ascii="Times New Roman" w:hAnsi="Times New Roman" w:eastAsia="Arial Unicode MS" w:cs="Times New Roman"/>
        </w:rPr>
      </w:pPr>
    </w:p>
    <w:p>
      <w:pPr>
        <w:spacing w:line="480" w:lineRule="auto"/>
        <w:jc w:val="left"/>
        <w:rPr>
          <w:rFonts w:hint="default" w:ascii="Times New Roman" w:hAnsi="Times New Roman" w:eastAsia="Arial Unicode MS" w:cs="Times New Roman"/>
          <w:bCs/>
          <w:sz w:val="20"/>
          <w:szCs w:val="2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spacing w:line="480" w:lineRule="auto"/>
        <w:jc w:val="both"/>
        <w:rPr>
          <w:rFonts w:hint="default" w:ascii="Times New Roman" w:hAnsi="Times New Roman" w:eastAsia="Arial Unicode MS" w:cs="Times New Roman"/>
        </w:rPr>
      </w:pPr>
      <w:r>
        <w:rPr>
          <w:rFonts w:hint="default" w:ascii="Times New Roman" w:hAnsi="Times New Roman" w:eastAsia="Arial Unicode MS" w:cs="Times New Roman"/>
          <w:b/>
          <w:bCs w:val="0"/>
          <w:sz w:val="20"/>
          <w:szCs w:val="20"/>
        </w:rPr>
        <w:t>Table S3</w:t>
      </w:r>
      <w:r>
        <w:rPr>
          <w:rFonts w:hint="default" w:ascii="Times New Roman" w:hAnsi="Times New Roman" w:eastAsia="Arial Unicode MS" w:cs="Times New Roman"/>
          <w:sz w:val="20"/>
          <w:szCs w:val="20"/>
        </w:rPr>
        <w:t xml:space="preserve"> Alpha diversity (Shannon and Simpson index) of all groups compared with Kruskal-Wallis tests and beta diversity (Bray-Curtis dissimilarity and Jaccard index) of all groups compared with ADONIS test at phylum level</w:t>
      </w:r>
      <w:r>
        <w:rPr>
          <w:rFonts w:hint="default" w:ascii="Times New Roman" w:hAnsi="Times New Roman" w:eastAsia="Arial Unicode MS" w:cs="Times New Roman"/>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1158"/>
        <w:gridCol w:w="6018"/>
        <w:gridCol w:w="1235"/>
        <w:gridCol w:w="1236"/>
        <w:gridCol w:w="1390"/>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vMerge w:val="restart"/>
            <w:tcBorders>
              <w:left w:val="nil"/>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Group</w:t>
            </w:r>
          </w:p>
        </w:tc>
        <w:tc>
          <w:tcPr>
            <w:tcW w:w="0" w:type="auto"/>
            <w:gridSpan w:val="2"/>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Alpha diversity (Kruskal-Wallis)</w:t>
            </w:r>
          </w:p>
        </w:tc>
        <w:tc>
          <w:tcPr>
            <w:tcW w:w="0" w:type="auto"/>
            <w:gridSpan w:val="2"/>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Beta diversity</w:t>
            </w:r>
          </w:p>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(ADONIS)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vMerge w:val="continue"/>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p>
        </w:tc>
        <w:tc>
          <w:tcPr>
            <w:tcW w:w="0" w:type="auto"/>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Shannon (</w:t>
            </w:r>
            <w:r>
              <w:rPr>
                <w:rFonts w:hint="default" w:ascii="Times New Roman" w:hAnsi="Times New Roman" w:eastAsia="Arial Unicode MS" w:cs="Times New Roman"/>
                <w:i/>
                <w:iCs/>
                <w:kern w:val="0"/>
                <w:sz w:val="22"/>
                <w:szCs w:val="22"/>
              </w:rPr>
              <w:t>p</w:t>
            </w:r>
            <w:r>
              <w:rPr>
                <w:rFonts w:hint="default" w:ascii="Times New Roman" w:hAnsi="Times New Roman" w:eastAsia="Arial Unicode MS" w:cs="Times New Roman"/>
                <w:kern w:val="0"/>
                <w:sz w:val="22"/>
                <w:szCs w:val="22"/>
              </w:rPr>
              <w:t>)</w:t>
            </w:r>
          </w:p>
        </w:tc>
        <w:tc>
          <w:tcPr>
            <w:tcW w:w="0" w:type="auto"/>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Simpson (</w:t>
            </w:r>
            <w:r>
              <w:rPr>
                <w:rFonts w:hint="default" w:ascii="Times New Roman" w:hAnsi="Times New Roman" w:eastAsia="Arial Unicode MS" w:cs="Times New Roman"/>
                <w:i/>
                <w:iCs/>
                <w:kern w:val="0"/>
                <w:sz w:val="22"/>
                <w:szCs w:val="22"/>
              </w:rPr>
              <w:t>p</w:t>
            </w:r>
            <w:r>
              <w:rPr>
                <w:rFonts w:hint="default" w:ascii="Times New Roman" w:hAnsi="Times New Roman" w:eastAsia="Arial Unicode MS" w:cs="Times New Roman"/>
                <w:kern w:val="0"/>
                <w:sz w:val="22"/>
                <w:szCs w:val="22"/>
              </w:rPr>
              <w:t>)</w:t>
            </w:r>
          </w:p>
        </w:tc>
        <w:tc>
          <w:tcPr>
            <w:tcW w:w="0" w:type="auto"/>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Bray-Curtis (</w:t>
            </w:r>
            <w:r>
              <w:rPr>
                <w:rFonts w:hint="default" w:ascii="Times New Roman" w:hAnsi="Times New Roman" w:eastAsia="Arial Unicode MS" w:cs="Times New Roman"/>
                <w:i/>
                <w:iCs/>
                <w:kern w:val="0"/>
                <w:sz w:val="22"/>
                <w:szCs w:val="22"/>
              </w:rPr>
              <w:t>p</w:t>
            </w:r>
            <w:r>
              <w:rPr>
                <w:rFonts w:hint="default" w:ascii="Times New Roman" w:hAnsi="Times New Roman" w:eastAsia="Arial Unicode MS" w:cs="Times New Roman"/>
                <w:kern w:val="0"/>
                <w:sz w:val="22"/>
                <w:szCs w:val="22"/>
              </w:rPr>
              <w:t>)</w:t>
            </w:r>
          </w:p>
        </w:tc>
        <w:tc>
          <w:tcPr>
            <w:tcW w:w="0" w:type="auto"/>
            <w:tcBorders>
              <w:left w:val="nil"/>
              <w:bottom w:val="single" w:color="auto" w:sz="4" w:space="0"/>
              <w:right w:val="nil"/>
            </w:tcBorders>
            <w:shd w:val="clear" w:color="auto" w:fill="FFFFFF" w:themeFill="background1"/>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Jaccard (</w:t>
            </w:r>
            <w:r>
              <w:rPr>
                <w:rFonts w:hint="default" w:ascii="Times New Roman" w:hAnsi="Times New Roman" w:eastAsia="Arial Unicode MS" w:cs="Times New Roman"/>
                <w:i/>
                <w:iCs/>
                <w:kern w:val="0"/>
                <w:sz w:val="22"/>
                <w:szCs w:val="22"/>
              </w:rPr>
              <w:t>p</w:t>
            </w:r>
            <w:r>
              <w:rPr>
                <w:rFonts w:hint="default" w:ascii="Times New Roman" w:hAnsi="Times New Roman" w:eastAsia="Arial Unicode MS" w:cs="Times New Roman"/>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The overall bacterial community</w:t>
            </w:r>
          </w:p>
        </w:tc>
        <w:tc>
          <w:tcPr>
            <w:tcW w:w="0" w:type="auto"/>
            <w:tcBorders>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Diet</w:t>
            </w:r>
          </w:p>
        </w:tc>
        <w:tc>
          <w:tcPr>
            <w:tcW w:w="0" w:type="auto"/>
            <w:tcBorders>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carnivorous vs omnivorous vs herbivorous in all 42 colonies</w:t>
            </w:r>
          </w:p>
        </w:tc>
        <w:tc>
          <w:tcPr>
            <w:tcW w:w="0" w:type="auto"/>
            <w:tcBorders>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0.104</w:t>
            </w:r>
          </w:p>
        </w:tc>
        <w:tc>
          <w:tcPr>
            <w:tcW w:w="0" w:type="auto"/>
            <w:tcBorders>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omnivorous vs herbivorous in 12 Myrmicinae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0.006</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0.006</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0.137</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Phylogeny</w:t>
            </w: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vs Proceratiinae vs Ponerinae vs Amblyoponinae vs Ectatomminae in all 42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Myrmicinae vs Ponerinae in 32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0.004</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in 21 omnivorous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Proceratiinae vs Ponerinae vs Amblyoponinae vs Ectatomminae in 18 carnivorous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0.002</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0.106</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 xml:space="preserve">The 75% core bacterial community </w:t>
            </w:r>
          </w:p>
        </w:tc>
        <w:tc>
          <w:tcPr>
            <w:tcW w:w="0" w:type="auto"/>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Diet</w:t>
            </w:r>
          </w:p>
        </w:tc>
        <w:tc>
          <w:tcPr>
            <w:tcW w:w="0" w:type="auto"/>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carnivorous vs omnivorous vs herbivorous in all 42 colonies</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single" w:color="auto" w:sz="4" w:space="0"/>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single" w:color="auto" w:sz="4" w:space="0"/>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omnivorous vs herbivorous in 12 Myrmicinae colonies</w:t>
            </w:r>
          </w:p>
        </w:tc>
        <w:tc>
          <w:tcPr>
            <w:tcW w:w="0" w:type="auto"/>
            <w:tcBorders>
              <w:top w:val="single" w:color="auto" w:sz="4" w:space="0"/>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0.005</w:t>
            </w:r>
          </w:p>
        </w:tc>
        <w:tc>
          <w:tcPr>
            <w:tcW w:w="0" w:type="auto"/>
            <w:tcBorders>
              <w:top w:val="single" w:color="auto" w:sz="4" w:space="0"/>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0.005</w:t>
            </w:r>
          </w:p>
        </w:tc>
        <w:tc>
          <w:tcPr>
            <w:tcW w:w="0" w:type="auto"/>
            <w:tcBorders>
              <w:top w:val="single" w:color="auto" w:sz="4" w:space="0"/>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single" w:color="auto" w:sz="4" w:space="0"/>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Phylogeny</w:t>
            </w: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vs Proceratiinae vs Ponerinae vs Amblyoponinae vs Ectatomminae in all 42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0.342</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Myrmicinae vs Ponerinae in 32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0.065</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kern w:val="0"/>
                <w:sz w:val="22"/>
                <w:szCs w:val="22"/>
              </w:rPr>
            </w:pPr>
            <w:r>
              <w:rPr>
                <w:rFonts w:hint="default" w:ascii="Times New Roman" w:hAnsi="Times New Roman" w:eastAsia="Arial Unicode MS" w:cs="Times New Roman"/>
                <w:b/>
                <w:i/>
                <w:kern w:val="0"/>
                <w:sz w:val="22"/>
                <w:szCs w:val="22"/>
              </w:rPr>
              <w:t>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in 21 omnivorous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0.006</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Proceratiinae vs Ponerinae vs Amblyoponinae vs Ectatomminae in 18 carnivorous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0.002</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0.003</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0.009</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 xml:space="preserve">The 50% core bacterial community </w:t>
            </w: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Diet</w:t>
            </w: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carnivorous vs omnivorous vs herbivorous in all 42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omnivorous vs herbivorous in 12 Myrmicinae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0.005</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0.005</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Phylogeny</w:t>
            </w: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vs Proceratiinae vs Ponerinae vs Amblyoponinae vs Ectatomminae in all 42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0.328</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Myrmicinae vs Ponerinae in 32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kern w:val="0"/>
                <w:sz w:val="22"/>
                <w:szCs w:val="22"/>
              </w:rPr>
              <w:t>0.07</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nil"/>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Formicinae vs Dolichoderinae vs Myrmicinae in 21 omnivorous colonies</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0.001</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0.008</w:t>
            </w:r>
          </w:p>
        </w:tc>
        <w:tc>
          <w:tcPr>
            <w:tcW w:w="0" w:type="auto"/>
            <w:tcBorders>
              <w:top w:val="nil"/>
              <w:left w:val="nil"/>
              <w:bottom w:val="nil"/>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p>
        </w:tc>
        <w:tc>
          <w:tcPr>
            <w:tcW w:w="0" w:type="auto"/>
            <w:tcBorders>
              <w:top w:val="nil"/>
              <w:left w:val="nil"/>
              <w:bottom w:val="single" w:color="auto" w:sz="4" w:space="0"/>
              <w:right w:val="nil"/>
            </w:tcBorders>
          </w:tcPr>
          <w:p>
            <w:pPr>
              <w:spacing w:line="360" w:lineRule="auto"/>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Proceratiinae vs Ponerinae vs Amblyoponinae vs Ectatomminae in 18 carnivorous colonies</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kern w:val="0"/>
                <w:sz w:val="22"/>
                <w:szCs w:val="22"/>
              </w:rPr>
            </w:pPr>
            <w:r>
              <w:rPr>
                <w:rFonts w:hint="default" w:ascii="Times New Roman" w:hAnsi="Times New Roman" w:eastAsia="Arial Unicode MS" w:cs="Times New Roman"/>
                <w:b/>
                <w:i/>
                <w:iCs/>
                <w:kern w:val="0"/>
                <w:sz w:val="22"/>
                <w:szCs w:val="22"/>
              </w:rPr>
              <w:t>0.002</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0.003</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kern w:val="0"/>
                <w:sz w:val="22"/>
                <w:szCs w:val="22"/>
              </w:rPr>
            </w:pPr>
            <w:r>
              <w:rPr>
                <w:rFonts w:hint="default" w:ascii="Times New Roman" w:hAnsi="Times New Roman" w:eastAsia="Arial Unicode MS" w:cs="Times New Roman"/>
                <w:kern w:val="0"/>
                <w:sz w:val="22"/>
                <w:szCs w:val="22"/>
              </w:rPr>
              <w:t>0.124</w:t>
            </w:r>
          </w:p>
        </w:tc>
        <w:tc>
          <w:tcPr>
            <w:tcW w:w="0" w:type="auto"/>
            <w:tcBorders>
              <w:top w:val="nil"/>
              <w:left w:val="nil"/>
              <w:bottom w:val="single" w:color="auto" w:sz="4" w:space="0"/>
              <w:right w:val="nil"/>
            </w:tcBorders>
            <w:vAlign w:val="center"/>
          </w:tcPr>
          <w:p>
            <w:pPr>
              <w:spacing w:line="360" w:lineRule="auto"/>
              <w:jc w:val="center"/>
              <w:rPr>
                <w:rFonts w:hint="default" w:ascii="Times New Roman" w:hAnsi="Times New Roman" w:eastAsia="Arial Unicode MS" w:cs="Times New Roman"/>
                <w:b/>
                <w:i/>
                <w:iCs/>
                <w:kern w:val="0"/>
                <w:sz w:val="22"/>
                <w:szCs w:val="22"/>
              </w:rPr>
            </w:pPr>
            <w:r>
              <w:rPr>
                <w:rFonts w:hint="default" w:ascii="Times New Roman" w:hAnsi="Times New Roman" w:eastAsia="Arial Unicode MS" w:cs="Times New Roman"/>
                <w:b/>
                <w:i/>
                <w:iCs/>
                <w:kern w:val="0"/>
                <w:sz w:val="22"/>
                <w:szCs w:val="22"/>
              </w:rPr>
              <w:t>0.011</w:t>
            </w:r>
          </w:p>
        </w:tc>
      </w:tr>
    </w:tbl>
    <w:p>
      <w:pPr>
        <w:spacing w:line="480" w:lineRule="auto"/>
        <w:rPr>
          <w:rFonts w:hint="default" w:ascii="Times New Roman" w:hAnsi="Times New Roman" w:eastAsia="Arial Unicode MS" w:cs="Times New Roman"/>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p>
      <w:pPr>
        <w:spacing w:line="480" w:lineRule="auto"/>
        <w:jc w:val="center"/>
        <w:rPr>
          <w:rFonts w:hint="default" w:ascii="Times New Roman" w:hAnsi="Times New Roman" w:eastAsia="Arial Unicode MS" w:cs="Times New Roman"/>
          <w:b/>
          <w:sz w:val="20"/>
          <w:szCs w:val="20"/>
        </w:rPr>
      </w:pPr>
      <w:r>
        <w:rPr>
          <w:rFonts w:hint="default" w:ascii="Times New Roman" w:hAnsi="Times New Roman" w:eastAsia="Arial Unicode MS" w:cs="Times New Roman"/>
          <w:b/>
          <w:sz w:val="20"/>
          <w:szCs w:val="20"/>
        </w:rPr>
        <w:drawing>
          <wp:inline distT="0" distB="0" distL="0" distR="0">
            <wp:extent cx="6294755" cy="49625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10821" cy="4975110"/>
                    </a:xfrm>
                    <a:prstGeom prst="rect">
                      <a:avLst/>
                    </a:prstGeom>
                  </pic:spPr>
                </pic:pic>
              </a:graphicData>
            </a:graphic>
          </wp:inline>
        </w:drawing>
      </w:r>
    </w:p>
    <w:p>
      <w:pPr>
        <w:spacing w:line="480" w:lineRule="auto"/>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Cs/>
          <w:sz w:val="20"/>
          <w:szCs w:val="20"/>
        </w:rPr>
        <w:t xml:space="preserve"> Rarefaction curve based on Shannon index</w:t>
      </w: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sectPr>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pPr>
    </w:p>
    <w:p>
      <w:pPr>
        <w:spacing w:line="480" w:lineRule="auto"/>
        <w:rPr>
          <w:rFonts w:hint="default" w:ascii="Times New Roman" w:hAnsi="Times New Roman" w:eastAsia="Arial Unicode MS" w:cs="Times New Roman"/>
          <w:sz w:val="20"/>
          <w:szCs w:val="20"/>
        </w:rPr>
      </w:pPr>
    </w:p>
    <w:p>
      <w:pPr>
        <w:spacing w:line="480" w:lineRule="auto"/>
        <w:jc w:val="center"/>
        <w:rPr>
          <w:rFonts w:hint="default" w:ascii="Times New Roman" w:hAnsi="Times New Roman" w:eastAsia="Arial Unicode MS" w:cs="Times New Roman"/>
          <w:sz w:val="20"/>
          <w:szCs w:val="20"/>
        </w:rPr>
      </w:pPr>
      <w:r>
        <w:rPr>
          <w:rFonts w:hint="default" w:ascii="Times New Roman" w:hAnsi="Times New Roman" w:eastAsia="Arial Unicode MS" w:cs="Times New Roman"/>
          <w:sz w:val="20"/>
          <w:szCs w:val="20"/>
        </w:rPr>
        <w:drawing>
          <wp:inline distT="0" distB="0" distL="0" distR="0">
            <wp:extent cx="4189730" cy="4144645"/>
            <wp:effectExtent l="0" t="0" r="127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01804" cy="4156781"/>
                    </a:xfrm>
                    <a:prstGeom prst="rect">
                      <a:avLst/>
                    </a:prstGeom>
                  </pic:spPr>
                </pic:pic>
              </a:graphicData>
            </a:graphic>
          </wp:inline>
        </w:drawing>
      </w:r>
    </w:p>
    <w:p>
      <w:pPr>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r>
        <w:rPr>
          <w:rFonts w:hint="default" w:ascii="Times New Roman" w:hAnsi="Times New Roman" w:eastAsia="Arial Unicode MS" w:cs="Times New Roman"/>
          <w:b/>
          <w:bCs w:val="0"/>
          <w:sz w:val="20"/>
          <w:szCs w:val="20"/>
        </w:rPr>
        <w:t>Fig. S2</w:t>
      </w:r>
      <w:r>
        <w:rPr>
          <w:rFonts w:hint="default" w:ascii="Times New Roman" w:hAnsi="Times New Roman" w:eastAsia="Arial Unicode MS" w:cs="Times New Roman"/>
          <w:sz w:val="20"/>
          <w:szCs w:val="20"/>
        </w:rPr>
        <w:t xml:space="preserve"> Neutral model was used to assess the randomness of ant gut bacterial community construction. R</w:t>
      </w:r>
      <w:r>
        <w:rPr>
          <w:rFonts w:hint="default" w:ascii="Times New Roman" w:hAnsi="Times New Roman" w:eastAsia="Arial Unicode MS" w:cs="Times New Roman"/>
          <w:sz w:val="20"/>
          <w:szCs w:val="20"/>
          <w:vertAlign w:val="superscript"/>
        </w:rPr>
        <w:t>2</w:t>
      </w:r>
      <w:r>
        <w:rPr>
          <w:rFonts w:hint="default" w:ascii="Times New Roman" w:hAnsi="Times New Roman" w:eastAsia="Arial Unicode MS" w:cs="Times New Roman"/>
          <w:sz w:val="20"/>
          <w:szCs w:val="20"/>
        </w:rPr>
        <w:t xml:space="preserve"> indicated the overall priority fit for the neutral model. m indicates the estimated migration rate. The solid blue line indicated the best-fit to the Sloan neutral model, and dashed blue lines represented 95% confidence intervals around the model prediction.</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spacing w:line="480" w:lineRule="auto"/>
        <w:jc w:val="center"/>
        <w:rPr>
          <w:rFonts w:hint="default" w:ascii="Times New Roman" w:hAnsi="Times New Roman" w:eastAsia="Arial Unicode MS" w:cs="Times New Roman"/>
          <w:b/>
          <w:sz w:val="20"/>
          <w:szCs w:val="20"/>
        </w:rPr>
      </w:pPr>
      <w:r>
        <w:rPr>
          <w:rFonts w:hint="default" w:ascii="Times New Roman" w:hAnsi="Times New Roman" w:eastAsia="Arial Unicode MS" w:cs="Times New Roman"/>
          <w:b/>
          <w:sz w:val="20"/>
          <w:szCs w:val="20"/>
        </w:rPr>
        <w:drawing>
          <wp:inline distT="0" distB="0" distL="0" distR="0">
            <wp:extent cx="6247765" cy="3256915"/>
            <wp:effectExtent l="0" t="0" r="63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47871" cy="3257077"/>
                    </a:xfrm>
                    <a:prstGeom prst="rect">
                      <a:avLst/>
                    </a:prstGeom>
                  </pic:spPr>
                </pic:pic>
              </a:graphicData>
            </a:graphic>
          </wp:inline>
        </w:drawing>
      </w:r>
    </w:p>
    <w:p>
      <w:pPr>
        <w:spacing w:line="480" w:lineRule="auto"/>
        <w:rPr>
          <w:rFonts w:hint="default" w:ascii="Times New Roman" w:hAnsi="Times New Roman" w:eastAsia="Arial Unicode MS" w:cs="Times New Roman"/>
          <w:b/>
          <w:sz w:val="20"/>
          <w:szCs w:val="20"/>
        </w:rPr>
      </w:pPr>
      <w:r>
        <w:rPr>
          <w:rFonts w:hint="default" w:ascii="Times New Roman" w:hAnsi="Times New Roman" w:eastAsia="Arial Unicode MS" w:cs="Times New Roman"/>
          <w:b/>
          <w:bCs/>
          <w:sz w:val="20"/>
          <w:szCs w:val="20"/>
        </w:rPr>
        <w:t>Fig. S3</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R</w:t>
      </w:r>
      <w:r>
        <w:rPr>
          <w:rFonts w:hint="default" w:ascii="Times New Roman" w:hAnsi="Times New Roman" w:eastAsia="Arial Unicode MS" w:cs="Times New Roman"/>
          <w:bCs/>
          <w:sz w:val="20"/>
          <w:szCs w:val="20"/>
        </w:rPr>
        <w:t>elative abundance of ant-gut dominant bacteria in each colony at family level</w:t>
      </w:r>
      <w:r>
        <w:rPr>
          <w:rFonts w:hint="default" w:ascii="Times New Roman" w:hAnsi="Times New Roman" w:eastAsia="Arial Unicode MS" w:cs="Times New Roman"/>
          <w:bCs/>
          <w:sz w:val="20"/>
          <w:szCs w:val="20"/>
        </w:rPr>
        <w:t xml:space="preserve">. Others represent </w:t>
      </w:r>
      <w:r>
        <w:rPr>
          <w:rFonts w:hint="default" w:ascii="Times New Roman" w:hAnsi="Times New Roman" w:eastAsia="Arial Unicode MS" w:cs="Times New Roman"/>
          <w:bCs/>
          <w:sz w:val="20"/>
          <w:szCs w:val="20"/>
        </w:rPr>
        <w:t xml:space="preserve">bacteria with a relative abundance of less than </w:t>
      </w:r>
      <w:r>
        <w:rPr>
          <w:rFonts w:hint="default" w:ascii="Times New Roman" w:hAnsi="Times New Roman" w:eastAsia="Arial Unicode MS" w:cs="Times New Roman"/>
          <w:bCs/>
          <w:sz w:val="20"/>
          <w:szCs w:val="20"/>
        </w:rPr>
        <w:t>5</w:t>
      </w:r>
      <w:r>
        <w:rPr>
          <w:rFonts w:hint="default" w:ascii="Times New Roman" w:hAnsi="Times New Roman" w:eastAsia="Arial Unicode MS" w:cs="Times New Roman"/>
          <w:bCs/>
          <w:sz w:val="20"/>
          <w:szCs w:val="20"/>
        </w:rPr>
        <w:t>%</w:t>
      </w:r>
      <w:r>
        <w:rPr>
          <w:rFonts w:hint="default" w:ascii="Times New Roman" w:hAnsi="Times New Roman" w:eastAsia="Arial Unicode MS" w:cs="Times New Roman"/>
          <w:bCs/>
          <w:sz w:val="20"/>
          <w:szCs w:val="20"/>
        </w:rPr>
        <w:t xml:space="preserve">. </w:t>
      </w:r>
    </w:p>
    <w:p>
      <w:pPr>
        <w:spacing w:line="480" w:lineRule="auto"/>
        <w:rPr>
          <w:rFonts w:hint="default" w:ascii="Times New Roman" w:hAnsi="Times New Roman" w:eastAsia="Arial Unicode MS" w:cs="Times New Roman"/>
          <w:b/>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r>
        <w:rPr>
          <w:rFonts w:hint="default" w:ascii="Times New Roman" w:hAnsi="Times New Roman" w:eastAsia="Arial Unicode MS" w:cs="Times New Roman"/>
          <w:b/>
          <w:sz w:val="20"/>
          <w:szCs w:val="20"/>
        </w:rPr>
        <w:drawing>
          <wp:inline distT="0" distB="0" distL="0" distR="0">
            <wp:extent cx="5274310" cy="34048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404870"/>
                    </a:xfrm>
                    <a:prstGeom prst="rect">
                      <a:avLst/>
                    </a:prstGeom>
                  </pic:spPr>
                </pic:pic>
              </a:graphicData>
            </a:graphic>
          </wp:inline>
        </w:drawing>
      </w:r>
      <w:r>
        <w:rPr>
          <w:rFonts w:hint="default" w:ascii="Times New Roman" w:hAnsi="Times New Roman" w:eastAsia="Arial Unicode MS" w:cs="Times New Roman"/>
          <w:b/>
          <w:bCs/>
          <w:sz w:val="20"/>
          <w:szCs w:val="20"/>
        </w:rPr>
        <w:t>Fig. S4</w:t>
      </w:r>
      <w:r>
        <w:rPr>
          <w:rFonts w:hint="default" w:ascii="Times New Roman" w:hAnsi="Times New Roman" w:eastAsia="Arial Unicode MS" w:cs="Times New Roman"/>
          <w:bCs/>
          <w:sz w:val="20"/>
          <w:szCs w:val="20"/>
        </w:rPr>
        <w:t xml:space="preserve"> Effects of diet on dominant gut bacteria phyla in ants. The top 50 bacteria </w:t>
      </w:r>
      <w:r>
        <w:rPr>
          <w:rFonts w:hint="default" w:ascii="Times New Roman" w:hAnsi="Times New Roman" w:eastAsia="Arial Unicode MS" w:cs="Times New Roman"/>
          <w:bCs/>
          <w:sz w:val="20"/>
          <w:szCs w:val="20"/>
        </w:rPr>
        <w:t xml:space="preserve">phyla </w:t>
      </w:r>
      <w:r>
        <w:rPr>
          <w:rFonts w:hint="default" w:ascii="Times New Roman" w:hAnsi="Times New Roman" w:eastAsia="Arial Unicode MS" w:cs="Times New Roman"/>
          <w:bCs/>
          <w:sz w:val="20"/>
          <w:szCs w:val="20"/>
        </w:rPr>
        <w:t>in relative abundance are shown</w:t>
      </w:r>
      <w:r>
        <w:rPr>
          <w:rFonts w:hint="default" w:ascii="Times New Roman" w:hAnsi="Times New Roman" w:eastAsia="Arial Unicode MS" w:cs="Times New Roman"/>
          <w:bCs/>
          <w:sz w:val="20"/>
          <w:szCs w:val="20"/>
        </w:rPr>
        <w:t>.</w:t>
      </w: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b/>
          <w:sz w:val="20"/>
          <w:szCs w:val="20"/>
        </w:rPr>
      </w:pPr>
      <w:r>
        <w:rPr>
          <w:rFonts w:hint="default" w:ascii="Times New Roman" w:hAnsi="Times New Roman" w:eastAsia="Arial Unicode MS" w:cs="Times New Roman"/>
          <w:b/>
          <w:sz w:val="20"/>
          <w:szCs w:val="20"/>
        </w:rPr>
        <w:drawing>
          <wp:inline distT="0" distB="0" distL="0" distR="0">
            <wp:extent cx="5274310" cy="331343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313430"/>
                    </a:xfrm>
                    <a:prstGeom prst="rect">
                      <a:avLst/>
                    </a:prstGeom>
                  </pic:spPr>
                </pic:pic>
              </a:graphicData>
            </a:graphic>
          </wp:inline>
        </w:drawing>
      </w:r>
    </w:p>
    <w:p>
      <w:pPr>
        <w:spacing w:line="480" w:lineRule="auto"/>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S5</w:t>
      </w:r>
      <w:r>
        <w:rPr>
          <w:rFonts w:hint="default" w:ascii="Times New Roman" w:hAnsi="Times New Roman" w:eastAsia="Arial Unicode MS" w:cs="Times New Roman"/>
          <w:bCs/>
          <w:sz w:val="20"/>
          <w:szCs w:val="20"/>
        </w:rPr>
        <w:t xml:space="preserve"> Effects of phylogeny on dominant gut bacteria phyla in ants. The top 50 bacteria </w:t>
      </w:r>
      <w:r>
        <w:rPr>
          <w:rFonts w:hint="default" w:ascii="Times New Roman" w:hAnsi="Times New Roman" w:eastAsia="Arial Unicode MS" w:cs="Times New Roman"/>
          <w:bCs/>
          <w:sz w:val="20"/>
          <w:szCs w:val="20"/>
        </w:rPr>
        <w:t xml:space="preserve">phyla </w:t>
      </w:r>
      <w:r>
        <w:rPr>
          <w:rFonts w:hint="default" w:ascii="Times New Roman" w:hAnsi="Times New Roman" w:eastAsia="Arial Unicode MS" w:cs="Times New Roman"/>
          <w:bCs/>
          <w:sz w:val="20"/>
          <w:szCs w:val="20"/>
        </w:rPr>
        <w:t>in relative abundance are shown</w:t>
      </w:r>
      <w:r>
        <w:rPr>
          <w:rFonts w:hint="default" w:ascii="Times New Roman" w:hAnsi="Times New Roman" w:eastAsia="Arial Unicode MS" w:cs="Times New Roman"/>
          <w:bCs/>
          <w:sz w:val="20"/>
          <w:szCs w:val="20"/>
        </w:rPr>
        <w:t>.</w:t>
      </w:r>
    </w:p>
    <w:p>
      <w:pPr>
        <w:spacing w:line="480" w:lineRule="auto"/>
        <w:rPr>
          <w:rFonts w:hint="default" w:ascii="Times New Roman" w:hAnsi="Times New Roman" w:eastAsia="Arial Unicode MS" w:cs="Times New Roman"/>
          <w:b/>
          <w:sz w:val="20"/>
          <w:szCs w:val="20"/>
        </w:rPr>
      </w:pPr>
    </w:p>
    <w:p>
      <w:pPr>
        <w:spacing w:line="480" w:lineRule="auto"/>
        <w:rPr>
          <w:rFonts w:hint="default" w:ascii="Times New Roman" w:hAnsi="Times New Roman" w:eastAsia="Arial Unicode MS" w:cs="Times New Roman"/>
          <w:sz w:val="20"/>
          <w:szCs w:val="20"/>
        </w:rPr>
      </w:pPr>
      <w:r>
        <w:rPr>
          <w:rFonts w:hint="default" w:ascii="Times New Roman" w:hAnsi="Times New Roman" w:eastAsia="Arial Unicode MS" w:cs="Times New Roman"/>
          <w:b/>
          <w:sz w:val="20"/>
          <w:szCs w:val="20"/>
        </w:rPr>
        <w:drawing>
          <wp:inline distT="0" distB="0" distL="0" distR="0">
            <wp:extent cx="6129655" cy="4086225"/>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35719" cy="4090234"/>
                    </a:xfrm>
                    <a:prstGeom prst="rect">
                      <a:avLst/>
                    </a:prstGeom>
                  </pic:spPr>
                </pic:pic>
              </a:graphicData>
            </a:graphic>
          </wp:inline>
        </w:drawing>
      </w:r>
    </w:p>
    <w:p>
      <w:pPr>
        <w:spacing w:line="480" w:lineRule="auto"/>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S6</w:t>
      </w:r>
      <w:r>
        <w:rPr>
          <w:rFonts w:hint="default" w:ascii="Times New Roman" w:hAnsi="Times New Roman" w:eastAsia="Arial Unicode MS" w:cs="Times New Roman"/>
          <w:bCs/>
          <w:sz w:val="20"/>
          <w:szCs w:val="20"/>
        </w:rPr>
        <w:t xml:space="preserve"> Ternary phase diagr</w:t>
      </w:r>
      <w:bookmarkStart w:id="5" w:name="_GoBack"/>
      <w:bookmarkEnd w:id="5"/>
      <w:r>
        <w:rPr>
          <w:rFonts w:hint="default" w:ascii="Times New Roman" w:hAnsi="Times New Roman" w:eastAsia="Arial Unicode MS" w:cs="Times New Roman"/>
          <w:bCs/>
          <w:sz w:val="20"/>
          <w:szCs w:val="20"/>
        </w:rPr>
        <w:t>ams showed the role of diet (</w:t>
      </w:r>
      <w:r>
        <w:rPr>
          <w:rFonts w:hint="default" w:ascii="Times New Roman" w:hAnsi="Times New Roman" w:eastAsia="Arial Unicode MS" w:cs="Times New Roman"/>
          <w:bCs/>
          <w:sz w:val="20"/>
          <w:szCs w:val="20"/>
        </w:rPr>
        <w:t>A</w:t>
      </w:r>
      <w:r>
        <w:rPr>
          <w:rFonts w:hint="default" w:ascii="Times New Roman" w:hAnsi="Times New Roman" w:eastAsia="Arial Unicode MS" w:cs="Times New Roman"/>
          <w:bCs/>
          <w:sz w:val="20"/>
          <w:szCs w:val="20"/>
        </w:rPr>
        <w:t>) and phylogeny (</w:t>
      </w:r>
      <w:r>
        <w:rPr>
          <w:rFonts w:hint="default" w:ascii="Times New Roman" w:hAnsi="Times New Roman" w:eastAsia="Arial Unicode MS" w:cs="Times New Roman"/>
          <w:bCs/>
          <w:sz w:val="20"/>
          <w:szCs w:val="20"/>
        </w:rPr>
        <w:t>B</w:t>
      </w:r>
      <w:r>
        <w:rPr>
          <w:rFonts w:hint="default" w:ascii="Times New Roman" w:hAnsi="Times New Roman" w:eastAsia="Arial Unicode MS" w:cs="Times New Roman"/>
          <w:bCs/>
          <w:sz w:val="20"/>
          <w:szCs w:val="20"/>
        </w:rPr>
        <w:t>) in shaping specific bacterial purposes. The closer the bacterial point in the figure is to an endpoint, the stronger the factor represented by the endpoint plays on the specific formation of bacteria order</w:t>
      </w:r>
      <w:r>
        <w:rPr>
          <w:rFonts w:hint="default" w:ascii="Times New Roman" w:hAnsi="Times New Roman" w:eastAsia="Arial Unicode MS" w:cs="Times New Roman"/>
          <w:bCs/>
          <w:sz w:val="20"/>
          <w:szCs w:val="20"/>
        </w:rPr>
        <w:t>. Others r</w:t>
      </w:r>
      <w:r>
        <w:rPr>
          <w:rFonts w:hint="default" w:ascii="Times New Roman" w:hAnsi="Times New Roman" w:eastAsia="Arial Unicode MS" w:cs="Times New Roman"/>
          <w:bCs/>
          <w:sz w:val="20"/>
          <w:szCs w:val="20"/>
        </w:rPr>
        <w:t>epresent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bacteria</w:t>
      </w:r>
      <w:r>
        <w:rPr>
          <w:rFonts w:hint="default" w:ascii="Times New Roman" w:hAnsi="Times New Roman" w:eastAsia="Arial Unicode MS" w:cs="Times New Roman"/>
          <w:bCs/>
          <w:sz w:val="20"/>
          <w:szCs w:val="20"/>
        </w:rPr>
        <w:t xml:space="preserve"> orders</w:t>
      </w:r>
      <w:r>
        <w:rPr>
          <w:rFonts w:hint="default" w:ascii="Times New Roman" w:hAnsi="Times New Roman" w:eastAsia="Arial Unicode MS" w:cs="Times New Roman"/>
          <w:bCs/>
          <w:sz w:val="20"/>
          <w:szCs w:val="20"/>
        </w:rPr>
        <w:t xml:space="preserve"> with a relative abundance of less than </w:t>
      </w:r>
      <w:r>
        <w:rPr>
          <w:rFonts w:hint="default" w:ascii="Times New Roman" w:hAnsi="Times New Roman" w:eastAsia="Arial Unicode MS" w:cs="Times New Roman"/>
          <w:bCs/>
          <w:sz w:val="20"/>
          <w:szCs w:val="20"/>
        </w:rPr>
        <w:t>5</w:t>
      </w:r>
      <w:r>
        <w:rPr>
          <w:rFonts w:hint="default" w:ascii="Times New Roman" w:hAnsi="Times New Roman" w:eastAsia="Arial Unicode MS" w:cs="Times New Roman"/>
          <w:bCs/>
          <w:sz w:val="20"/>
          <w:szCs w:val="20"/>
        </w:rPr>
        <w:t>%</w:t>
      </w:r>
      <w:r>
        <w:rPr>
          <w:rFonts w:hint="default" w:ascii="Times New Roman" w:hAnsi="Times New Roman" w:eastAsia="Arial Unicode MS" w:cs="Times New Roman"/>
          <w:bCs/>
          <w:sz w:val="20"/>
          <w:szCs w:val="20"/>
        </w:rPr>
        <w:t>.</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b/>
          <w:sz w:val="20"/>
          <w:szCs w:val="20"/>
        </w:rPr>
      </w:pPr>
      <w:r>
        <w:rPr>
          <w:rFonts w:hint="default" w:ascii="Times New Roman" w:hAnsi="Times New Roman" w:eastAsia="Arial Unicode MS" w:cs="Times New Roman"/>
          <w:b/>
          <w:sz w:val="20"/>
          <w:szCs w:val="20"/>
        </w:rPr>
        <w:drawing>
          <wp:inline distT="0" distB="0" distL="0" distR="0">
            <wp:extent cx="5274310" cy="612775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127750"/>
                    </a:xfrm>
                    <a:prstGeom prst="rect">
                      <a:avLst/>
                    </a:prstGeom>
                  </pic:spPr>
                </pic:pic>
              </a:graphicData>
            </a:graphic>
          </wp:inline>
        </w:drawing>
      </w:r>
    </w:p>
    <w:p>
      <w:pPr>
        <w:rPr>
          <w:rFonts w:hint="default" w:ascii="Times New Roman" w:hAnsi="Times New Roman" w:eastAsia="Arial Unicode MS" w:cs="Times New Roman"/>
          <w:sz w:val="20"/>
          <w:szCs w:val="20"/>
        </w:rPr>
      </w:pPr>
      <w:r>
        <w:rPr>
          <w:rFonts w:hint="default" w:ascii="Times New Roman" w:hAnsi="Times New Roman" w:eastAsia="Arial Unicode MS" w:cs="Times New Roman"/>
          <w:b/>
          <w:bCs/>
          <w:sz w:val="20"/>
          <w:szCs w:val="20"/>
        </w:rPr>
        <w:t>Fig. S7</w:t>
      </w:r>
      <w:r>
        <w:rPr>
          <w:rFonts w:hint="default" w:ascii="Times New Roman" w:hAnsi="Times New Roman" w:eastAsia="Arial Unicode MS" w:cs="Times New Roman"/>
          <w:bCs/>
          <w:sz w:val="20"/>
          <w:szCs w:val="20"/>
        </w:rPr>
        <w:t xml:space="preserve"> Among the top 10 bacterial phyla in relative abundance, </w:t>
      </w:r>
      <w:r>
        <w:rPr>
          <w:rFonts w:hint="default" w:ascii="Times New Roman" w:hAnsi="Times New Roman" w:eastAsia="Arial Unicode MS" w:cs="Times New Roman"/>
          <w:bCs/>
          <w:sz w:val="20"/>
          <w:szCs w:val="20"/>
        </w:rPr>
        <w:t>A</w:t>
      </w:r>
      <w:r>
        <w:rPr>
          <w:rFonts w:hint="default" w:ascii="Times New Roman" w:hAnsi="Times New Roman" w:eastAsia="Arial Unicode MS" w:cs="Times New Roman"/>
          <w:bCs/>
          <w:sz w:val="20"/>
          <w:szCs w:val="20"/>
        </w:rPr>
        <w:t xml:space="preserve"> show</w:t>
      </w:r>
      <w:r>
        <w:rPr>
          <w:rFonts w:hint="default" w:ascii="Times New Roman" w:hAnsi="Times New Roman" w:eastAsia="Arial Unicode MS" w:cs="Times New Roman"/>
          <w:bCs/>
          <w:sz w:val="20"/>
          <w:szCs w:val="20"/>
        </w:rPr>
        <w:t>ed</w:t>
      </w:r>
      <w:r>
        <w:rPr>
          <w:rFonts w:hint="default" w:ascii="Times New Roman" w:hAnsi="Times New Roman" w:eastAsia="Arial Unicode MS" w:cs="Times New Roman"/>
          <w:bCs/>
          <w:sz w:val="20"/>
          <w:szCs w:val="20"/>
        </w:rPr>
        <w:t xml:space="preserve"> that only 5 phyla have significant differences</w:t>
      </w:r>
      <w:r>
        <w:rPr>
          <w:rFonts w:hint="default" w:ascii="Times New Roman" w:hAnsi="Times New Roman" w:eastAsia="Arial Unicode MS" w:cs="Times New Roman"/>
          <w:bCs/>
          <w:sz w:val="20"/>
          <w:szCs w:val="20"/>
        </w:rPr>
        <w:t xml:space="preserve"> in ant-diet group, B </w:t>
      </w:r>
      <w:r>
        <w:rPr>
          <w:rFonts w:hint="default" w:ascii="Times New Roman" w:hAnsi="Times New Roman" w:eastAsia="Arial Unicode MS" w:cs="Times New Roman"/>
          <w:bCs/>
          <w:sz w:val="20"/>
          <w:szCs w:val="20"/>
        </w:rPr>
        <w:t>show</w:t>
      </w:r>
      <w:r>
        <w:rPr>
          <w:rFonts w:hint="default" w:ascii="Times New Roman" w:hAnsi="Times New Roman" w:eastAsia="Arial Unicode MS" w:cs="Times New Roman"/>
          <w:bCs/>
          <w:sz w:val="20"/>
          <w:szCs w:val="20"/>
        </w:rPr>
        <w:t>ed</w:t>
      </w:r>
      <w:r>
        <w:rPr>
          <w:rFonts w:hint="default" w:ascii="Times New Roman" w:hAnsi="Times New Roman" w:eastAsia="Arial Unicode MS" w:cs="Times New Roman"/>
          <w:bCs/>
          <w:sz w:val="20"/>
          <w:szCs w:val="20"/>
        </w:rPr>
        <w:t xml:space="preserve"> significant differences in all </w:t>
      </w:r>
      <w:r>
        <w:rPr>
          <w:rFonts w:hint="default" w:ascii="Times New Roman" w:hAnsi="Times New Roman" w:eastAsia="Arial Unicode MS" w:cs="Times New Roman"/>
          <w:bCs/>
          <w:sz w:val="20"/>
          <w:szCs w:val="20"/>
        </w:rPr>
        <w:t xml:space="preserve">10 </w:t>
      </w:r>
      <w:r>
        <w:rPr>
          <w:rFonts w:hint="default" w:ascii="Times New Roman" w:hAnsi="Times New Roman" w:eastAsia="Arial Unicode MS" w:cs="Times New Roman"/>
          <w:bCs/>
          <w:sz w:val="20"/>
          <w:szCs w:val="20"/>
        </w:rPr>
        <w:t>phyla</w:t>
      </w:r>
      <w:r>
        <w:rPr>
          <w:rFonts w:hint="default" w:ascii="Times New Roman" w:hAnsi="Times New Roman" w:eastAsia="Arial Unicode MS" w:cs="Times New Roman"/>
          <w:bCs/>
          <w:sz w:val="20"/>
          <w:szCs w:val="20"/>
        </w:rPr>
        <w:t xml:space="preserve"> in ant-</w:t>
      </w:r>
      <w:r>
        <w:rPr>
          <w:rFonts w:hint="default" w:ascii="Times New Roman" w:hAnsi="Times New Roman" w:eastAsia="Arial Unicode MS" w:cs="Times New Roman"/>
          <w:bCs/>
          <w:sz w:val="20"/>
          <w:szCs w:val="20"/>
        </w:rPr>
        <w:t>phylogeny</w:t>
      </w:r>
      <w:r>
        <w:rPr>
          <w:rFonts w:hint="default" w:ascii="Times New Roman" w:hAnsi="Times New Roman" w:eastAsia="Arial Unicode MS" w:cs="Times New Roman"/>
          <w:bCs/>
          <w:sz w:val="20"/>
          <w:szCs w:val="20"/>
        </w:rPr>
        <w:t xml:space="preserve"> group. </w:t>
      </w:r>
      <w:r>
        <w:rPr>
          <w:rFonts w:hint="default" w:ascii="Times New Roman" w:hAnsi="Times New Roman" w:eastAsia="Arial Unicode MS" w:cs="Times New Roman"/>
          <w:bCs/>
          <w:sz w:val="20"/>
          <w:szCs w:val="20"/>
        </w:rPr>
        <w:t xml:space="preserve">* on behalf of </w:t>
      </w:r>
      <w:r>
        <w:rPr>
          <w:rFonts w:hint="default" w:ascii="Times New Roman" w:hAnsi="Times New Roman" w:eastAsia="Arial Unicode MS" w:cs="Times New Roman"/>
          <w:bCs/>
          <w:i/>
          <w:iCs/>
          <w:sz w:val="20"/>
          <w:szCs w:val="20"/>
        </w:rPr>
        <w:t>P</w:t>
      </w:r>
      <w:r>
        <w:rPr>
          <w:rFonts w:hint="default" w:ascii="Times New Roman" w:hAnsi="Times New Roman" w:eastAsia="Arial Unicode MS" w:cs="Times New Roman"/>
          <w:bCs/>
          <w:i/>
          <w:iCs/>
          <w:sz w:val="20"/>
          <w:szCs w:val="20"/>
        </w:rPr>
        <w:t xml:space="preserve"> </w:t>
      </w:r>
      <w:r>
        <w:rPr>
          <w:rFonts w:hint="default" w:ascii="Times New Roman" w:hAnsi="Times New Roman" w:eastAsia="Arial Unicode MS" w:cs="Times New Roman"/>
          <w:bCs/>
          <w:sz w:val="20"/>
          <w:szCs w:val="20"/>
        </w:rPr>
        <w:t>&lt;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 xml:space="preserve">0.05, ** on behalf of </w:t>
      </w:r>
      <w:r>
        <w:rPr>
          <w:rFonts w:hint="default" w:ascii="Times New Roman" w:hAnsi="Times New Roman" w:eastAsia="Arial Unicode MS" w:cs="Times New Roman"/>
          <w:bCs/>
          <w:i/>
          <w:iCs/>
          <w:sz w:val="20"/>
          <w:szCs w:val="20"/>
        </w:rPr>
        <w:t>P</w:t>
      </w:r>
      <w:r>
        <w:rPr>
          <w:rFonts w:hint="default" w:ascii="Times New Roman" w:hAnsi="Times New Roman" w:eastAsia="Arial Unicode MS" w:cs="Times New Roman"/>
          <w:bCs/>
          <w:i/>
          <w:iCs/>
          <w:sz w:val="20"/>
          <w:szCs w:val="20"/>
        </w:rPr>
        <w:t xml:space="preserve"> </w:t>
      </w:r>
      <w:r>
        <w:rPr>
          <w:rFonts w:hint="default" w:ascii="Times New Roman" w:hAnsi="Times New Roman" w:eastAsia="Arial Unicode MS" w:cs="Times New Roman"/>
          <w:bCs/>
          <w:sz w:val="20"/>
          <w:szCs w:val="20"/>
        </w:rPr>
        <w:t>&lt;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 xml:space="preserve">0.01, *** on behalf of </w:t>
      </w:r>
      <w:r>
        <w:rPr>
          <w:rFonts w:hint="default" w:ascii="Times New Roman" w:hAnsi="Times New Roman" w:eastAsia="Arial Unicode MS" w:cs="Times New Roman"/>
          <w:bCs/>
          <w:i/>
          <w:iCs/>
          <w:sz w:val="20"/>
          <w:szCs w:val="20"/>
        </w:rPr>
        <w:t>P</w:t>
      </w:r>
      <w:r>
        <w:rPr>
          <w:rFonts w:hint="default" w:ascii="Times New Roman" w:hAnsi="Times New Roman" w:eastAsia="Arial Unicode MS" w:cs="Times New Roman"/>
          <w:bCs/>
          <w:i/>
          <w:iCs/>
          <w:sz w:val="20"/>
          <w:szCs w:val="20"/>
        </w:rPr>
        <w:t xml:space="preserve"> </w:t>
      </w:r>
      <w:r>
        <w:rPr>
          <w:rFonts w:hint="default" w:ascii="Times New Roman" w:hAnsi="Times New Roman" w:eastAsia="Arial Unicode MS" w:cs="Times New Roman"/>
          <w:bCs/>
          <w:sz w:val="20"/>
          <w:szCs w:val="20"/>
        </w:rPr>
        <w:t>&lt;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0.001.</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688530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885305"/>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w:t>
      </w:r>
      <w:r>
        <w:rPr>
          <w:rFonts w:hint="default" w:ascii="Times New Roman" w:hAnsi="Times New Roman" w:eastAsia="Arial Unicode MS" w:cs="Times New Roman"/>
          <w:b/>
          <w:bCs/>
          <w:sz w:val="20"/>
          <w:szCs w:val="20"/>
        </w:rPr>
        <w:t>8</w:t>
      </w:r>
      <w:r>
        <w:rPr>
          <w:rFonts w:hint="default" w:ascii="Times New Roman" w:hAnsi="Times New Roman" w:eastAsia="Arial Unicode MS" w:cs="Times New Roman"/>
          <w:bCs/>
          <w:sz w:val="20"/>
          <w:szCs w:val="20"/>
        </w:rPr>
        <w:t xml:space="preserve"> Differences in alpha diversity (Shannon) index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 xml:space="preserve">75% </w:t>
      </w:r>
      <w:r>
        <w:rPr>
          <w:rFonts w:hint="default" w:ascii="Times New Roman" w:hAnsi="Times New Roman" w:eastAsia="Arial Unicode MS" w:cs="Times New Roman"/>
          <w:bCs/>
          <w:sz w:val="20"/>
          <w:szCs w:val="20"/>
        </w:rPr>
        <w:t>core bacterial community</w:t>
      </w:r>
      <w:r>
        <w:rPr>
          <w:rFonts w:hint="default" w:ascii="Times New Roman" w:hAnsi="Times New Roman" w:eastAsia="Arial Unicode MS" w:cs="Times New Roman"/>
          <w:bCs/>
          <w:sz w:val="20"/>
          <w:szCs w:val="20"/>
        </w:rPr>
        <w:t xml:space="preserve"> at</w:t>
      </w:r>
      <w:r>
        <w:rPr>
          <w:rFonts w:hint="default" w:ascii="Times New Roman" w:hAnsi="Times New Roman" w:eastAsia="Arial Unicode MS" w:cs="Times New Roman"/>
          <w:bCs/>
          <w:sz w:val="20"/>
          <w:szCs w:val="20"/>
        </w:rPr>
        <w:t xml:space="preserve"> OTU</w:t>
      </w:r>
      <w:r>
        <w:rPr>
          <w:rFonts w:hint="default" w:ascii="Times New Roman" w:hAnsi="Times New Roman" w:eastAsia="Arial Unicode MS" w:cs="Times New Roman"/>
          <w:bCs/>
          <w:sz w:val="20"/>
          <w:szCs w:val="20"/>
        </w:rPr>
        <w:t xml:space="preserve"> level</w:t>
      </w:r>
      <w:r>
        <w:rPr>
          <w:rFonts w:hint="default" w:ascii="Times New Roman" w:hAnsi="Times New Roman" w:eastAsia="Arial Unicode MS" w:cs="Times New Roman"/>
          <w:bCs/>
          <w:sz w:val="20"/>
          <w:szCs w:val="20"/>
        </w:rPr>
        <w:t>. A, the Shannon index differences of the three differ diets. B, the Shannon differences between herbivorous and omnivorous ants in Myrmicinae. C-D, the Shannon index differences of seven subfamilies and three main subfamilies. E-F, the Shannon index differences of three omnivorous subfamilies and four carnivorous subfamilies.</w:t>
      </w: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65932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593205"/>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w:t>
      </w:r>
      <w:r>
        <w:rPr>
          <w:rFonts w:hint="default" w:ascii="Times New Roman" w:hAnsi="Times New Roman" w:eastAsia="Arial Unicode MS" w:cs="Times New Roman"/>
          <w:b/>
          <w:bCs/>
          <w:sz w:val="20"/>
          <w:szCs w:val="20"/>
        </w:rPr>
        <w:t>9</w:t>
      </w:r>
      <w:r>
        <w:rPr>
          <w:rFonts w:hint="default" w:ascii="Times New Roman" w:hAnsi="Times New Roman" w:eastAsia="Arial Unicode MS" w:cs="Times New Roman"/>
          <w:bCs/>
          <w:sz w:val="20"/>
          <w:szCs w:val="20"/>
        </w:rPr>
        <w:t xml:space="preserve"> Differences in alpha diversity (Shannon) index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 xml:space="preserve">50% </w:t>
      </w:r>
      <w:r>
        <w:rPr>
          <w:rFonts w:hint="default" w:ascii="Times New Roman" w:hAnsi="Times New Roman" w:eastAsia="Arial Unicode MS" w:cs="Times New Roman"/>
          <w:bCs/>
          <w:sz w:val="20"/>
          <w:szCs w:val="20"/>
        </w:rPr>
        <w:t xml:space="preserve">core bacterial community </w:t>
      </w:r>
      <w:r>
        <w:rPr>
          <w:rFonts w:hint="default" w:ascii="Times New Roman" w:hAnsi="Times New Roman" w:eastAsia="Arial Unicode MS" w:cs="Times New Roman"/>
          <w:bCs/>
          <w:sz w:val="20"/>
          <w:szCs w:val="20"/>
        </w:rPr>
        <w:t>at</w:t>
      </w:r>
      <w:r>
        <w:rPr>
          <w:rFonts w:hint="default" w:ascii="Times New Roman" w:hAnsi="Times New Roman" w:eastAsia="Arial Unicode MS" w:cs="Times New Roman"/>
          <w:bCs/>
          <w:sz w:val="20"/>
          <w:szCs w:val="20"/>
        </w:rPr>
        <w:t xml:space="preserve"> OTU</w:t>
      </w:r>
      <w:r>
        <w:rPr>
          <w:rFonts w:hint="default" w:ascii="Times New Roman" w:hAnsi="Times New Roman" w:eastAsia="Arial Unicode MS" w:cs="Times New Roman"/>
          <w:bCs/>
          <w:sz w:val="20"/>
          <w:szCs w:val="20"/>
        </w:rPr>
        <w:t xml:space="preserve"> level</w:t>
      </w:r>
      <w:r>
        <w:rPr>
          <w:rFonts w:hint="default" w:ascii="Times New Roman" w:hAnsi="Times New Roman" w:eastAsia="Arial Unicode MS" w:cs="Times New Roman"/>
          <w:bCs/>
          <w:sz w:val="20"/>
          <w:szCs w:val="20"/>
        </w:rPr>
        <w:t xml:space="preserve">. A, the Shannon index differences of the three differ diets. B, the Shannon differences between herbivorous and omnivorous ants in Myrmicinae. C-D, the Shannon index differences of seven subfamilies and three main subfamilies. E-F, the Shannon index differences of three omnivorous subfamilies and four carnivorous subfamilies. </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7140575"/>
            <wp:effectExtent l="0" t="0" r="254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140575"/>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S10</w:t>
      </w:r>
      <w:r>
        <w:rPr>
          <w:rFonts w:hint="default" w:ascii="Times New Roman" w:hAnsi="Times New Roman" w:eastAsia="Arial Unicode MS" w:cs="Times New Roman"/>
          <w:bCs/>
          <w:sz w:val="20"/>
          <w:szCs w:val="20"/>
        </w:rPr>
        <w:t xml:space="preserve"> Differences in alpha diversity (Shannon) index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overall</w:t>
      </w:r>
      <w:r>
        <w:rPr>
          <w:rFonts w:hint="default" w:ascii="Times New Roman" w:hAnsi="Times New Roman" w:eastAsia="Arial Unicode MS" w:cs="Times New Roman"/>
          <w:bCs/>
          <w:sz w:val="20"/>
          <w:szCs w:val="20"/>
        </w:rPr>
        <w:t xml:space="preserve"> bacterial community </w:t>
      </w:r>
      <w:r>
        <w:rPr>
          <w:rFonts w:hint="default" w:ascii="Times New Roman" w:hAnsi="Times New Roman" w:eastAsia="Arial Unicode MS" w:cs="Times New Roman"/>
          <w:bCs/>
          <w:sz w:val="20"/>
          <w:szCs w:val="20"/>
        </w:rPr>
        <w:t>at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phylum level</w:t>
      </w:r>
      <w:r>
        <w:rPr>
          <w:rFonts w:hint="default" w:ascii="Times New Roman" w:hAnsi="Times New Roman" w:eastAsia="Arial Unicode MS" w:cs="Times New Roman"/>
          <w:bCs/>
          <w:sz w:val="20"/>
          <w:szCs w:val="20"/>
        </w:rPr>
        <w:t xml:space="preserve">. A, the Shannon index differences of the three differ diets. B, the Shannon differences between herbivorous and omnivorous ants in Myrmicinae. C-D, the Shannon index differences of seven subfamilies and three main subfamilies. E-F, the Shannon index differences of three omnivorous subfamilies and four carnivorous subfamilies. </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
          <w:bCs/>
          <w:sz w:val="20"/>
          <w:szCs w:val="20"/>
        </w:rPr>
      </w:pPr>
      <w:r>
        <w:rPr>
          <w:rFonts w:hint="default" w:ascii="Times New Roman" w:hAnsi="Times New Roman" w:eastAsia="Arial Unicode MS" w:cs="Times New Roman"/>
          <w:b/>
          <w:bCs/>
          <w:sz w:val="20"/>
          <w:szCs w:val="20"/>
        </w:rPr>
        <w:drawing>
          <wp:inline distT="0" distB="0" distL="0" distR="0">
            <wp:extent cx="5274310" cy="7045960"/>
            <wp:effectExtent l="0" t="0" r="254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045960"/>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1</w:t>
      </w:r>
      <w:r>
        <w:rPr>
          <w:rFonts w:hint="default" w:ascii="Times New Roman" w:hAnsi="Times New Roman" w:eastAsia="Arial Unicode MS" w:cs="Times New Roman"/>
          <w:bCs/>
          <w:sz w:val="20"/>
          <w:szCs w:val="20"/>
        </w:rPr>
        <w:t xml:space="preserve"> Differences in alpha diversity (Shannon) index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 xml:space="preserve">75% </w:t>
      </w:r>
      <w:r>
        <w:rPr>
          <w:rFonts w:hint="default" w:ascii="Times New Roman" w:hAnsi="Times New Roman" w:eastAsia="Arial Unicode MS" w:cs="Times New Roman"/>
          <w:bCs/>
          <w:sz w:val="20"/>
          <w:szCs w:val="20"/>
        </w:rPr>
        <w:t xml:space="preserve">core bacterial community </w:t>
      </w:r>
      <w:r>
        <w:rPr>
          <w:rFonts w:hint="default" w:ascii="Times New Roman" w:hAnsi="Times New Roman" w:eastAsia="Arial Unicode MS" w:cs="Times New Roman"/>
          <w:bCs/>
          <w:sz w:val="20"/>
          <w:szCs w:val="20"/>
        </w:rPr>
        <w:t>at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phylum level</w:t>
      </w:r>
      <w:r>
        <w:rPr>
          <w:rFonts w:hint="default" w:ascii="Times New Roman" w:hAnsi="Times New Roman" w:eastAsia="Arial Unicode MS" w:cs="Times New Roman"/>
          <w:bCs/>
          <w:sz w:val="20"/>
          <w:szCs w:val="20"/>
        </w:rPr>
        <w:t>. A, the Shannon index differences of the three differ diets. B, the Shannon differences between herbivorous and omnivorous ants in Myrmicinae. C-D, the Shannon index differences of seven subfamilies and three main subfamilies. E-F, the Shannon index differences of three omnivorous subfamilies and four carnivorous subfamilies.</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7059930"/>
            <wp:effectExtent l="0" t="0" r="254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7059930"/>
                    </a:xfrm>
                    <a:prstGeom prst="rect">
                      <a:avLst/>
                    </a:prstGeom>
                  </pic:spPr>
                </pic:pic>
              </a:graphicData>
            </a:graphic>
          </wp:inline>
        </w:drawing>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2</w:t>
      </w:r>
      <w:r>
        <w:rPr>
          <w:rFonts w:hint="default" w:ascii="Times New Roman" w:hAnsi="Times New Roman" w:eastAsia="Arial Unicode MS" w:cs="Times New Roman"/>
          <w:bCs/>
          <w:sz w:val="20"/>
          <w:szCs w:val="20"/>
        </w:rPr>
        <w:t xml:space="preserve"> Differences in alpha diversity (Shannon) index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 xml:space="preserve">50% </w:t>
      </w:r>
      <w:r>
        <w:rPr>
          <w:rFonts w:hint="default" w:ascii="Times New Roman" w:hAnsi="Times New Roman" w:eastAsia="Arial Unicode MS" w:cs="Times New Roman"/>
          <w:bCs/>
          <w:sz w:val="20"/>
          <w:szCs w:val="20"/>
        </w:rPr>
        <w:t xml:space="preserve">core bacterial community </w:t>
      </w:r>
      <w:r>
        <w:rPr>
          <w:rFonts w:hint="default" w:ascii="Times New Roman" w:hAnsi="Times New Roman" w:eastAsia="Arial Unicode MS" w:cs="Times New Roman"/>
          <w:bCs/>
          <w:sz w:val="20"/>
          <w:szCs w:val="20"/>
        </w:rPr>
        <w:t>at</w:t>
      </w:r>
      <w:r>
        <w:rPr>
          <w:rFonts w:hint="default" w:ascii="Times New Roman" w:hAnsi="Times New Roman" w:eastAsia="Arial Unicode MS" w:cs="Times New Roman"/>
          <w:bCs/>
          <w:sz w:val="20"/>
          <w:szCs w:val="20"/>
        </w:rPr>
        <w:t xml:space="preserve"> </w:t>
      </w:r>
      <w:r>
        <w:rPr>
          <w:rFonts w:hint="default" w:ascii="Times New Roman" w:hAnsi="Times New Roman" w:eastAsia="Arial Unicode MS" w:cs="Times New Roman"/>
          <w:bCs/>
          <w:sz w:val="20"/>
          <w:szCs w:val="20"/>
        </w:rPr>
        <w:t>phylum level</w:t>
      </w:r>
      <w:r>
        <w:rPr>
          <w:rFonts w:hint="default" w:ascii="Times New Roman" w:hAnsi="Times New Roman" w:eastAsia="Arial Unicode MS" w:cs="Times New Roman"/>
          <w:bCs/>
          <w:sz w:val="20"/>
          <w:szCs w:val="20"/>
        </w:rPr>
        <w:t xml:space="preserve">. A, the Shannon index differences of the three differ diets. B, the Shannon differences between herbivorous and omnivorous ants in Myrmicinae. C-D, the Shannon index differences of seven subfamilies and three main subfamilies. E-F, the Shannon index differences of three omnivorous subfamilies and four carnivorous subfamilies. </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
          <w:bCs/>
          <w:sz w:val="20"/>
          <w:szCs w:val="20"/>
        </w:rPr>
      </w:pPr>
      <w:r>
        <w:rPr>
          <w:rFonts w:hint="default" w:ascii="Times New Roman" w:hAnsi="Times New Roman" w:eastAsia="Arial Unicode MS" w:cs="Times New Roman"/>
          <w:b/>
          <w:bCs/>
          <w:sz w:val="20"/>
          <w:szCs w:val="20"/>
        </w:rPr>
        <w:drawing>
          <wp:inline distT="0" distB="0" distL="0" distR="0">
            <wp:extent cx="5274310" cy="683704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837045"/>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3</w:t>
      </w:r>
      <w:r>
        <w:rPr>
          <w:rFonts w:hint="default" w:ascii="Times New Roman" w:hAnsi="Times New Roman" w:eastAsia="Arial Unicode MS" w:cs="Times New Roman"/>
          <w:bCs/>
          <w:sz w:val="20"/>
          <w:szCs w:val="20"/>
        </w:rPr>
        <w:t xml:space="preserve"> PCoA analysis of ant</w:t>
      </w:r>
      <w:r>
        <w:rPr>
          <w:rFonts w:hint="default" w:ascii="Times New Roman" w:hAnsi="Times New Roman" w:eastAsia="Arial Unicode MS" w:cs="Times New Roman"/>
          <w:bCs/>
          <w:sz w:val="20"/>
          <w:szCs w:val="20"/>
        </w:rPr>
        <w:t>-gut</w:t>
      </w:r>
      <w:r>
        <w:rPr>
          <w:rFonts w:hint="default" w:ascii="Times New Roman" w:hAnsi="Times New Roman" w:eastAsia="Arial Unicode MS" w:cs="Times New Roman"/>
          <w:bCs/>
          <w:sz w:val="20"/>
          <w:szCs w:val="20"/>
        </w:rPr>
        <w:t xml:space="preserve"> bacterial community structure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75% core</w:t>
      </w:r>
      <w:r>
        <w:rPr>
          <w:rFonts w:hint="default" w:ascii="Times New Roman" w:hAnsi="Times New Roman" w:eastAsia="Arial Unicode MS" w:cs="Times New Roman"/>
          <w:bCs/>
          <w:sz w:val="20"/>
          <w:szCs w:val="20"/>
        </w:rPr>
        <w:t xml:space="preserve"> bacterial community</w:t>
      </w:r>
      <w:r>
        <w:rPr>
          <w:rFonts w:hint="default" w:ascii="Times New Roman" w:hAnsi="Times New Roman" w:eastAsia="Arial Unicode MS" w:cs="Times New Roman"/>
          <w:bCs/>
          <w:sz w:val="20"/>
          <w:szCs w:val="20"/>
        </w:rPr>
        <w:t xml:space="preserve"> at </w:t>
      </w:r>
      <w:r>
        <w:rPr>
          <w:rFonts w:hint="default" w:ascii="Times New Roman" w:hAnsi="Times New Roman" w:eastAsia="Arial Unicode MS" w:cs="Times New Roman"/>
          <w:bCs/>
          <w:sz w:val="20"/>
          <w:szCs w:val="20"/>
        </w:rPr>
        <w:t>OTU</w:t>
      </w:r>
      <w:r>
        <w:rPr>
          <w:rFonts w:hint="default" w:ascii="Times New Roman" w:hAnsi="Times New Roman" w:eastAsia="Arial Unicode MS" w:cs="Times New Roman"/>
          <w:bCs/>
          <w:sz w:val="20"/>
          <w:szCs w:val="20"/>
        </w:rPr>
        <w:t xml:space="preserve"> level</w:t>
      </w:r>
      <w:r>
        <w:rPr>
          <w:rFonts w:hint="default" w:ascii="Times New Roman" w:hAnsi="Times New Roman" w:eastAsia="Arial Unicode MS" w:cs="Times New Roman"/>
          <w:bCs/>
          <w:sz w:val="20"/>
          <w:szCs w:val="20"/>
        </w:rPr>
        <w:t xml:space="preserve"> (based on Bray-Curtis). A, the beta diversity differences of the three differ diets. B, the beta diversity differences between herbivorous and omnivorous ants in Myrmicinae. C-D, the beta diversity differences of seven subfamilies and three main subfamilies. E-F, the beta diversity differences of three omnivorous subfamilies and four carnivorous subfamilies.</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64592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6459220"/>
                    </a:xfrm>
                    <a:prstGeom prst="rect">
                      <a:avLst/>
                    </a:prstGeom>
                  </pic:spPr>
                </pic:pic>
              </a:graphicData>
            </a:graphic>
          </wp:inline>
        </w:drawing>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4</w:t>
      </w:r>
      <w:r>
        <w:rPr>
          <w:rFonts w:hint="default" w:ascii="Times New Roman" w:hAnsi="Times New Roman" w:eastAsia="Arial Unicode MS" w:cs="Times New Roman"/>
          <w:bCs/>
          <w:sz w:val="20"/>
          <w:szCs w:val="20"/>
        </w:rPr>
        <w:t xml:space="preserve"> PCoA analysis of ant</w:t>
      </w:r>
      <w:r>
        <w:rPr>
          <w:rFonts w:hint="default" w:ascii="Times New Roman" w:hAnsi="Times New Roman" w:eastAsia="Arial Unicode MS" w:cs="Times New Roman"/>
          <w:bCs/>
          <w:sz w:val="20"/>
          <w:szCs w:val="20"/>
        </w:rPr>
        <w:t>-gut</w:t>
      </w:r>
      <w:r>
        <w:rPr>
          <w:rFonts w:hint="default" w:ascii="Times New Roman" w:hAnsi="Times New Roman" w:eastAsia="Arial Unicode MS" w:cs="Times New Roman"/>
          <w:bCs/>
          <w:sz w:val="20"/>
          <w:szCs w:val="20"/>
        </w:rPr>
        <w:t xml:space="preserve"> bacterial community structure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50% core</w:t>
      </w:r>
      <w:r>
        <w:rPr>
          <w:rFonts w:hint="default" w:ascii="Times New Roman" w:hAnsi="Times New Roman" w:eastAsia="Arial Unicode MS" w:cs="Times New Roman"/>
          <w:bCs/>
          <w:sz w:val="20"/>
          <w:szCs w:val="20"/>
        </w:rPr>
        <w:t xml:space="preserve"> bacterial community</w:t>
      </w:r>
      <w:r>
        <w:rPr>
          <w:rFonts w:hint="default" w:ascii="Times New Roman" w:hAnsi="Times New Roman" w:eastAsia="Arial Unicode MS" w:cs="Times New Roman"/>
          <w:bCs/>
          <w:sz w:val="20"/>
          <w:szCs w:val="20"/>
        </w:rPr>
        <w:t xml:space="preserve"> at </w:t>
      </w:r>
      <w:r>
        <w:rPr>
          <w:rFonts w:hint="default" w:ascii="Times New Roman" w:hAnsi="Times New Roman" w:eastAsia="Arial Unicode MS" w:cs="Times New Roman"/>
          <w:bCs/>
          <w:sz w:val="20"/>
          <w:szCs w:val="20"/>
        </w:rPr>
        <w:t>OTU</w:t>
      </w:r>
      <w:r>
        <w:rPr>
          <w:rFonts w:hint="default" w:ascii="Times New Roman" w:hAnsi="Times New Roman" w:eastAsia="Arial Unicode MS" w:cs="Times New Roman"/>
          <w:bCs/>
          <w:sz w:val="20"/>
          <w:szCs w:val="20"/>
        </w:rPr>
        <w:t xml:space="preserve"> level</w:t>
      </w:r>
      <w:r>
        <w:rPr>
          <w:rFonts w:hint="default" w:ascii="Times New Roman" w:hAnsi="Times New Roman" w:eastAsia="Arial Unicode MS" w:cs="Times New Roman"/>
          <w:bCs/>
          <w:sz w:val="20"/>
          <w:szCs w:val="20"/>
        </w:rPr>
        <w:t xml:space="preserve"> (based on Bray-Curtis). A, the beta diversity differences of the three differ diets. B, the beta diversity differences between herbivorous and omnivorous ants in Myrmicinae. C-D, the beta diversity differences of seven subfamilies and three main subfamilies. E-F, the beta diversity differences of three omnivorous subfamilies and four carnivorous subfamilies.</w:t>
      </w:r>
    </w:p>
    <w:p>
      <w:pPr>
        <w:ind w:firstLine="287" w:firstLineChars="0"/>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sz w:val="20"/>
          <w:szCs w:val="20"/>
        </w:rPr>
      </w:pPr>
      <w:r>
        <w:rPr>
          <w:rFonts w:hint="default" w:ascii="Times New Roman" w:hAnsi="Times New Roman" w:eastAsia="Arial Unicode MS" w:cs="Times New Roman"/>
          <w:sz w:val="20"/>
          <w:szCs w:val="20"/>
        </w:rPr>
        <w:drawing>
          <wp:inline distT="0" distB="0" distL="0" distR="0">
            <wp:extent cx="5274310" cy="6949440"/>
            <wp:effectExtent l="0" t="0" r="254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6949440"/>
                    </a:xfrm>
                    <a:prstGeom prst="rect">
                      <a:avLst/>
                    </a:prstGeom>
                  </pic:spPr>
                </pic:pic>
              </a:graphicData>
            </a:graphic>
          </wp:inline>
        </w:drawing>
      </w: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S15</w:t>
      </w:r>
      <w:r>
        <w:rPr>
          <w:rFonts w:hint="default" w:ascii="Times New Roman" w:hAnsi="Times New Roman" w:eastAsia="Arial Unicode MS" w:cs="Times New Roman"/>
          <w:bCs/>
          <w:sz w:val="20"/>
          <w:szCs w:val="20"/>
        </w:rPr>
        <w:t xml:space="preserve"> PCoA analysis of ant</w:t>
      </w:r>
      <w:r>
        <w:rPr>
          <w:rFonts w:hint="default" w:ascii="Times New Roman" w:hAnsi="Times New Roman" w:eastAsia="Arial Unicode MS" w:cs="Times New Roman"/>
          <w:bCs/>
          <w:sz w:val="20"/>
          <w:szCs w:val="20"/>
        </w:rPr>
        <w:t>-gut</w:t>
      </w:r>
      <w:r>
        <w:rPr>
          <w:rFonts w:hint="default" w:ascii="Times New Roman" w:hAnsi="Times New Roman" w:eastAsia="Arial Unicode MS" w:cs="Times New Roman"/>
          <w:bCs/>
          <w:sz w:val="20"/>
          <w:szCs w:val="20"/>
        </w:rPr>
        <w:t xml:space="preserve"> bacterial community structure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overall</w:t>
      </w:r>
      <w:r>
        <w:rPr>
          <w:rFonts w:hint="default" w:ascii="Times New Roman" w:hAnsi="Times New Roman" w:eastAsia="Arial Unicode MS" w:cs="Times New Roman"/>
          <w:bCs/>
          <w:sz w:val="20"/>
          <w:szCs w:val="20"/>
        </w:rPr>
        <w:t xml:space="preserve"> bacterial community </w:t>
      </w:r>
      <w:r>
        <w:rPr>
          <w:rFonts w:hint="default" w:ascii="Times New Roman" w:hAnsi="Times New Roman" w:eastAsia="Arial Unicode MS" w:cs="Times New Roman"/>
          <w:bCs/>
          <w:sz w:val="20"/>
          <w:szCs w:val="20"/>
        </w:rPr>
        <w:t>at phylum level</w:t>
      </w:r>
      <w:r>
        <w:rPr>
          <w:rFonts w:hint="default" w:ascii="Times New Roman" w:hAnsi="Times New Roman" w:eastAsia="Arial Unicode MS" w:cs="Times New Roman"/>
          <w:bCs/>
          <w:sz w:val="20"/>
          <w:szCs w:val="20"/>
        </w:rPr>
        <w:t xml:space="preserve"> (based on Bray-Curtis). A, the beta diversity differences of the three differ diets. B, the beta diversity differences between herbivorous and omnivorous ants in Myrmicinae. C-D, the beta diversity differences of seven subfamilies and three main subfamilies. E-F, the beta diversity differences of three omnivorous subfamilies and four carnivorous subfamilies.</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6817995"/>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6817995"/>
                    </a:xfrm>
                    <a:prstGeom prst="rect">
                      <a:avLst/>
                    </a:prstGeom>
                  </pic:spPr>
                </pic:pic>
              </a:graphicData>
            </a:graphic>
          </wp:inline>
        </w:drawing>
      </w:r>
    </w:p>
    <w:p>
      <w:pPr>
        <w:rPr>
          <w:rFonts w:hint="default" w:ascii="Times New Roman" w:hAnsi="Times New Roman" w:eastAsia="Arial Unicode MS" w:cs="Times New Roman"/>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6</w:t>
      </w:r>
      <w:r>
        <w:rPr>
          <w:rFonts w:hint="default" w:ascii="Times New Roman" w:hAnsi="Times New Roman" w:eastAsia="Arial Unicode MS" w:cs="Times New Roman"/>
          <w:bCs/>
          <w:sz w:val="20"/>
          <w:szCs w:val="20"/>
        </w:rPr>
        <w:t xml:space="preserve"> PCoA analysis of ant</w:t>
      </w:r>
      <w:r>
        <w:rPr>
          <w:rFonts w:hint="default" w:ascii="Times New Roman" w:hAnsi="Times New Roman" w:eastAsia="Arial Unicode MS" w:cs="Times New Roman"/>
          <w:bCs/>
          <w:sz w:val="20"/>
          <w:szCs w:val="20"/>
        </w:rPr>
        <w:t>-gut</w:t>
      </w:r>
      <w:r>
        <w:rPr>
          <w:rFonts w:hint="default" w:ascii="Times New Roman" w:hAnsi="Times New Roman" w:eastAsia="Arial Unicode MS" w:cs="Times New Roman"/>
          <w:bCs/>
          <w:sz w:val="20"/>
          <w:szCs w:val="20"/>
        </w:rPr>
        <w:t xml:space="preserve"> bacterial community structure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75% core</w:t>
      </w:r>
      <w:r>
        <w:rPr>
          <w:rFonts w:hint="default" w:ascii="Times New Roman" w:hAnsi="Times New Roman" w:eastAsia="Arial Unicode MS" w:cs="Times New Roman"/>
          <w:bCs/>
          <w:sz w:val="20"/>
          <w:szCs w:val="20"/>
        </w:rPr>
        <w:t xml:space="preserve"> bacterial community </w:t>
      </w:r>
      <w:r>
        <w:rPr>
          <w:rFonts w:hint="default" w:ascii="Times New Roman" w:hAnsi="Times New Roman" w:eastAsia="Arial Unicode MS" w:cs="Times New Roman"/>
          <w:bCs/>
          <w:sz w:val="20"/>
          <w:szCs w:val="20"/>
        </w:rPr>
        <w:t>at phylum level</w:t>
      </w:r>
      <w:r>
        <w:rPr>
          <w:rFonts w:hint="default" w:ascii="Times New Roman" w:hAnsi="Times New Roman" w:eastAsia="Arial Unicode MS" w:cs="Times New Roman"/>
          <w:bCs/>
          <w:sz w:val="20"/>
          <w:szCs w:val="20"/>
        </w:rPr>
        <w:t xml:space="preserve"> (based on Bray-Curtis). A, the beta diversity differences of the three differ diets. B, the beta diversity differences between herbivorous and omnivorous ants in Myrmicinae. C-D, the beta diversity differences of seven subfamilies and three main subfamilies. E-F, the beta diversity differences of three omnivorous subfamilies and four carnivorous subfamilies.</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Cs/>
          <w:sz w:val="20"/>
          <w:szCs w:val="20"/>
        </w:rPr>
        <w:drawing>
          <wp:inline distT="0" distB="0" distL="0" distR="0">
            <wp:extent cx="5274310" cy="677545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775450"/>
                    </a:xfrm>
                    <a:prstGeom prst="rect">
                      <a:avLst/>
                    </a:prstGeom>
                  </pic:spPr>
                </pic:pic>
              </a:graphicData>
            </a:graphic>
          </wp:inline>
        </w:drawing>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r>
        <w:rPr>
          <w:rFonts w:hint="default" w:ascii="Times New Roman" w:hAnsi="Times New Roman" w:eastAsia="Arial Unicode MS" w:cs="Times New Roman"/>
          <w:b/>
          <w:bCs/>
          <w:sz w:val="20"/>
          <w:szCs w:val="20"/>
        </w:rPr>
        <w:t>Fig. S1</w:t>
      </w:r>
      <w:r>
        <w:rPr>
          <w:rFonts w:hint="default" w:ascii="Times New Roman" w:hAnsi="Times New Roman" w:eastAsia="Arial Unicode MS" w:cs="Times New Roman"/>
          <w:b/>
          <w:bCs/>
          <w:sz w:val="20"/>
          <w:szCs w:val="20"/>
        </w:rPr>
        <w:t>7</w:t>
      </w:r>
      <w:r>
        <w:rPr>
          <w:rFonts w:hint="default" w:ascii="Times New Roman" w:hAnsi="Times New Roman" w:eastAsia="Arial Unicode MS" w:cs="Times New Roman"/>
          <w:bCs/>
          <w:sz w:val="20"/>
          <w:szCs w:val="20"/>
        </w:rPr>
        <w:t xml:space="preserve"> PCoA analysis of ant</w:t>
      </w:r>
      <w:r>
        <w:rPr>
          <w:rFonts w:hint="default" w:ascii="Times New Roman" w:hAnsi="Times New Roman" w:eastAsia="Arial Unicode MS" w:cs="Times New Roman"/>
          <w:bCs/>
          <w:sz w:val="20"/>
          <w:szCs w:val="20"/>
        </w:rPr>
        <w:t>-gut</w:t>
      </w:r>
      <w:r>
        <w:rPr>
          <w:rFonts w:hint="default" w:ascii="Times New Roman" w:hAnsi="Times New Roman" w:eastAsia="Arial Unicode MS" w:cs="Times New Roman"/>
          <w:bCs/>
          <w:sz w:val="20"/>
          <w:szCs w:val="20"/>
        </w:rPr>
        <w:t xml:space="preserve"> bacterial community structure </w:t>
      </w:r>
      <w:r>
        <w:rPr>
          <w:rFonts w:hint="default" w:ascii="Times New Roman" w:hAnsi="Times New Roman" w:eastAsia="Arial Unicode MS" w:cs="Times New Roman"/>
          <w:bCs/>
          <w:sz w:val="20"/>
          <w:szCs w:val="20"/>
        </w:rPr>
        <w:t>in t</w:t>
      </w:r>
      <w:r>
        <w:rPr>
          <w:rFonts w:hint="default" w:ascii="Times New Roman" w:hAnsi="Times New Roman" w:eastAsia="Arial Unicode MS" w:cs="Times New Roman"/>
          <w:bCs/>
          <w:sz w:val="20"/>
          <w:szCs w:val="20"/>
        </w:rPr>
        <w:t xml:space="preserve">he </w:t>
      </w:r>
      <w:r>
        <w:rPr>
          <w:rFonts w:hint="default" w:ascii="Times New Roman" w:hAnsi="Times New Roman" w:eastAsia="Arial Unicode MS" w:cs="Times New Roman"/>
          <w:bCs/>
          <w:sz w:val="20"/>
          <w:szCs w:val="20"/>
        </w:rPr>
        <w:t>50% core</w:t>
      </w:r>
      <w:r>
        <w:rPr>
          <w:rFonts w:hint="default" w:ascii="Times New Roman" w:hAnsi="Times New Roman" w:eastAsia="Arial Unicode MS" w:cs="Times New Roman"/>
          <w:bCs/>
          <w:sz w:val="20"/>
          <w:szCs w:val="20"/>
        </w:rPr>
        <w:t xml:space="preserve"> bacterial community</w:t>
      </w:r>
      <w:r>
        <w:rPr>
          <w:rFonts w:hint="default" w:ascii="Times New Roman" w:hAnsi="Times New Roman" w:eastAsia="Arial Unicode MS" w:cs="Times New Roman"/>
          <w:bCs/>
          <w:sz w:val="20"/>
          <w:szCs w:val="20"/>
        </w:rPr>
        <w:t xml:space="preserve"> at phylum level</w:t>
      </w:r>
      <w:r>
        <w:rPr>
          <w:rFonts w:hint="default" w:ascii="Times New Roman" w:hAnsi="Times New Roman" w:eastAsia="Arial Unicode MS" w:cs="Times New Roman"/>
          <w:bCs/>
          <w:sz w:val="20"/>
          <w:szCs w:val="20"/>
        </w:rPr>
        <w:t xml:space="preserve"> (based on Bray-Curtis). A, the beta diversity differences of the three differ diets. B, the beta diversity differences between herbivorous and omnivorous ants in Myrmicinae. C-D, the beta diversity differences of seven subfamilies and three main subfamilies. E-F, the beta diversity differences of three omnivorous subfamilies and four carnivorous subfamilies.</w:t>
      </w: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bCs/>
          <w:sz w:val="20"/>
          <w:szCs w:val="20"/>
        </w:rPr>
      </w:pP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r>
        <w:rPr>
          <w:rFonts w:hint="default" w:ascii="Times New Roman" w:hAnsi="Times New Roman" w:eastAsia="Arial Unicode MS" w:cs="Times New Roman"/>
          <w:sz w:val="20"/>
          <w:szCs w:val="20"/>
        </w:rPr>
        <w:drawing>
          <wp:inline distT="0" distB="0" distL="0" distR="0">
            <wp:extent cx="5701030" cy="45796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4879" cy="4582586"/>
                    </a:xfrm>
                    <a:prstGeom prst="rect">
                      <a:avLst/>
                    </a:prstGeom>
                  </pic:spPr>
                </pic:pic>
              </a:graphicData>
            </a:graphic>
          </wp:inline>
        </w:drawing>
      </w:r>
    </w:p>
    <w:p>
      <w:pPr>
        <w:rPr>
          <w:rFonts w:hint="default" w:ascii="Times New Roman" w:hAnsi="Times New Roman" w:eastAsia="Arial Unicode MS" w:cs="Times New Roman"/>
          <w:sz w:val="20"/>
          <w:szCs w:val="20"/>
        </w:rPr>
      </w:pPr>
      <w:r>
        <w:rPr>
          <w:rFonts w:hint="default" w:ascii="Times New Roman" w:hAnsi="Times New Roman" w:eastAsia="Arial Unicode MS" w:cs="Times New Roman"/>
          <w:b/>
          <w:bCs w:val="0"/>
          <w:sz w:val="20"/>
          <w:szCs w:val="20"/>
        </w:rPr>
        <w:t>Fig. S18</w:t>
      </w:r>
      <w:r>
        <w:rPr>
          <w:rFonts w:hint="default" w:ascii="Times New Roman" w:hAnsi="Times New Roman" w:eastAsia="Arial Unicode MS" w:cs="Times New Roman"/>
          <w:b/>
          <w:bCs/>
          <w:sz w:val="20"/>
          <w:szCs w:val="20"/>
        </w:rPr>
        <w:t xml:space="preserve"> </w:t>
      </w:r>
      <w:r>
        <w:rPr>
          <w:rFonts w:hint="default" w:ascii="Times New Roman" w:hAnsi="Times New Roman" w:eastAsia="Arial Unicode MS" w:cs="Times New Roman"/>
          <w:sz w:val="20"/>
          <w:szCs w:val="20"/>
        </w:rPr>
        <w:t>Redundancy analysis (RDA)</w:t>
      </w:r>
      <w:r>
        <w:rPr>
          <w:rFonts w:hint="default" w:ascii="Times New Roman" w:hAnsi="Times New Roman" w:eastAsia="Arial Unicode MS" w:cs="Times New Roman"/>
          <w:bCs/>
          <w:sz w:val="20"/>
          <w:szCs w:val="20"/>
        </w:rPr>
        <w:t xml:space="preserve"> showed the effects of diet and phylogeny on ant gut bacteria at the bacterial phylum level.</w:t>
      </w:r>
    </w:p>
    <w:p>
      <w:pPr>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spacing w:line="480" w:lineRule="auto"/>
        <w:rPr>
          <w:rFonts w:hint="default" w:ascii="Times New Roman" w:hAnsi="Times New Roman" w:eastAsia="Arial Unicode MS" w:cs="Times New Roman"/>
          <w:sz w:val="20"/>
          <w:szCs w:val="20"/>
        </w:rPr>
      </w:pPr>
    </w:p>
    <w:p>
      <w:pPr>
        <w:rPr>
          <w:rFonts w:hint="default" w:ascii="Times New Roman" w:hAnsi="Times New Roman" w:eastAsia="Arial Unicode MS" w:cs="Times New Roman"/>
          <w:sz w:val="20"/>
          <w:szCs w:val="20"/>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E3E"/>
    <w:rsid w:val="00000C28"/>
    <w:rsid w:val="00024BAF"/>
    <w:rsid w:val="0006640C"/>
    <w:rsid w:val="000771BF"/>
    <w:rsid w:val="0009514A"/>
    <w:rsid w:val="000963BA"/>
    <w:rsid w:val="000D0FD6"/>
    <w:rsid w:val="00104849"/>
    <w:rsid w:val="00107543"/>
    <w:rsid w:val="00134254"/>
    <w:rsid w:val="001451CB"/>
    <w:rsid w:val="00162F72"/>
    <w:rsid w:val="00201BB5"/>
    <w:rsid w:val="0025183C"/>
    <w:rsid w:val="00273927"/>
    <w:rsid w:val="002F6A94"/>
    <w:rsid w:val="003051BE"/>
    <w:rsid w:val="003B4A7B"/>
    <w:rsid w:val="003E2436"/>
    <w:rsid w:val="00423348"/>
    <w:rsid w:val="00430E58"/>
    <w:rsid w:val="00470BDD"/>
    <w:rsid w:val="00524536"/>
    <w:rsid w:val="00556622"/>
    <w:rsid w:val="00566363"/>
    <w:rsid w:val="005815BF"/>
    <w:rsid w:val="005945FA"/>
    <w:rsid w:val="005B3418"/>
    <w:rsid w:val="005E679D"/>
    <w:rsid w:val="005F37F8"/>
    <w:rsid w:val="00626141"/>
    <w:rsid w:val="0066222B"/>
    <w:rsid w:val="00670801"/>
    <w:rsid w:val="00672B4A"/>
    <w:rsid w:val="006A1D86"/>
    <w:rsid w:val="006B7DEC"/>
    <w:rsid w:val="00714124"/>
    <w:rsid w:val="00763328"/>
    <w:rsid w:val="00790236"/>
    <w:rsid w:val="007A3633"/>
    <w:rsid w:val="00817E3E"/>
    <w:rsid w:val="00820CCE"/>
    <w:rsid w:val="008E1EA1"/>
    <w:rsid w:val="008E4D6E"/>
    <w:rsid w:val="00921DCF"/>
    <w:rsid w:val="009A1A4D"/>
    <w:rsid w:val="009A41F9"/>
    <w:rsid w:val="00A306E9"/>
    <w:rsid w:val="00A44717"/>
    <w:rsid w:val="00A862F9"/>
    <w:rsid w:val="00A90257"/>
    <w:rsid w:val="00AA3B2B"/>
    <w:rsid w:val="00B22826"/>
    <w:rsid w:val="00B53902"/>
    <w:rsid w:val="00B97A47"/>
    <w:rsid w:val="00BA2D31"/>
    <w:rsid w:val="00BB0A08"/>
    <w:rsid w:val="00BB49EA"/>
    <w:rsid w:val="00BF1D9C"/>
    <w:rsid w:val="00C11659"/>
    <w:rsid w:val="00C136C9"/>
    <w:rsid w:val="00C67C8B"/>
    <w:rsid w:val="00C905D3"/>
    <w:rsid w:val="00D36F21"/>
    <w:rsid w:val="00D61AAE"/>
    <w:rsid w:val="00D77282"/>
    <w:rsid w:val="00DB0E2C"/>
    <w:rsid w:val="00E20CC2"/>
    <w:rsid w:val="00E27218"/>
    <w:rsid w:val="00E4543E"/>
    <w:rsid w:val="00E60309"/>
    <w:rsid w:val="00EB27CE"/>
    <w:rsid w:val="00ED5C9A"/>
    <w:rsid w:val="00F6024B"/>
    <w:rsid w:val="00F8329C"/>
    <w:rsid w:val="00FB569C"/>
    <w:rsid w:val="4F421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文字 字符"/>
    <w:basedOn w:val="8"/>
    <w:link w:val="2"/>
    <w:uiPriority w:val="99"/>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8.tiff"/><Relationship Id="rId20" Type="http://schemas.openxmlformats.org/officeDocument/2006/relationships/image" Target="media/image17.tiff"/><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2163</Words>
  <Characters>12333</Characters>
  <Lines>102</Lines>
  <Paragraphs>28</Paragraphs>
  <TotalTime>6</TotalTime>
  <ScaleCrop>false</ScaleCrop>
  <LinksUpToDate>false</LinksUpToDate>
  <CharactersWithSpaces>14468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2022-12-24T11:33:00Z</dcterms:created>
  <dc:creator>DELL</dc:creator>
  <cp:lastModifiedBy>Administrator</cp:lastModifiedBy>
  <dcterms:modified xsi:type="dcterms:W3CDTF">2023-02-05T09:27:27Z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2C214A8961A340FE86446940EA2FAC47</vt:lpwstr>
  </property>
</Properties>
</file>