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sz w:val="32"/>
          <w:szCs w:val="40"/>
        </w:rPr>
      </w:pPr>
      <w:r>
        <w:rPr>
          <w:rFonts w:ascii="Times New Roman" w:hAnsi="Times New Roman" w:cs="Times New Roman"/>
          <w:b/>
          <w:bCs/>
          <w:sz w:val="32"/>
          <w:szCs w:val="40"/>
        </w:rPr>
        <w:t>Supporting information</w:t>
      </w:r>
      <w:r>
        <w:rPr>
          <w:rFonts w:hint="eastAsia" w:ascii="Times New Roman" w:hAnsi="Times New Roman" w:cs="Times New Roman"/>
          <w:b/>
          <w:bCs/>
          <w:sz w:val="32"/>
          <w:szCs w:val="40"/>
        </w:rPr>
        <w:t xml:space="preserve"> for</w:t>
      </w:r>
      <w:r>
        <w:rPr>
          <w:rFonts w:hint="eastAsia" w:ascii="Times New Roman" w:hAnsi="Times New Roman" w:cs="Times New Roman"/>
          <w:sz w:val="32"/>
          <w:szCs w:val="40"/>
        </w:rPr>
        <w:t xml:space="preserve"> </w:t>
      </w:r>
    </w:p>
    <w:p>
      <w:pPr>
        <w:spacing w:line="360" w:lineRule="auto"/>
        <w:ind w:firstLine="964" w:firstLineChars="300"/>
        <w:jc w:val="center"/>
        <w:rPr>
          <w:rFonts w:ascii="Times New Roman" w:hAnsi="Times New Roman" w:cs="Times New Roman"/>
          <w:b/>
          <w:bCs/>
          <w:sz w:val="32"/>
          <w:szCs w:val="40"/>
        </w:rPr>
      </w:pPr>
      <w:r>
        <w:rPr>
          <w:rFonts w:hint="eastAsia" w:ascii="Times New Roman" w:hAnsi="Times New Roman" w:cs="Times New Roman"/>
          <w:b/>
          <w:bCs/>
          <w:sz w:val="32"/>
          <w:szCs w:val="40"/>
        </w:rPr>
        <w:t>Drug-Drug Interaction risk of SH-1028, a t</w:t>
      </w:r>
      <w:r>
        <w:rPr>
          <w:rFonts w:ascii="Times New Roman" w:hAnsi="Times New Roman" w:cs="Times New Roman"/>
          <w:b/>
          <w:bCs/>
          <w:sz w:val="32"/>
          <w:szCs w:val="40"/>
        </w:rPr>
        <w:t>hird-generation EGFR</w:t>
      </w:r>
      <w:r>
        <w:rPr>
          <w:rFonts w:hint="eastAsia" w:ascii="Times New Roman" w:hAnsi="Times New Roman" w:cs="Times New Roman"/>
          <w:b/>
          <w:bCs/>
          <w:sz w:val="32"/>
          <w:szCs w:val="40"/>
        </w:rPr>
        <w:t>-TKI : In Vitro and Clinical Trials</w:t>
      </w:r>
    </w:p>
    <w:p>
      <w:pPr>
        <w:spacing w:line="360" w:lineRule="auto"/>
        <w:jc w:val="left"/>
        <w:rPr>
          <w:rFonts w:ascii="Times New Roman" w:hAnsi="Times New Roman" w:cs="Times New Roman"/>
          <w:sz w:val="24"/>
          <w:szCs w:val="32"/>
        </w:rPr>
      </w:pPr>
      <w:bookmarkStart w:id="0" w:name="OLE_LINK5"/>
      <w:r>
        <w:rPr>
          <w:rFonts w:hint="eastAsia" w:ascii="Times New Roman" w:hAnsi="Times New Roman" w:cs="Times New Roman"/>
          <w:sz w:val="24"/>
          <w:szCs w:val="32"/>
        </w:rPr>
        <w:t>Xiaoli Li</w:t>
      </w:r>
      <w:r>
        <w:rPr>
          <w:rFonts w:hint="eastAsia" w:ascii="Times New Roman" w:hAnsi="Times New Roman" w:cs="Times New Roman"/>
          <w:sz w:val="24"/>
          <w:szCs w:val="32"/>
          <w:vertAlign w:val="superscript"/>
        </w:rPr>
        <w:t xml:space="preserve">a, </w:t>
      </w:r>
      <w:r>
        <w:rPr>
          <w:rFonts w:ascii="Times New Roman" w:hAnsi="Times New Roman" w:cs="Times New Roman"/>
          <w:sz w:val="24"/>
          <w:szCs w:val="32"/>
          <w:vertAlign w:val="superscript"/>
        </w:rPr>
        <w:t>†</w:t>
      </w:r>
      <w:r>
        <w:rPr>
          <w:rFonts w:hint="eastAsia" w:ascii="Times New Roman" w:hAnsi="Times New Roman" w:cs="Times New Roman"/>
          <w:sz w:val="24"/>
          <w:szCs w:val="32"/>
        </w:rPr>
        <w:t>, Yuyan Liu</w:t>
      </w:r>
      <w:r>
        <w:rPr>
          <w:rFonts w:hint="eastAsia" w:ascii="Times New Roman" w:hAnsi="Times New Roman" w:cs="Times New Roman"/>
          <w:sz w:val="24"/>
          <w:szCs w:val="32"/>
          <w:vertAlign w:val="superscript"/>
        </w:rPr>
        <w:t xml:space="preserve">b, </w:t>
      </w:r>
      <w:r>
        <w:rPr>
          <w:rFonts w:ascii="Times New Roman" w:hAnsi="Times New Roman" w:cs="Times New Roman"/>
          <w:sz w:val="24"/>
          <w:szCs w:val="32"/>
          <w:vertAlign w:val="superscript"/>
        </w:rPr>
        <w:t>†</w:t>
      </w:r>
      <w:r>
        <w:rPr>
          <w:rFonts w:ascii="Times New Roman" w:hAnsi="Times New Roman" w:cs="Times New Roman"/>
          <w:sz w:val="24"/>
          <w:szCs w:val="32"/>
        </w:rPr>
        <w:t>,</w:t>
      </w:r>
      <w:r>
        <w:rPr>
          <w:rFonts w:hint="eastAsia" w:ascii="Times New Roman" w:hAnsi="Times New Roman" w:cs="Times New Roman"/>
          <w:sz w:val="24"/>
          <w:szCs w:val="32"/>
        </w:rPr>
        <w:t xml:space="preserve"> Yuanyuan Xu</w:t>
      </w:r>
      <w:r>
        <w:rPr>
          <w:rFonts w:hint="eastAsia" w:ascii="Times New Roman" w:hAnsi="Times New Roman" w:cs="Times New Roman"/>
          <w:sz w:val="24"/>
          <w:szCs w:val="32"/>
          <w:vertAlign w:val="superscript"/>
        </w:rPr>
        <w:t>a, d</w:t>
      </w:r>
      <w:r>
        <w:rPr>
          <w:rFonts w:ascii="Times New Roman" w:hAnsi="Times New Roman" w:cs="Times New Roman"/>
          <w:sz w:val="24"/>
          <w:szCs w:val="32"/>
          <w:vertAlign w:val="superscript"/>
        </w:rPr>
        <w:t>,</w:t>
      </w:r>
      <w:r>
        <w:rPr>
          <w:rFonts w:hint="eastAsia" w:ascii="Times New Roman" w:hAnsi="Times New Roman" w:cs="Times New Roman"/>
          <w:sz w:val="24"/>
          <w:szCs w:val="32"/>
          <w:vertAlign w:val="superscript"/>
        </w:rPr>
        <w:t xml:space="preserve"> </w:t>
      </w:r>
      <w:r>
        <w:rPr>
          <w:rFonts w:ascii="Times New Roman" w:hAnsi="Times New Roman" w:cs="Times New Roman"/>
          <w:sz w:val="24"/>
          <w:szCs w:val="32"/>
          <w:vertAlign w:val="superscript"/>
        </w:rPr>
        <w:t>†</w:t>
      </w:r>
      <w:r>
        <w:rPr>
          <w:rFonts w:hint="eastAsia" w:ascii="Times New Roman" w:hAnsi="Times New Roman" w:cs="Times New Roman"/>
          <w:sz w:val="24"/>
          <w:szCs w:val="32"/>
        </w:rPr>
        <w:t>, Jiaxiang Ding</w:t>
      </w:r>
      <w:r>
        <w:rPr>
          <w:rFonts w:hint="eastAsia" w:ascii="Times New Roman" w:hAnsi="Times New Roman" w:cs="Times New Roman"/>
          <w:sz w:val="24"/>
          <w:szCs w:val="32"/>
          <w:vertAlign w:val="superscript"/>
        </w:rPr>
        <w:t>a, c</w:t>
      </w:r>
      <w:r>
        <w:rPr>
          <w:rFonts w:hint="eastAsia" w:ascii="Times New Roman" w:hAnsi="Times New Roman" w:cs="Times New Roman"/>
          <w:sz w:val="24"/>
          <w:szCs w:val="32"/>
        </w:rPr>
        <w:t>,</w:t>
      </w:r>
      <w:r>
        <w:rPr>
          <w:rFonts w:ascii="Times New Roman" w:hAnsi="Times New Roman" w:cs="Times New Roman"/>
          <w:sz w:val="24"/>
          <w:szCs w:val="32"/>
        </w:rPr>
        <w:t xml:space="preserve"> </w:t>
      </w:r>
      <w:r>
        <w:rPr>
          <w:rFonts w:hint="eastAsia" w:ascii="Times New Roman" w:hAnsi="Times New Roman" w:cs="Times New Roman"/>
          <w:sz w:val="24"/>
          <w:szCs w:val="32"/>
        </w:rPr>
        <w:t>Ying Wang</w:t>
      </w:r>
      <w:bookmarkStart w:id="1" w:name="_Hlk126331533"/>
      <w:r>
        <w:rPr>
          <w:rFonts w:hint="eastAsia" w:ascii="Times New Roman" w:hAnsi="Times New Roman" w:cs="Times New Roman"/>
          <w:sz w:val="24"/>
          <w:szCs w:val="32"/>
          <w:vertAlign w:val="superscript"/>
        </w:rPr>
        <w:t>a, d</w:t>
      </w:r>
      <w:bookmarkEnd w:id="1"/>
      <w:r>
        <w:rPr>
          <w:rFonts w:hint="eastAsia" w:ascii="Times New Roman" w:hAnsi="Times New Roman" w:cs="Times New Roman"/>
          <w:sz w:val="24"/>
          <w:szCs w:val="32"/>
        </w:rPr>
        <w:t>, Rongfang Shan</w:t>
      </w:r>
      <w:r>
        <w:rPr>
          <w:rFonts w:hint="eastAsia" w:ascii="Times New Roman" w:hAnsi="Times New Roman" w:cs="Times New Roman"/>
          <w:sz w:val="24"/>
          <w:szCs w:val="32"/>
          <w:vertAlign w:val="superscript"/>
        </w:rPr>
        <w:t>a, d</w:t>
      </w:r>
      <w:r>
        <w:rPr>
          <w:rFonts w:hint="eastAsia" w:ascii="Times New Roman" w:hAnsi="Times New Roman" w:cs="Times New Roman"/>
          <w:sz w:val="24"/>
          <w:szCs w:val="32"/>
        </w:rPr>
        <w:t>, Yuanyuan Liu</w:t>
      </w:r>
      <w:r>
        <w:rPr>
          <w:rFonts w:hint="eastAsia" w:ascii="Times New Roman" w:hAnsi="Times New Roman" w:cs="Times New Roman"/>
          <w:sz w:val="24"/>
          <w:szCs w:val="32"/>
          <w:vertAlign w:val="superscript"/>
        </w:rPr>
        <w:t>a</w:t>
      </w:r>
      <w:r>
        <w:rPr>
          <w:rFonts w:hint="eastAsia" w:ascii="Times New Roman" w:hAnsi="Times New Roman" w:cs="Times New Roman"/>
          <w:sz w:val="24"/>
          <w:szCs w:val="32"/>
        </w:rPr>
        <w:t>, Bingyan Liu</w:t>
      </w:r>
      <w:r>
        <w:rPr>
          <w:rFonts w:hint="eastAsia" w:ascii="Times New Roman" w:hAnsi="Times New Roman" w:cs="Times New Roman"/>
          <w:sz w:val="24"/>
          <w:szCs w:val="32"/>
          <w:vertAlign w:val="superscript"/>
        </w:rPr>
        <w:t>a</w:t>
      </w:r>
      <w:r>
        <w:rPr>
          <w:rFonts w:hint="eastAsia" w:ascii="Times New Roman" w:hAnsi="Times New Roman" w:cs="Times New Roman"/>
          <w:sz w:val="24"/>
          <w:szCs w:val="32"/>
        </w:rPr>
        <w:t>, Yuzhou Ding</w:t>
      </w:r>
      <w:r>
        <w:rPr>
          <w:rFonts w:hint="eastAsia" w:ascii="Times New Roman" w:hAnsi="Times New Roman" w:cs="Times New Roman"/>
          <w:sz w:val="24"/>
          <w:szCs w:val="32"/>
          <w:vertAlign w:val="superscript"/>
        </w:rPr>
        <w:t>a</w:t>
      </w:r>
      <w:r>
        <w:rPr>
          <w:rFonts w:hint="eastAsia" w:ascii="Times New Roman" w:hAnsi="Times New Roman" w:cs="Times New Roman"/>
          <w:sz w:val="24"/>
          <w:szCs w:val="32"/>
        </w:rPr>
        <w:t>, Jing Xie</w:t>
      </w:r>
      <w:r>
        <w:rPr>
          <w:rFonts w:hint="eastAsia" w:ascii="Times New Roman" w:hAnsi="Times New Roman" w:cs="Times New Roman"/>
          <w:sz w:val="24"/>
          <w:szCs w:val="32"/>
          <w:vertAlign w:val="superscript"/>
        </w:rPr>
        <w:t>a</w:t>
      </w:r>
      <w:r>
        <w:rPr>
          <w:rFonts w:hint="eastAsia" w:ascii="Times New Roman" w:hAnsi="Times New Roman" w:cs="Times New Roman"/>
          <w:sz w:val="24"/>
          <w:szCs w:val="32"/>
        </w:rPr>
        <w:t>,</w:t>
      </w:r>
      <w:r>
        <w:rPr>
          <w:rFonts w:ascii="Times New Roman" w:hAnsi="Times New Roman" w:cs="Times New Roman"/>
          <w:sz w:val="24"/>
          <w:szCs w:val="32"/>
        </w:rPr>
        <w:t xml:space="preserve"> </w:t>
      </w:r>
      <w:r>
        <w:rPr>
          <w:rFonts w:hint="eastAsia" w:ascii="Times New Roman" w:hAnsi="Times New Roman" w:cs="Times New Roman"/>
          <w:sz w:val="24"/>
          <w:szCs w:val="32"/>
        </w:rPr>
        <w:t>Huan Zhou</w:t>
      </w:r>
      <w:r>
        <w:rPr>
          <w:rFonts w:hint="eastAsia" w:ascii="Times New Roman" w:hAnsi="Times New Roman" w:cs="Times New Roman"/>
          <w:sz w:val="24"/>
          <w:szCs w:val="32"/>
          <w:vertAlign w:val="superscript"/>
        </w:rPr>
        <w:t xml:space="preserve">a, c,d, </w:t>
      </w:r>
      <w:r>
        <w:rPr>
          <w:rFonts w:hint="eastAsia" w:ascii="Times New Roman" w:hAnsi="Times New Roman" w:cs="Times New Roman"/>
          <w:sz w:val="24"/>
          <w:szCs w:val="32"/>
        </w:rPr>
        <w:t>*, Zhiqiang Wang</w:t>
      </w:r>
      <w:r>
        <w:rPr>
          <w:rFonts w:hint="eastAsia" w:ascii="Times New Roman" w:hAnsi="Times New Roman" w:cs="Times New Roman"/>
          <w:sz w:val="24"/>
          <w:szCs w:val="32"/>
          <w:vertAlign w:val="superscript"/>
        </w:rPr>
        <w:t xml:space="preserve">e, </w:t>
      </w:r>
      <w:r>
        <w:rPr>
          <w:rFonts w:hint="eastAsia" w:ascii="Times New Roman" w:hAnsi="Times New Roman" w:cs="Times New Roman"/>
          <w:sz w:val="24"/>
          <w:szCs w:val="32"/>
        </w:rPr>
        <w:t>*, Hongtao Li</w:t>
      </w:r>
      <w:r>
        <w:rPr>
          <w:rFonts w:hint="eastAsia" w:ascii="Times New Roman" w:hAnsi="Times New Roman" w:cs="Times New Roman"/>
          <w:sz w:val="24"/>
          <w:szCs w:val="32"/>
          <w:vertAlign w:val="superscript"/>
        </w:rPr>
        <w:t xml:space="preserve">a, </w:t>
      </w:r>
      <w:r>
        <w:rPr>
          <w:rFonts w:hint="eastAsia" w:ascii="Times New Roman" w:hAnsi="Times New Roman" w:cs="Times New Roman"/>
          <w:sz w:val="24"/>
          <w:szCs w:val="32"/>
        </w:rPr>
        <w:t>*</w:t>
      </w:r>
    </w:p>
    <w:bookmarkEnd w:id="0"/>
    <w:p>
      <w:pPr>
        <w:spacing w:line="360" w:lineRule="auto"/>
        <w:jc w:val="left"/>
        <w:rPr>
          <w:rFonts w:ascii="Times New Roman" w:hAnsi="Times New Roman" w:cs="Times New Roman"/>
          <w:sz w:val="24"/>
          <w:szCs w:val="32"/>
          <w:vertAlign w:val="superscript"/>
        </w:rPr>
      </w:pPr>
    </w:p>
    <w:p>
      <w:pPr>
        <w:spacing w:line="360" w:lineRule="auto"/>
        <w:jc w:val="left"/>
        <w:rPr>
          <w:rFonts w:ascii="Times New Roman" w:hAnsi="Times New Roman" w:cs="Times New Roman"/>
        </w:rPr>
      </w:pPr>
      <w:r>
        <w:rPr>
          <w:rFonts w:hint="eastAsia" w:ascii="Times New Roman" w:hAnsi="Times New Roman" w:cs="Times New Roman"/>
          <w:sz w:val="24"/>
          <w:szCs w:val="32"/>
          <w:vertAlign w:val="superscript"/>
        </w:rPr>
        <w:t xml:space="preserve">a </w:t>
      </w:r>
      <w:r>
        <w:rPr>
          <w:rFonts w:ascii="Times New Roman" w:hAnsi="Times New Roman" w:cs="Times New Roman"/>
        </w:rPr>
        <w:t>Clinical Trial</w:t>
      </w:r>
      <w:r>
        <w:rPr>
          <w:rFonts w:hint="eastAsia" w:ascii="Times New Roman" w:hAnsi="Times New Roman" w:cs="Times New Roman"/>
        </w:rPr>
        <w:t xml:space="preserve"> Center</w:t>
      </w:r>
      <w:r>
        <w:rPr>
          <w:rFonts w:ascii="Times New Roman" w:hAnsi="Times New Roman" w:cs="Times New Roman"/>
        </w:rPr>
        <w:t xml:space="preserve">, The First Affiliated Hospital of Bengbu Medical </w:t>
      </w:r>
      <w:r>
        <w:rPr>
          <w:rFonts w:hint="eastAsia" w:ascii="Times New Roman" w:hAnsi="Times New Roman" w:cs="Times New Roman"/>
        </w:rPr>
        <w:t>College</w:t>
      </w:r>
      <w:r>
        <w:rPr>
          <w:rFonts w:ascii="Times New Roman" w:hAnsi="Times New Roman" w:cs="Times New Roman"/>
        </w:rPr>
        <w:t>, Bengbu</w:t>
      </w:r>
      <w:r>
        <w:rPr>
          <w:rFonts w:hint="eastAsia" w:ascii="Times New Roman" w:hAnsi="Times New Roman" w:cs="Times New Roman"/>
        </w:rPr>
        <w:t xml:space="preserve"> 233009</w:t>
      </w:r>
      <w:r>
        <w:rPr>
          <w:rFonts w:ascii="Times New Roman" w:hAnsi="Times New Roman" w:cs="Times New Roman"/>
        </w:rPr>
        <w:t>, China</w:t>
      </w:r>
    </w:p>
    <w:p>
      <w:pPr>
        <w:spacing w:line="360" w:lineRule="auto"/>
        <w:jc w:val="left"/>
        <w:rPr>
          <w:rFonts w:ascii="Times New Roman" w:hAnsi="Times New Roman" w:cs="Times New Roman"/>
        </w:rPr>
      </w:pPr>
      <w:r>
        <w:rPr>
          <w:rFonts w:hint="eastAsia" w:ascii="Times New Roman" w:hAnsi="Times New Roman" w:cs="Times New Roman"/>
          <w:vertAlign w:val="superscript"/>
        </w:rPr>
        <w:t>b</w:t>
      </w:r>
      <w:r>
        <w:rPr>
          <w:rFonts w:hint="eastAsia" w:ascii="Times New Roman" w:hAnsi="Times New Roman" w:cs="Times New Roman"/>
        </w:rPr>
        <w:t xml:space="preserve"> Center of Drug Metabolism and Pharmacokinetics, China Pharmaceutical University, Nanjing 210009, China</w:t>
      </w:r>
    </w:p>
    <w:p>
      <w:pPr>
        <w:spacing w:line="360" w:lineRule="auto"/>
        <w:jc w:val="left"/>
        <w:rPr>
          <w:rFonts w:ascii="Times New Roman" w:hAnsi="Times New Roman" w:cs="Times New Roman"/>
        </w:rPr>
      </w:pPr>
      <w:r>
        <w:rPr>
          <w:rFonts w:hint="eastAsia" w:ascii="Times New Roman" w:hAnsi="Times New Roman" w:cs="Times New Roman"/>
          <w:vertAlign w:val="superscript"/>
        </w:rPr>
        <w:t>c</w:t>
      </w:r>
      <w:r>
        <w:rPr>
          <w:rFonts w:hint="eastAsia" w:ascii="Times New Roman" w:hAnsi="Times New Roman" w:cs="Times New Roman"/>
        </w:rPr>
        <w:t xml:space="preserve"> School of Public Foundation, Bengbu Medical College, Bengbu 233030, China</w:t>
      </w:r>
    </w:p>
    <w:p>
      <w:pPr>
        <w:spacing w:line="360" w:lineRule="auto"/>
        <w:jc w:val="left"/>
        <w:rPr>
          <w:rFonts w:ascii="Times New Roman" w:hAnsi="Times New Roman" w:cs="Times New Roman"/>
        </w:rPr>
      </w:pPr>
      <w:r>
        <w:rPr>
          <w:rFonts w:hint="eastAsia" w:ascii="Times New Roman" w:hAnsi="Times New Roman" w:cs="Times New Roman"/>
          <w:vertAlign w:val="superscript"/>
        </w:rPr>
        <w:t>d</w:t>
      </w:r>
      <w:r>
        <w:rPr>
          <w:rFonts w:hint="eastAsia" w:ascii="Times New Roman" w:hAnsi="Times New Roman" w:cs="Times New Roman"/>
        </w:rPr>
        <w:t xml:space="preserve"> </w:t>
      </w:r>
      <w:r>
        <w:rPr>
          <w:rFonts w:ascii="Times New Roman" w:hAnsi="Times New Roman" w:cs="Times New Roman"/>
        </w:rPr>
        <w:t xml:space="preserve">School of Pharmacy, Bengbu Medical </w:t>
      </w:r>
      <w:r>
        <w:rPr>
          <w:rFonts w:hint="eastAsia" w:ascii="Times New Roman" w:hAnsi="Times New Roman" w:cs="Times New Roman"/>
        </w:rPr>
        <w:t>College</w:t>
      </w:r>
      <w:r>
        <w:rPr>
          <w:rFonts w:ascii="Times New Roman" w:hAnsi="Times New Roman" w:cs="Times New Roman"/>
        </w:rPr>
        <w:t>, Bengbu</w:t>
      </w:r>
      <w:r>
        <w:rPr>
          <w:rFonts w:hint="eastAsia" w:ascii="Times New Roman" w:hAnsi="Times New Roman" w:cs="Times New Roman"/>
        </w:rPr>
        <w:t xml:space="preserve"> 233030, China</w:t>
      </w:r>
    </w:p>
    <w:p>
      <w:pPr>
        <w:spacing w:line="360" w:lineRule="auto"/>
        <w:jc w:val="left"/>
        <w:rPr>
          <w:rFonts w:ascii="Times New Roman" w:hAnsi="Times New Roman" w:cs="Times New Roman"/>
        </w:rPr>
      </w:pPr>
      <w:r>
        <w:rPr>
          <w:rFonts w:hint="eastAsia" w:ascii="Times New Roman" w:hAnsi="Times New Roman" w:cs="Times New Roman"/>
          <w:vertAlign w:val="superscript"/>
        </w:rPr>
        <w:t>e</w:t>
      </w:r>
      <w:r>
        <w:rPr>
          <w:rFonts w:hint="eastAsia" w:ascii="Times New Roman" w:hAnsi="Times New Roman" w:cs="Times New Roman"/>
        </w:rPr>
        <w:t xml:space="preserve"> School of Pharmaceutical Sciences, China Pharmaceutical University, Nanjing 210009, China</w:t>
      </w:r>
    </w:p>
    <w:p>
      <w:pPr>
        <w:spacing w:line="360" w:lineRule="auto"/>
        <w:jc w:val="left"/>
        <w:rPr>
          <w:rFonts w:ascii="Times New Roman" w:hAnsi="Times New Roman" w:cs="Times New Roman"/>
        </w:rPr>
      </w:pPr>
      <w:r>
        <w:rPr>
          <w:rFonts w:hint="eastAsia" w:ascii="Times New Roman" w:hAnsi="Times New Roman" w:cs="Times New Roman"/>
        </w:rPr>
        <w:t xml:space="preserve">* Co-corresponding authors: Huan Zhou, Zhiqiang Wang and </w:t>
      </w:r>
      <w:r>
        <w:rPr>
          <w:rFonts w:hint="eastAsia" w:ascii="Times New Roman" w:hAnsi="Times New Roman" w:cs="Times New Roman"/>
          <w:sz w:val="24"/>
          <w:szCs w:val="32"/>
        </w:rPr>
        <w:t>Hongtao Li</w:t>
      </w:r>
      <w:r>
        <w:rPr>
          <w:rFonts w:hint="eastAsia" w:ascii="Times New Roman" w:hAnsi="Times New Roman" w:cs="Times New Roman"/>
        </w:rPr>
        <w:t xml:space="preserve">                 </w:t>
      </w:r>
    </w:p>
    <w:p>
      <w:pPr>
        <w:spacing w:line="360" w:lineRule="auto"/>
        <w:jc w:val="left"/>
        <w:rPr>
          <w:rFonts w:ascii="Times New Roman" w:hAnsi="Times New Roman" w:cs="Times New Roman"/>
        </w:rPr>
      </w:pPr>
      <w:r>
        <w:rPr>
          <w:rFonts w:ascii="Times New Roman" w:hAnsi="Times New Roman" w:cs="Times New Roman"/>
          <w:sz w:val="24"/>
          <w:szCs w:val="32"/>
          <w:vertAlign w:val="superscript"/>
        </w:rPr>
        <w:t>†</w:t>
      </w:r>
      <w:r>
        <w:rPr>
          <w:rFonts w:hint="eastAsia" w:ascii="Times New Roman" w:hAnsi="Times New Roman" w:cs="Times New Roman"/>
          <w:sz w:val="24"/>
          <w:szCs w:val="32"/>
        </w:rPr>
        <w:t xml:space="preserve"> These authors made equal contributions to this work.</w:t>
      </w:r>
    </w:p>
    <w:p>
      <w:pPr>
        <w:jc w:val="center"/>
        <w:rPr>
          <w:rFonts w:ascii="Times New Roman" w:hAnsi="Times New Roman" w:cs="Times New Roman"/>
          <w:sz w:val="32"/>
          <w:szCs w:val="40"/>
        </w:rPr>
      </w:pPr>
    </w:p>
    <w:p>
      <w:pPr>
        <w:jc w:val="center"/>
        <w:rPr>
          <w:rFonts w:ascii="Times New Roman" w:hAnsi="Times New Roman" w:cs="Times New Roman"/>
          <w:b/>
          <w:bCs/>
          <w:sz w:val="24"/>
          <w:szCs w:val="32"/>
        </w:rPr>
      </w:pPr>
      <w:r>
        <w:rPr>
          <w:rFonts w:hint="eastAsia" w:ascii="Times New Roman" w:hAnsi="Times New Roman" w:cs="Times New Roman"/>
          <w:b/>
          <w:bCs/>
          <w:sz w:val="24"/>
          <w:szCs w:val="32"/>
        </w:rPr>
        <w:t>Table S1. Materials for in vitro studies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Borders>
              <w:top w:val="single" w:color="auto" w:sz="8" w:space="0"/>
              <w:left w:val="nil"/>
              <w:bottom w:val="single" w:color="auto" w:sz="8" w:space="0"/>
              <w:right w:val="nil"/>
            </w:tcBorders>
            <w:vAlign w:val="center"/>
          </w:tcPr>
          <w:p>
            <w:pPr>
              <w:jc w:val="center"/>
              <w:rPr>
                <w:rFonts w:ascii="Times New Roman" w:hAnsi="Times New Roman" w:cs="Times New Roman"/>
                <w:b/>
                <w:bCs/>
                <w:szCs w:val="21"/>
              </w:rPr>
            </w:pPr>
            <w:r>
              <w:rPr>
                <w:rFonts w:hint="eastAsia" w:ascii="Times New Roman" w:hAnsi="Times New Roman" w:cs="Times New Roman"/>
                <w:b/>
                <w:bCs/>
                <w:szCs w:val="21"/>
              </w:rPr>
              <w:t>Study</w:t>
            </w:r>
          </w:p>
        </w:tc>
        <w:tc>
          <w:tcPr>
            <w:tcW w:w="2840" w:type="dxa"/>
            <w:tcBorders>
              <w:top w:val="single" w:color="auto" w:sz="8" w:space="0"/>
              <w:left w:val="nil"/>
              <w:bottom w:val="single" w:color="auto" w:sz="8" w:space="0"/>
              <w:right w:val="nil"/>
            </w:tcBorders>
            <w:vAlign w:val="center"/>
          </w:tcPr>
          <w:p>
            <w:pPr>
              <w:jc w:val="center"/>
              <w:rPr>
                <w:rFonts w:ascii="Times New Roman" w:hAnsi="Times New Roman" w:cs="Times New Roman"/>
                <w:b/>
                <w:bCs/>
                <w:szCs w:val="21"/>
              </w:rPr>
            </w:pPr>
            <w:r>
              <w:rPr>
                <w:rFonts w:hint="eastAsia" w:ascii="Times New Roman" w:hAnsi="Times New Roman" w:cs="Times New Roman"/>
                <w:b/>
                <w:bCs/>
                <w:szCs w:val="21"/>
              </w:rPr>
              <w:t>Material</w:t>
            </w:r>
          </w:p>
        </w:tc>
        <w:tc>
          <w:tcPr>
            <w:tcW w:w="2840" w:type="dxa"/>
            <w:tcBorders>
              <w:top w:val="single" w:color="auto" w:sz="8" w:space="0"/>
              <w:left w:val="nil"/>
              <w:bottom w:val="single" w:color="auto" w:sz="8" w:space="0"/>
              <w:right w:val="nil"/>
            </w:tcBorders>
            <w:vAlign w:val="center"/>
          </w:tcPr>
          <w:p>
            <w:pPr>
              <w:jc w:val="center"/>
              <w:rPr>
                <w:rFonts w:ascii="Times New Roman" w:hAnsi="Times New Roman" w:cs="Times New Roman"/>
                <w:b/>
                <w:bCs/>
                <w:szCs w:val="21"/>
              </w:rPr>
            </w:pPr>
            <w:r>
              <w:rPr>
                <w:rFonts w:hint="eastAsia" w:ascii="Times New Roman" w:hAnsi="Times New Roman" w:cs="Times New Roman"/>
                <w:b/>
                <w:bCs/>
                <w:szCs w:val="21"/>
              </w:rPr>
              <w:t>Supplier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top w:val="single" w:color="auto" w:sz="8" w:space="0"/>
              <w:left w:val="nil"/>
              <w:right w:val="nil"/>
            </w:tcBorders>
            <w:vAlign w:val="center"/>
          </w:tcPr>
          <w:p>
            <w:pPr>
              <w:jc w:val="center"/>
              <w:rPr>
                <w:rFonts w:ascii="Times New Roman" w:hAnsi="Times New Roman" w:cs="Times New Roman"/>
                <w:b/>
                <w:bCs/>
                <w:szCs w:val="21"/>
              </w:rPr>
            </w:pPr>
            <w:r>
              <w:rPr>
                <w:rFonts w:ascii="Times New Roman" w:hAnsi="Times New Roman" w:cs="Times New Roman"/>
                <w:b/>
                <w:bCs/>
                <w:szCs w:val="21"/>
              </w:rPr>
              <w:t>Metabolism Studies</w:t>
            </w:r>
          </w:p>
        </w:tc>
        <w:tc>
          <w:tcPr>
            <w:tcW w:w="2840" w:type="dxa"/>
            <w:tcBorders>
              <w:top w:val="single" w:color="auto" w:sz="8" w:space="0"/>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human recombinant enzymes (CYP 1A2, 2B6, 2C8, 2C9, 2C19, 2D6 and 3A4)</w:t>
            </w:r>
          </w:p>
        </w:tc>
        <w:tc>
          <w:tcPr>
            <w:tcW w:w="2840" w:type="dxa"/>
            <w:tcBorders>
              <w:top w:val="single" w:color="auto" w:sz="8" w:space="0"/>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Cypex, UK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 xml:space="preserve">NADPH, </w:t>
            </w:r>
            <w:r>
              <w:rPr>
                <w:rFonts w:ascii="Times New Roman" w:hAnsi="Times New Roman" w:cs="Times New Roman"/>
                <w:szCs w:val="21"/>
              </w:rPr>
              <w:t>K</w:t>
            </w:r>
            <w:r>
              <w:rPr>
                <w:rFonts w:ascii="Times New Roman" w:hAnsi="Times New Roman" w:cs="Times New Roman"/>
                <w:szCs w:val="21"/>
                <w:vertAlign w:val="subscript"/>
              </w:rPr>
              <w:t>2</w:t>
            </w:r>
            <w:r>
              <w:rPr>
                <w:rFonts w:ascii="Times New Roman" w:hAnsi="Times New Roman" w:cs="Times New Roman"/>
                <w:szCs w:val="21"/>
              </w:rPr>
              <w:t>HPO</w:t>
            </w:r>
            <w:r>
              <w:rPr>
                <w:rFonts w:ascii="Times New Roman" w:hAnsi="Times New Roman" w:cs="Times New Roman"/>
                <w:szCs w:val="21"/>
                <w:vertAlign w:val="subscript"/>
              </w:rPr>
              <w:t>4</w:t>
            </w:r>
            <w:r>
              <w:rPr>
                <w:rFonts w:hint="eastAsia" w:ascii="Times New Roman" w:hAnsi="Times New Roman" w:cs="Times New Roman"/>
                <w:szCs w:val="21"/>
              </w:rPr>
              <w:t>, MeOH, ACN</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Sigma,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Buspirone HCl</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Meilune, C</w:t>
            </w:r>
            <w:r>
              <w:rPr>
                <w:rFonts w:hint="eastAsia" w:ascii="Times New Roman" w:hAnsi="Times New Roman" w:cs="Times New Roman"/>
                <w:szCs w:val="21"/>
              </w:rPr>
              <w:t>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left w:val="nil"/>
              <w:right w:val="nil"/>
            </w:tcBorders>
            <w:vAlign w:val="center"/>
          </w:tcPr>
          <w:p>
            <w:pPr>
              <w:jc w:val="center"/>
              <w:rPr>
                <w:rFonts w:ascii="Times New Roman" w:hAnsi="Times New Roman" w:cs="Times New Roman"/>
                <w:b/>
                <w:bCs/>
                <w:szCs w:val="21"/>
              </w:rPr>
            </w:pPr>
            <w:r>
              <w:rPr>
                <w:rFonts w:ascii="Times New Roman" w:hAnsi="Times New Roman" w:cs="Times New Roman"/>
                <w:b/>
                <w:bCs/>
                <w:szCs w:val="21"/>
              </w:rPr>
              <w:t>Inhibitory Potential of SH-1028 for CYPs</w:t>
            </w: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 xml:space="preserve"> Pooled human liver microsomes</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Bioreclamation IVT,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 xml:space="preserve">Phenacetin, Amodiaquine, Diclofenac, S-Mephenytoin, Dextromethorphan, </w:t>
            </w:r>
            <w:r>
              <w:rPr>
                <w:rFonts w:ascii="Times New Roman" w:hAnsi="Times New Roman" w:cs="Times New Roman"/>
                <w:szCs w:val="21"/>
              </w:rPr>
              <w:t>α</w:t>
            </w:r>
            <w:r>
              <w:rPr>
                <w:rFonts w:hint="eastAsia" w:ascii="Times New Roman" w:hAnsi="Times New Roman" w:cs="Times New Roman"/>
                <w:szCs w:val="21"/>
              </w:rPr>
              <w:t xml:space="preserve">-Naphthoflavone, Quercetin, Sulfaphenazolum, Ticlopidine, Quinidine, Ketoconazole  </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Sigma,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Bupropion, Testosterone, Thiotepa</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Sohon, C</w:t>
            </w:r>
            <w:r>
              <w:rPr>
                <w:rFonts w:hint="eastAsia" w:ascii="Times New Roman" w:hAnsi="Times New Roman" w:cs="Times New Roman"/>
                <w:szCs w:val="21"/>
              </w:rPr>
              <w:t>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Midazolam</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National Institutes for Food and Drug Control,</w:t>
            </w:r>
            <w:r>
              <w:rPr>
                <w:rFonts w:hint="eastAsia" w:ascii="Times New Roman" w:hAnsi="Times New Roman" w:cs="Times New Roman"/>
                <w:szCs w:val="21"/>
              </w:rPr>
              <w:t xml:space="preserve"> </w:t>
            </w:r>
            <w:r>
              <w:rPr>
                <w:rFonts w:ascii="Times New Roman" w:hAnsi="Times New Roman" w:cs="Times New Roman"/>
                <w:szCs w:val="21"/>
              </w:rPr>
              <w:t>C</w:t>
            </w:r>
            <w:r>
              <w:rPr>
                <w:rFonts w:hint="eastAsia" w:ascii="Times New Roman" w:hAnsi="Times New Roman" w:cs="Times New Roman"/>
                <w:szCs w:val="21"/>
              </w:rPr>
              <w:t>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left w:val="nil"/>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NADPH</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Roche</w:t>
            </w:r>
            <w:r>
              <w:rPr>
                <w:rFonts w:hint="eastAsia" w:ascii="Times New Roman" w:hAnsi="Times New Roman" w:cs="Times New Roman"/>
                <w:szCs w:val="21"/>
              </w:rPr>
              <w:t>, Switzerland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Borders>
              <w:left w:val="nil"/>
              <w:bottom w:val="single" w:color="000000" w:sz="8" w:space="0"/>
              <w:right w:val="nil"/>
            </w:tcBorders>
            <w:vAlign w:val="center"/>
          </w:tcPr>
          <w:p>
            <w:pPr>
              <w:jc w:val="center"/>
              <w:rPr>
                <w:rFonts w:ascii="Times New Roman" w:hAnsi="Times New Roman" w:cs="Times New Roman"/>
                <w:b/>
                <w:bCs/>
                <w:szCs w:val="21"/>
              </w:rPr>
            </w:pPr>
            <w:r>
              <w:rPr>
                <w:rFonts w:ascii="Times New Roman" w:hAnsi="Times New Roman" w:cs="Times New Roman"/>
                <w:b/>
                <w:bCs/>
                <w:szCs w:val="21"/>
              </w:rPr>
              <w:t>Induction Potential of SH-1028 for CYPs</w:t>
            </w: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Primary-cultured human hepatocytes</w:t>
            </w:r>
          </w:p>
          <w:p>
            <w:pPr>
              <w:jc w:val="center"/>
              <w:rPr>
                <w:rFonts w:ascii="Times New Roman" w:hAnsi="Times New Roman" w:cs="Times New Roman"/>
                <w:szCs w:val="21"/>
              </w:rPr>
            </w:pPr>
            <w:r>
              <w:rPr>
                <w:rFonts w:hint="eastAsia" w:ascii="Times New Roman" w:hAnsi="Times New Roman" w:cs="Times New Roman"/>
                <w:szCs w:val="21"/>
              </w:rPr>
              <w:t xml:space="preserve">Donor 1 lot no. HNN (male), Donor 2 lot </w:t>
            </w:r>
          </w:p>
          <w:p>
            <w:pPr>
              <w:jc w:val="center"/>
              <w:rPr>
                <w:rFonts w:ascii="Times New Roman" w:hAnsi="Times New Roman" w:cs="Times New Roman"/>
                <w:szCs w:val="21"/>
              </w:rPr>
            </w:pPr>
            <w:r>
              <w:rPr>
                <w:rFonts w:hint="eastAsia" w:ascii="Times New Roman" w:hAnsi="Times New Roman" w:cs="Times New Roman"/>
                <w:szCs w:val="21"/>
              </w:rPr>
              <w:t xml:space="preserve">no. RMH (male), Donor 3 lot no. DJJ (male) </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Bioreclamation IVT,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single" w:color="000000" w:sz="8" w:space="0"/>
              <w:left w:val="nil"/>
              <w:bottom w:val="single" w:color="000000" w:sz="8" w:space="0"/>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 xml:space="preserve">Omeprazole, Rifampicin, Phenacetin, Bupropion, </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Sigma,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single" w:color="000000" w:sz="8" w:space="0"/>
              <w:left w:val="nil"/>
              <w:bottom w:val="single" w:color="000000" w:sz="8" w:space="0"/>
              <w:right w:val="nil"/>
            </w:tcBorders>
            <w:vAlign w:val="center"/>
          </w:tcPr>
          <w:p>
            <w:pPr>
              <w:jc w:val="center"/>
              <w:rPr>
                <w:rFonts w:ascii="Times New Roman" w:hAnsi="Times New Roman" w:cs="Times New Roman"/>
                <w:b/>
                <w:bCs/>
                <w:szCs w:val="21"/>
              </w:rPr>
            </w:pPr>
          </w:p>
        </w:tc>
        <w:tc>
          <w:tcPr>
            <w:tcW w:w="2840" w:type="dxa"/>
            <w:tcBorders>
              <w:left w:val="nil"/>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Phenobarbital</w:t>
            </w:r>
          </w:p>
        </w:tc>
        <w:tc>
          <w:tcPr>
            <w:tcW w:w="2840" w:type="dxa"/>
            <w:tcBorders>
              <w:left w:val="nil"/>
              <w:right w:val="nil"/>
            </w:tcBorders>
            <w:vAlign w:val="center"/>
          </w:tcPr>
          <w:p>
            <w:pPr>
              <w:jc w:val="center"/>
              <w:rPr>
                <w:rFonts w:ascii="Times New Roman" w:hAnsi="Times New Roman" w:cs="Times New Roman"/>
                <w:szCs w:val="21"/>
              </w:rPr>
            </w:pPr>
            <w:r>
              <w:rPr>
                <w:rFonts w:ascii="Times New Roman" w:hAnsi="Times New Roman" w:cs="Times New Roman"/>
                <w:szCs w:val="21"/>
              </w:rPr>
              <w:t>National Institutes for Food and Drug Control,</w:t>
            </w:r>
            <w:r>
              <w:rPr>
                <w:rFonts w:hint="eastAsia" w:ascii="Times New Roman" w:hAnsi="Times New Roman" w:cs="Times New Roman"/>
                <w:szCs w:val="21"/>
              </w:rPr>
              <w:t xml:space="preserve"> </w:t>
            </w:r>
            <w:r>
              <w:rPr>
                <w:rFonts w:ascii="Times New Roman" w:hAnsi="Times New Roman" w:cs="Times New Roman"/>
                <w:szCs w:val="21"/>
              </w:rPr>
              <w:t>C</w:t>
            </w:r>
            <w:r>
              <w:rPr>
                <w:rFonts w:hint="eastAsia" w:ascii="Times New Roman" w:hAnsi="Times New Roman" w:cs="Times New Roman"/>
                <w:szCs w:val="21"/>
              </w:rPr>
              <w:t>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Borders>
              <w:top w:val="single" w:color="000000" w:sz="8" w:space="0"/>
              <w:left w:val="nil"/>
              <w:bottom w:val="single" w:color="000000" w:sz="8" w:space="0"/>
              <w:right w:val="nil"/>
            </w:tcBorders>
            <w:vAlign w:val="center"/>
          </w:tcPr>
          <w:p>
            <w:pPr>
              <w:jc w:val="center"/>
              <w:rPr>
                <w:rFonts w:ascii="Times New Roman" w:hAnsi="Times New Roman" w:cs="Times New Roman"/>
                <w:b/>
                <w:bCs/>
                <w:szCs w:val="21"/>
              </w:rPr>
            </w:pPr>
          </w:p>
        </w:tc>
        <w:tc>
          <w:tcPr>
            <w:tcW w:w="2840" w:type="dxa"/>
            <w:tcBorders>
              <w:left w:val="nil"/>
              <w:bottom w:val="single" w:color="000000" w:sz="8" w:space="0"/>
              <w:right w:val="nil"/>
            </w:tcBorders>
            <w:vAlign w:val="center"/>
          </w:tcPr>
          <w:p>
            <w:pPr>
              <w:jc w:val="center"/>
              <w:rPr>
                <w:rFonts w:ascii="Times New Roman" w:hAnsi="Times New Roman" w:cs="Times New Roman"/>
                <w:szCs w:val="21"/>
              </w:rPr>
            </w:pPr>
            <w:r>
              <w:rPr>
                <w:rFonts w:hint="eastAsia" w:ascii="Times New Roman" w:hAnsi="Times New Roman" w:cs="Times New Roman"/>
                <w:szCs w:val="21"/>
              </w:rPr>
              <w:t>Testosterone</w:t>
            </w:r>
          </w:p>
        </w:tc>
        <w:tc>
          <w:tcPr>
            <w:tcW w:w="2840" w:type="dxa"/>
            <w:tcBorders>
              <w:left w:val="nil"/>
              <w:bottom w:val="single" w:color="000000" w:sz="8" w:space="0"/>
              <w:right w:val="nil"/>
            </w:tcBorders>
            <w:vAlign w:val="center"/>
          </w:tcPr>
          <w:p>
            <w:pPr>
              <w:jc w:val="center"/>
              <w:rPr>
                <w:rFonts w:ascii="Times New Roman" w:hAnsi="Times New Roman" w:cs="Times New Roman"/>
                <w:szCs w:val="21"/>
              </w:rPr>
            </w:pPr>
            <w:r>
              <w:rPr>
                <w:rFonts w:ascii="Times New Roman" w:hAnsi="Times New Roman" w:cs="Times New Roman"/>
                <w:szCs w:val="21"/>
              </w:rPr>
              <w:t>Sohon, C</w:t>
            </w:r>
            <w:r>
              <w:rPr>
                <w:rFonts w:hint="eastAsia" w:ascii="Times New Roman" w:hAnsi="Times New Roman" w:cs="Times New Roman"/>
                <w:szCs w:val="21"/>
              </w:rPr>
              <w:t>hina</w:t>
            </w:r>
          </w:p>
        </w:tc>
      </w:tr>
    </w:tbl>
    <w:p>
      <w:pPr>
        <w:jc w:val="left"/>
        <w:rPr>
          <w:rFonts w:ascii="Times New Roman" w:hAnsi="Times New Roman" w:cs="Times New Roman"/>
          <w:sz w:val="24"/>
        </w:rPr>
      </w:pPr>
    </w:p>
    <w:p>
      <w:pPr>
        <w:jc w:val="left"/>
        <w:rPr>
          <w:rFonts w:ascii="Times New Roman" w:hAnsi="Times New Roman" w:cs="Times New Roman"/>
          <w:sz w:val="24"/>
        </w:rPr>
      </w:pPr>
    </w:p>
    <w:p>
      <w:pPr>
        <w:jc w:val="center"/>
        <w:rPr>
          <w:rFonts w:ascii="Times New Roman" w:hAnsi="Times New Roman" w:cs="Times New Roman"/>
          <w:b/>
          <w:bCs/>
          <w:sz w:val="24"/>
          <w:szCs w:val="32"/>
        </w:rPr>
      </w:pPr>
      <w:r>
        <w:rPr>
          <w:rFonts w:hint="eastAsia" w:ascii="Times New Roman" w:hAnsi="Times New Roman" w:cs="Times New Roman"/>
          <w:b/>
          <w:bCs/>
          <w:sz w:val="24"/>
          <w:szCs w:val="32"/>
        </w:rPr>
        <w:t>Table S2. Demographics and baseline characteristics of participants in the clinical trial.</w:t>
      </w:r>
    </w:p>
    <w:tbl>
      <w:tblPr>
        <w:tblStyle w:val="6"/>
        <w:tblW w:w="855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52"/>
        <w:gridCol w:w="2853"/>
        <w:gridCol w:w="28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2852" w:type="dxa"/>
            <w:tcBorders>
              <w:top w:val="single" w:color="auto" w:sz="4" w:space="0"/>
              <w:bottom w:val="single" w:color="auto" w:sz="4" w:space="0"/>
            </w:tcBorders>
            <w:vAlign w:val="center"/>
          </w:tcPr>
          <w:p>
            <w:pPr>
              <w:jc w:val="center"/>
              <w:rPr>
                <w:rFonts w:ascii="Times New Roman" w:hAnsi="Times New Roman" w:cs="Times New Roman"/>
                <w:b/>
                <w:bCs/>
              </w:rPr>
            </w:pPr>
            <w:r>
              <w:rPr>
                <w:rFonts w:ascii="Times New Roman" w:hAnsi="Times New Roman" w:cs="Times New Roman"/>
                <w:b/>
                <w:bCs/>
              </w:rPr>
              <w:t>Characteristic</w:t>
            </w:r>
          </w:p>
        </w:tc>
        <w:tc>
          <w:tcPr>
            <w:tcW w:w="2853" w:type="dxa"/>
            <w:tcBorders>
              <w:top w:val="single" w:color="auto" w:sz="4" w:space="0"/>
              <w:bottom w:val="single" w:color="auto" w:sz="4" w:space="0"/>
            </w:tcBorders>
            <w:vAlign w:val="center"/>
          </w:tcPr>
          <w:p>
            <w:pPr>
              <w:jc w:val="center"/>
              <w:rPr>
                <w:rFonts w:ascii="Times New Roman" w:hAnsi="Times New Roman" w:cs="Times New Roman"/>
                <w:b/>
                <w:bCs/>
              </w:rPr>
            </w:pPr>
            <w:r>
              <w:rPr>
                <w:rFonts w:hint="eastAsia" w:ascii="Times New Roman" w:hAnsi="Times New Roman" w:cs="Times New Roman"/>
                <w:b/>
                <w:bCs/>
              </w:rPr>
              <w:t>Group A</w:t>
            </w:r>
          </w:p>
          <w:p>
            <w:pPr>
              <w:jc w:val="center"/>
              <w:rPr>
                <w:rFonts w:ascii="Times New Roman" w:hAnsi="Times New Roman" w:cs="Times New Roman"/>
                <w:b/>
                <w:bCs/>
              </w:rPr>
            </w:pPr>
            <w:r>
              <w:rPr>
                <w:rFonts w:hint="eastAsia" w:ascii="Times New Roman" w:hAnsi="Times New Roman" w:cs="Times New Roman"/>
                <w:b/>
                <w:bCs/>
              </w:rPr>
              <w:t>(N=20)</w:t>
            </w:r>
          </w:p>
        </w:tc>
        <w:tc>
          <w:tcPr>
            <w:tcW w:w="2853" w:type="dxa"/>
            <w:tcBorders>
              <w:top w:val="single" w:color="auto" w:sz="4" w:space="0"/>
              <w:bottom w:val="single" w:color="auto" w:sz="4" w:space="0"/>
            </w:tcBorders>
            <w:vAlign w:val="center"/>
          </w:tcPr>
          <w:p>
            <w:pPr>
              <w:jc w:val="center"/>
              <w:rPr>
                <w:rFonts w:ascii="Times New Roman" w:hAnsi="Times New Roman" w:cs="Times New Roman"/>
                <w:b/>
                <w:bCs/>
              </w:rPr>
            </w:pPr>
            <w:r>
              <w:rPr>
                <w:rFonts w:hint="eastAsia" w:ascii="Times New Roman" w:hAnsi="Times New Roman" w:cs="Times New Roman"/>
                <w:b/>
                <w:bCs/>
              </w:rPr>
              <w:t>Group B</w:t>
            </w:r>
          </w:p>
          <w:p>
            <w:pPr>
              <w:jc w:val="center"/>
              <w:rPr>
                <w:rFonts w:ascii="Times New Roman" w:hAnsi="Times New Roman" w:cs="Times New Roman"/>
                <w:b/>
                <w:bCs/>
              </w:rPr>
            </w:pPr>
            <w:r>
              <w:rPr>
                <w:rFonts w:hint="eastAsia" w:ascii="Times New Roman" w:hAnsi="Times New Roman" w:cs="Times New Roman"/>
                <w:b/>
                <w:bCs/>
              </w:rPr>
              <w:t>(N=20)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52" w:type="dxa"/>
            <w:tcBorders>
              <w:top w:val="single" w:color="auto" w:sz="4" w:space="0"/>
            </w:tcBorders>
            <w:vAlign w:val="center"/>
          </w:tcPr>
          <w:p>
            <w:pPr>
              <w:jc w:val="center"/>
              <w:rPr>
                <w:rFonts w:ascii="Times New Roman" w:hAnsi="Times New Roman" w:cs="Times New Roman"/>
                <w:b/>
                <w:bCs/>
              </w:rPr>
            </w:pPr>
            <w:r>
              <w:rPr>
                <w:rFonts w:ascii="Times New Roman" w:hAnsi="Times New Roman" w:cs="Times New Roman"/>
                <w:b/>
                <w:bCs/>
              </w:rPr>
              <w:t>Male, n (%)</w:t>
            </w:r>
          </w:p>
        </w:tc>
        <w:tc>
          <w:tcPr>
            <w:tcW w:w="2853" w:type="dxa"/>
            <w:tcBorders>
              <w:top w:val="single" w:color="auto" w:sz="4" w:space="0"/>
            </w:tcBorders>
            <w:vAlign w:val="center"/>
          </w:tcPr>
          <w:p>
            <w:pPr>
              <w:jc w:val="center"/>
              <w:rPr>
                <w:rFonts w:ascii="Times New Roman" w:hAnsi="Times New Roman" w:cs="Times New Roman"/>
              </w:rPr>
            </w:pPr>
            <w:r>
              <w:rPr>
                <w:rFonts w:ascii="Times New Roman" w:hAnsi="Times New Roman" w:cs="Times New Roman"/>
              </w:rPr>
              <w:t>20 ( 100%)</w:t>
            </w:r>
          </w:p>
        </w:tc>
        <w:tc>
          <w:tcPr>
            <w:tcW w:w="2853" w:type="dxa"/>
            <w:tcBorders>
              <w:top w:val="single" w:color="auto" w:sz="4" w:space="0"/>
            </w:tcBorders>
            <w:vAlign w:val="center"/>
          </w:tcPr>
          <w:p>
            <w:pPr>
              <w:jc w:val="center"/>
              <w:rPr>
                <w:rFonts w:ascii="Times New Roman" w:hAnsi="Times New Roman" w:cs="Times New Roman"/>
              </w:rPr>
            </w:pPr>
            <w:r>
              <w:rPr>
                <w:rFonts w:ascii="Times New Roman" w:hAnsi="Times New Roman" w:cs="Times New Roman"/>
              </w:rPr>
              <w:t>20 ( 100%)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52" w:type="dxa"/>
            <w:vAlign w:val="center"/>
          </w:tcPr>
          <w:p>
            <w:pPr>
              <w:jc w:val="center"/>
              <w:rPr>
                <w:rFonts w:ascii="Times New Roman" w:hAnsi="Times New Roman" w:cs="Times New Roman"/>
                <w:b/>
                <w:bCs/>
              </w:rPr>
            </w:pPr>
            <w:r>
              <w:rPr>
                <w:rFonts w:ascii="Times New Roman" w:hAnsi="Times New Roman" w:cs="Times New Roman"/>
                <w:b/>
                <w:bCs/>
              </w:rPr>
              <w:t>Age (years)</w:t>
            </w:r>
          </w:p>
        </w:tc>
        <w:tc>
          <w:tcPr>
            <w:tcW w:w="2853" w:type="dxa"/>
            <w:vAlign w:val="center"/>
          </w:tcPr>
          <w:p>
            <w:pPr>
              <w:jc w:val="center"/>
              <w:rPr>
                <w:rFonts w:ascii="Times New Roman" w:hAnsi="Times New Roman" w:cs="Times New Roman"/>
              </w:rPr>
            </w:pPr>
            <w:r>
              <w:rPr>
                <w:rFonts w:ascii="Times New Roman" w:hAnsi="Times New Roman" w:cs="Times New Roman"/>
                <w:szCs w:val="21"/>
              </w:rPr>
              <w:t>27.6</w:t>
            </w:r>
            <w:r>
              <w:rPr>
                <w:rFonts w:hint="eastAsia" w:ascii="Times New Roman" w:hAnsi="Times New Roman" w:cs="Times New Roman"/>
                <w:szCs w:val="21"/>
              </w:rPr>
              <w:t xml:space="preserve"> (</w:t>
            </w:r>
            <w:r>
              <w:rPr>
                <w:rFonts w:ascii="Times New Roman" w:hAnsi="Times New Roman" w:cs="Times New Roman"/>
                <w:szCs w:val="21"/>
              </w:rPr>
              <w:t>20</w:t>
            </w:r>
            <w:r>
              <w:rPr>
                <w:rFonts w:hint="eastAsia" w:ascii="Times New Roman" w:hAnsi="Times New Roman" w:cs="Times New Roman"/>
                <w:szCs w:val="21"/>
              </w:rPr>
              <w:t>-</w:t>
            </w:r>
            <w:r>
              <w:rPr>
                <w:rFonts w:ascii="Times New Roman" w:hAnsi="Times New Roman" w:cs="Times New Roman"/>
                <w:szCs w:val="21"/>
              </w:rPr>
              <w:t>39</w:t>
            </w:r>
            <w:r>
              <w:rPr>
                <w:rFonts w:hint="eastAsia" w:ascii="Times New Roman" w:hAnsi="Times New Roman" w:cs="Times New Roman"/>
                <w:szCs w:val="21"/>
              </w:rPr>
              <w:t>)</w:t>
            </w:r>
          </w:p>
        </w:tc>
        <w:tc>
          <w:tcPr>
            <w:tcW w:w="2853" w:type="dxa"/>
            <w:vAlign w:val="center"/>
          </w:tcPr>
          <w:p>
            <w:pPr>
              <w:jc w:val="center"/>
              <w:rPr>
                <w:rFonts w:ascii="Times New Roman" w:hAnsi="Times New Roman" w:cs="Times New Roman"/>
              </w:rPr>
            </w:pPr>
            <w:r>
              <w:rPr>
                <w:rFonts w:hint="eastAsia" w:ascii="Times New Roman" w:hAnsi="Times New Roman" w:cs="Times New Roman"/>
              </w:rPr>
              <w:t>27.4 (19-42)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52" w:type="dxa"/>
            <w:vAlign w:val="center"/>
          </w:tcPr>
          <w:p>
            <w:pPr>
              <w:jc w:val="center"/>
              <w:rPr>
                <w:rFonts w:ascii="Times New Roman" w:hAnsi="Times New Roman" w:cs="Times New Roman"/>
                <w:b/>
                <w:bCs/>
              </w:rPr>
            </w:pPr>
            <w:r>
              <w:rPr>
                <w:rFonts w:ascii="Times New Roman" w:hAnsi="Times New Roman" w:cs="Times New Roman"/>
                <w:b/>
                <w:bCs/>
              </w:rPr>
              <w:t>Weight (kg)</w:t>
            </w:r>
          </w:p>
        </w:tc>
        <w:tc>
          <w:tcPr>
            <w:tcW w:w="2853" w:type="dxa"/>
            <w:vAlign w:val="center"/>
          </w:tcPr>
          <w:p>
            <w:pPr>
              <w:jc w:val="center"/>
              <w:rPr>
                <w:rFonts w:ascii="Times New Roman" w:hAnsi="Times New Roman" w:cs="Times New Roman"/>
              </w:rPr>
            </w:pPr>
            <w:r>
              <w:rPr>
                <w:rFonts w:hint="eastAsia" w:ascii="Times New Roman" w:hAnsi="Times New Roman" w:cs="Times New Roman"/>
              </w:rPr>
              <w:t>68.3 (53.1-79.1)</w:t>
            </w:r>
          </w:p>
        </w:tc>
        <w:tc>
          <w:tcPr>
            <w:tcW w:w="2853" w:type="dxa"/>
            <w:vAlign w:val="center"/>
          </w:tcPr>
          <w:p>
            <w:pPr>
              <w:jc w:val="center"/>
              <w:rPr>
                <w:rFonts w:ascii="Times New Roman" w:hAnsi="Times New Roman" w:cs="Times New Roman"/>
              </w:rPr>
            </w:pPr>
            <w:r>
              <w:rPr>
                <w:rFonts w:hint="eastAsia" w:ascii="Times New Roman" w:hAnsi="Times New Roman" w:cs="Times New Roman"/>
              </w:rPr>
              <w:t>65.1 (55.4-75.1)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52" w:type="dxa"/>
            <w:vAlign w:val="center"/>
          </w:tcPr>
          <w:p>
            <w:pPr>
              <w:jc w:val="center"/>
              <w:rPr>
                <w:rFonts w:ascii="Times New Roman" w:hAnsi="Times New Roman" w:cs="Times New Roman"/>
                <w:b/>
                <w:bCs/>
              </w:rPr>
            </w:pPr>
            <w:r>
              <w:rPr>
                <w:rFonts w:ascii="Times New Roman" w:hAnsi="Times New Roman" w:cs="Times New Roman"/>
                <w:b/>
                <w:bCs/>
              </w:rPr>
              <w:t>Height (cm)</w:t>
            </w:r>
          </w:p>
        </w:tc>
        <w:tc>
          <w:tcPr>
            <w:tcW w:w="2853" w:type="dxa"/>
            <w:vAlign w:val="center"/>
          </w:tcPr>
          <w:p>
            <w:pPr>
              <w:jc w:val="center"/>
              <w:rPr>
                <w:rFonts w:ascii="Times New Roman" w:hAnsi="Times New Roman" w:cs="Times New Roman"/>
              </w:rPr>
            </w:pPr>
            <w:r>
              <w:rPr>
                <w:rFonts w:hint="eastAsia" w:ascii="Times New Roman" w:hAnsi="Times New Roman" w:cs="Times New Roman"/>
              </w:rPr>
              <w:t>173 (159-184)</w:t>
            </w:r>
          </w:p>
        </w:tc>
        <w:tc>
          <w:tcPr>
            <w:tcW w:w="2853" w:type="dxa"/>
            <w:vAlign w:val="center"/>
          </w:tcPr>
          <w:p>
            <w:pPr>
              <w:jc w:val="center"/>
              <w:rPr>
                <w:rFonts w:ascii="Times New Roman" w:hAnsi="Times New Roman" w:cs="Times New Roman"/>
              </w:rPr>
            </w:pPr>
            <w:r>
              <w:rPr>
                <w:rFonts w:hint="eastAsia" w:ascii="Times New Roman" w:hAnsi="Times New Roman" w:cs="Times New Roman"/>
              </w:rPr>
              <w:t>170 (163-181)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2852" w:type="dxa"/>
            <w:vAlign w:val="center"/>
          </w:tcPr>
          <w:p>
            <w:pPr>
              <w:jc w:val="center"/>
              <w:rPr>
                <w:rFonts w:ascii="Times New Roman" w:hAnsi="Times New Roman" w:cs="Times New Roman"/>
                <w:b/>
                <w:bCs/>
              </w:rPr>
            </w:pPr>
            <w:r>
              <w:rPr>
                <w:rFonts w:ascii="Times New Roman" w:hAnsi="Times New Roman" w:cs="Times New Roman"/>
                <w:b/>
                <w:bCs/>
              </w:rPr>
              <w:t>BMI (kg/m</w:t>
            </w:r>
            <w:r>
              <w:rPr>
                <w:rFonts w:ascii="Times New Roman" w:hAnsi="Times New Roman" w:cs="Times New Roman"/>
                <w:b/>
                <w:bCs/>
                <w:vertAlign w:val="superscript"/>
              </w:rPr>
              <w:t>2</w:t>
            </w:r>
            <w:r>
              <w:rPr>
                <w:rFonts w:ascii="Times New Roman" w:hAnsi="Times New Roman" w:cs="Times New Roman"/>
                <w:b/>
                <w:bCs/>
              </w:rPr>
              <w:t>)</w:t>
            </w:r>
          </w:p>
        </w:tc>
        <w:tc>
          <w:tcPr>
            <w:tcW w:w="2853" w:type="dxa"/>
            <w:vAlign w:val="center"/>
          </w:tcPr>
          <w:p>
            <w:pPr>
              <w:jc w:val="center"/>
              <w:rPr>
                <w:rFonts w:ascii="Times New Roman" w:hAnsi="Times New Roman" w:cs="Times New Roman"/>
              </w:rPr>
            </w:pPr>
            <w:r>
              <w:rPr>
                <w:rFonts w:hint="eastAsia" w:ascii="Times New Roman" w:hAnsi="Times New Roman" w:cs="Times New Roman"/>
              </w:rPr>
              <w:t>22.8 (19.6-25.8)</w:t>
            </w:r>
          </w:p>
        </w:tc>
        <w:tc>
          <w:tcPr>
            <w:tcW w:w="2853" w:type="dxa"/>
            <w:vAlign w:val="center"/>
          </w:tcPr>
          <w:p>
            <w:pPr>
              <w:jc w:val="center"/>
              <w:rPr>
                <w:rFonts w:ascii="Times New Roman" w:hAnsi="Times New Roman" w:cs="Times New Roman"/>
              </w:rPr>
            </w:pPr>
            <w:r>
              <w:rPr>
                <w:rFonts w:hint="eastAsia" w:ascii="Times New Roman" w:hAnsi="Times New Roman" w:cs="Times New Roman"/>
              </w:rPr>
              <w:t>22.4 (19.2-26.0)</w:t>
            </w:r>
          </w:p>
        </w:tc>
      </w:tr>
    </w:tbl>
    <w:p>
      <w:pPr>
        <w:jc w:val="left"/>
        <w:rPr>
          <w:rFonts w:ascii="Times New Roman" w:hAnsi="Times New Roman" w:cs="Times New Roman"/>
          <w:sz w:val="18"/>
          <w:szCs w:val="18"/>
        </w:rPr>
        <w:sectPr>
          <w:pgSz w:w="11906" w:h="16838"/>
          <w:pgMar w:top="1417" w:right="1417" w:bottom="1417" w:left="1417" w:header="851" w:footer="992" w:gutter="0"/>
          <w:cols w:space="425" w:num="1"/>
          <w:docGrid w:type="lines" w:linePitch="312" w:charSpace="0"/>
        </w:sectPr>
      </w:pPr>
      <w:r>
        <w:rPr>
          <w:rFonts w:ascii="Times New Roman" w:hAnsi="Times New Roman" w:cs="Times New Roman"/>
          <w:sz w:val="18"/>
          <w:szCs w:val="18"/>
        </w:rPr>
        <w:t>Values presented for the population as mean (range) unless stated otherwise</w:t>
      </w:r>
      <w:r>
        <w:rPr>
          <w:rFonts w:hint="eastAsia" w:ascii="Times New Roman" w:hAnsi="Times New Roman" w:cs="Times New Roman"/>
          <w:sz w:val="18"/>
          <w:szCs w:val="18"/>
        </w:rPr>
        <w:t>. BMI: body mass index.</w:t>
      </w:r>
    </w:p>
    <w:p>
      <w:pPr>
        <w:jc w:val="center"/>
        <w:rPr>
          <w:rFonts w:ascii="Times New Roman" w:hAnsi="Times New Roman" w:cs="Times New Roman"/>
          <w:sz w:val="24"/>
        </w:rPr>
      </w:pPr>
      <w:r>
        <w:rPr>
          <w:rFonts w:hint="eastAsia" w:ascii="Times New Roman" w:hAnsi="Times New Roman" w:cs="Times New Roman"/>
          <w:b/>
          <w:bCs/>
          <w:sz w:val="24"/>
        </w:rPr>
        <w:t>Table S3.</w:t>
      </w:r>
      <w:r>
        <w:rPr>
          <w:rFonts w:hint="eastAsia" w:ascii="Times New Roman" w:hAnsi="Times New Roman" w:cs="Times New Roman"/>
          <w:sz w:val="24"/>
        </w:rPr>
        <w:t xml:space="preserve"> </w:t>
      </w:r>
      <w:r>
        <w:rPr>
          <w:rFonts w:hint="eastAsia" w:ascii="Times New Roman" w:hAnsi="Times New Roman" w:cs="Times New Roman"/>
          <w:b/>
          <w:bCs/>
          <w:sz w:val="24"/>
        </w:rPr>
        <w:t>Summary of possibly medicine-related adverse events (as assessed by the investigator).</w:t>
      </w:r>
    </w:p>
    <w:p>
      <w:pPr>
        <w:jc w:val="left"/>
        <w:rPr>
          <w:rFonts w:ascii="Times New Roman" w:hAnsi="Times New Roman" w:cs="Times New Roman"/>
          <w:sz w:val="24"/>
        </w:rPr>
      </w:pPr>
    </w:p>
    <w:tbl>
      <w:tblPr>
        <w:tblStyle w:val="5"/>
        <w:tblW w:w="1215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26"/>
        <w:gridCol w:w="1551"/>
        <w:gridCol w:w="1551"/>
        <w:gridCol w:w="1864"/>
        <w:gridCol w:w="1580"/>
        <w:gridCol w:w="1613"/>
        <w:gridCol w:w="177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367" w:hRule="atLeast"/>
          <w:jc w:val="center"/>
        </w:trPr>
        <w:tc>
          <w:tcPr>
            <w:tcW w:w="2226" w:type="dxa"/>
            <w:vMerge w:val="restart"/>
            <w:tcBorders>
              <w:top w:val="single" w:color="auto" w:sz="4" w:space="0"/>
              <w:bottom w:val="nil"/>
            </w:tcBorders>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b/>
                <w:bCs/>
                <w:sz w:val="18"/>
              </w:rPr>
              <w:t>Adverse events</w:t>
            </w:r>
          </w:p>
        </w:tc>
        <w:tc>
          <w:tcPr>
            <w:tcW w:w="4966" w:type="dxa"/>
            <w:gridSpan w:val="3"/>
            <w:tcBorders>
              <w:top w:val="single" w:color="auto" w:sz="4" w:space="0"/>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Group A (N=20)</w:t>
            </w:r>
          </w:p>
        </w:tc>
        <w:tc>
          <w:tcPr>
            <w:tcW w:w="4966" w:type="dxa"/>
            <w:gridSpan w:val="3"/>
            <w:tcBorders>
              <w:top w:val="single" w:color="auto" w:sz="4" w:space="0"/>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Group B (N=20)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7" w:hRule="atLeast"/>
          <w:jc w:val="center"/>
        </w:trPr>
        <w:tc>
          <w:tcPr>
            <w:tcW w:w="2226" w:type="dxa"/>
            <w:vMerge w:val="continue"/>
            <w:tcBorders>
              <w:top w:val="nil"/>
              <w:bottom w:val="nil"/>
            </w:tcBorders>
            <w:shd w:val="clear" w:color="auto" w:fill="FFFFFF"/>
            <w:vAlign w:val="center"/>
          </w:tcPr>
          <w:p>
            <w:pPr>
              <w:adjustRightInd w:val="0"/>
              <w:jc w:val="center"/>
              <w:rPr>
                <w:rFonts w:ascii="Times New Roman" w:hAnsi="Times New Roman" w:cs="Times New Roman"/>
                <w:sz w:val="18"/>
              </w:rPr>
            </w:pPr>
          </w:p>
        </w:tc>
        <w:tc>
          <w:tcPr>
            <w:tcW w:w="1551"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SH-1028</w:t>
            </w:r>
          </w:p>
        </w:tc>
        <w:tc>
          <w:tcPr>
            <w:tcW w:w="1551"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Itraconazloe</w:t>
            </w:r>
          </w:p>
        </w:tc>
        <w:tc>
          <w:tcPr>
            <w:tcW w:w="1864"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SH-1028+Itraconazloe</w:t>
            </w:r>
          </w:p>
        </w:tc>
        <w:tc>
          <w:tcPr>
            <w:tcW w:w="1580"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SH-1028</w:t>
            </w:r>
          </w:p>
        </w:tc>
        <w:tc>
          <w:tcPr>
            <w:tcW w:w="1613"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Rifampicin</w:t>
            </w:r>
          </w:p>
        </w:tc>
        <w:tc>
          <w:tcPr>
            <w:tcW w:w="1773" w:type="dxa"/>
            <w:tcBorders>
              <w:top w:val="nil"/>
              <w:bottom w:val="nil"/>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SH-1028+Rifampicin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367" w:hRule="atLeast"/>
          <w:jc w:val="center"/>
        </w:trPr>
        <w:tc>
          <w:tcPr>
            <w:tcW w:w="2226" w:type="dxa"/>
            <w:vMerge w:val="continue"/>
            <w:tcBorders>
              <w:top w:val="nil"/>
              <w:bottom w:val="single" w:color="auto" w:sz="4" w:space="0"/>
            </w:tcBorders>
            <w:shd w:val="clear" w:color="auto" w:fill="FFFFFF"/>
            <w:vAlign w:val="center"/>
          </w:tcPr>
          <w:p>
            <w:pPr>
              <w:adjustRightInd w:val="0"/>
              <w:jc w:val="center"/>
              <w:rPr>
                <w:rFonts w:ascii="Times New Roman" w:hAnsi="Times New Roman" w:cs="Times New Roman"/>
                <w:sz w:val="18"/>
              </w:rPr>
            </w:pPr>
          </w:p>
        </w:tc>
        <w:tc>
          <w:tcPr>
            <w:tcW w:w="1551"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c>
          <w:tcPr>
            <w:tcW w:w="1551"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c>
          <w:tcPr>
            <w:tcW w:w="1864"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c>
          <w:tcPr>
            <w:tcW w:w="1580"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c>
          <w:tcPr>
            <w:tcW w:w="1613"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c>
          <w:tcPr>
            <w:tcW w:w="1773" w:type="dxa"/>
            <w:tcBorders>
              <w:top w:val="nil"/>
              <w:bottom w:val="single" w:color="auto" w:sz="4" w:space="0"/>
            </w:tcBorders>
            <w:shd w:val="clear" w:color="auto" w:fill="FFFFFF"/>
            <w:vAlign w:val="center"/>
          </w:tcPr>
          <w:p>
            <w:pPr>
              <w:adjustRightInd w:val="0"/>
              <w:jc w:val="center"/>
              <w:rPr>
                <w:rFonts w:ascii="Times New Roman" w:hAnsi="Times New Roman" w:cs="Times New Roman"/>
                <w:b/>
                <w:bCs/>
                <w:sz w:val="18"/>
              </w:rPr>
            </w:pPr>
            <w:r>
              <w:rPr>
                <w:rFonts w:hint="eastAsia" w:ascii="Times New Roman" w:hAnsi="Times New Roman" w:cs="Times New Roman"/>
                <w:b/>
                <w:bCs/>
                <w:sz w:val="18"/>
              </w:rPr>
              <w:t>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53" w:hRule="atLeast"/>
          <w:jc w:val="center"/>
        </w:trPr>
        <w:tc>
          <w:tcPr>
            <w:tcW w:w="2226"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 xml:space="preserve"> Increased total bile acid </w:t>
            </w:r>
          </w:p>
        </w:tc>
        <w:tc>
          <w:tcPr>
            <w:tcW w:w="1551"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5 (25.0%)</w:t>
            </w:r>
          </w:p>
        </w:tc>
        <w:tc>
          <w:tcPr>
            <w:tcW w:w="1551"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2 (10.0%)</w:t>
            </w:r>
          </w:p>
        </w:tc>
        <w:tc>
          <w:tcPr>
            <w:tcW w:w="1864"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80"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3 (15.0%)</w:t>
            </w:r>
          </w:p>
        </w:tc>
        <w:tc>
          <w:tcPr>
            <w:tcW w:w="1613"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773" w:type="dxa"/>
            <w:tcBorders>
              <w:top w:val="single" w:color="auto" w:sz="4" w:space="0"/>
            </w:tcBorders>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Increased serum creatinine</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4 (20.0%)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 xml:space="preserve"> Decreased serum potassium</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61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77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Increased C-reactive protein</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Increased lymphocyte count</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4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Decreased white blood cell count</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7"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Increased serum triglycerides</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4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Increased alanine aminotransferase</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7"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Urine erythrocyte</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7"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Decreased neutrophil count</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1 (5.0%)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0"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Erythra</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2"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Canker sore</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2"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Diarrhea</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2"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Emesis</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580"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613"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0</w:t>
            </w:r>
          </w:p>
        </w:tc>
        <w:tc>
          <w:tcPr>
            <w:tcW w:w="177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1 (5.0%)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1" w:hRule="atLeast"/>
          <w:jc w:val="center"/>
        </w:trPr>
        <w:tc>
          <w:tcPr>
            <w:tcW w:w="2226"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Total</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6 *(30.0%)</w:t>
            </w:r>
          </w:p>
        </w:tc>
        <w:tc>
          <w:tcPr>
            <w:tcW w:w="1551"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3 (15.0%)</w:t>
            </w:r>
          </w:p>
        </w:tc>
        <w:tc>
          <w:tcPr>
            <w:tcW w:w="1864" w:type="dxa"/>
            <w:shd w:val="clear" w:color="auto" w:fill="FFFFFF"/>
            <w:vAlign w:val="center"/>
          </w:tcPr>
          <w:p>
            <w:pPr>
              <w:adjustRightInd w:val="0"/>
              <w:jc w:val="center"/>
              <w:rPr>
                <w:rFonts w:ascii="Times New Roman" w:hAnsi="Times New Roman" w:cs="Times New Roman"/>
                <w:sz w:val="18"/>
              </w:rPr>
            </w:pPr>
            <w:r>
              <w:rPr>
                <w:rFonts w:hint="eastAsia" w:ascii="Times New Roman" w:hAnsi="Times New Roman" w:cs="Times New Roman"/>
                <w:sz w:val="18"/>
              </w:rPr>
              <w:t>8 (40.0%)</w:t>
            </w:r>
          </w:p>
        </w:tc>
        <w:tc>
          <w:tcPr>
            <w:tcW w:w="1580"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4</w:t>
            </w:r>
            <w:r>
              <w:rPr>
                <w:rFonts w:hint="eastAsia" w:ascii="Times New Roman" w:hAnsi="Times New Roman" w:cs="Times New Roman"/>
                <w:sz w:val="18"/>
              </w:rPr>
              <w:t>*</w:t>
            </w:r>
            <w:r>
              <w:rPr>
                <w:rFonts w:ascii="Times New Roman" w:hAnsi="Times New Roman" w:cs="Times New Roman"/>
                <w:sz w:val="18"/>
              </w:rPr>
              <w:t xml:space="preserve"> (20.0%)</w:t>
            </w:r>
          </w:p>
        </w:tc>
        <w:tc>
          <w:tcPr>
            <w:tcW w:w="161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4 (20.0%)</w:t>
            </w:r>
          </w:p>
        </w:tc>
        <w:tc>
          <w:tcPr>
            <w:tcW w:w="1773" w:type="dxa"/>
            <w:shd w:val="clear" w:color="auto" w:fill="FFFFFF"/>
            <w:vAlign w:val="center"/>
          </w:tcPr>
          <w:p>
            <w:pPr>
              <w:adjustRightInd w:val="0"/>
              <w:jc w:val="center"/>
              <w:rPr>
                <w:rFonts w:ascii="Times New Roman" w:hAnsi="Times New Roman" w:cs="Times New Roman"/>
                <w:sz w:val="18"/>
              </w:rPr>
            </w:pPr>
            <w:r>
              <w:rPr>
                <w:rFonts w:ascii="Times New Roman" w:hAnsi="Times New Roman" w:cs="Times New Roman"/>
                <w:sz w:val="18"/>
              </w:rPr>
              <w:t>4 (20.0%)</w:t>
            </w:r>
          </w:p>
        </w:tc>
      </w:tr>
    </w:tbl>
    <w:p>
      <w:pPr>
        <w:jc w:val="left"/>
        <w:rPr>
          <w:rFonts w:ascii="Times New Roman" w:hAnsi="Times New Roman" w:cs="Times New Roman"/>
          <w:sz w:val="18"/>
          <w:szCs w:val="18"/>
        </w:rPr>
      </w:pPr>
      <w:r>
        <w:rPr>
          <w:rFonts w:hint="eastAsia" w:ascii="Times New Roman" w:hAnsi="Times New Roman" w:cs="Times New Roman"/>
          <w:sz w:val="24"/>
        </w:rPr>
        <w:t xml:space="preserve">        </w:t>
      </w:r>
      <w:r>
        <w:rPr>
          <w:rFonts w:hint="eastAsia" w:ascii="Times New Roman" w:hAnsi="Times New Roman" w:cs="Times New Roman"/>
          <w:sz w:val="18"/>
          <w:szCs w:val="18"/>
        </w:rPr>
        <w:t>* One subject had two adverse events</w:t>
      </w:r>
    </w:p>
    <w:p>
      <w:pPr>
        <w:jc w:val="left"/>
        <w:rPr>
          <w:rFonts w:ascii="Times New Roman" w:hAnsi="Times New Roman" w:cs="Times New Roman"/>
          <w:sz w:val="24"/>
        </w:rPr>
        <w:sectPr>
          <w:pgSz w:w="16838" w:h="11906" w:orient="landscape"/>
          <w:pgMar w:top="1417" w:right="1417" w:bottom="1417" w:left="1417" w:header="851" w:footer="992" w:gutter="0"/>
          <w:cols w:space="425" w:num="1"/>
          <w:docGrid w:type="lines" w:linePitch="312" w:charSpace="0"/>
        </w:sectPr>
      </w:pPr>
      <w:r>
        <w:rPr>
          <w:rFonts w:hint="eastAsia" w:ascii="Times New Roman" w:hAnsi="Times New Roman" w:cs="Times New Roman"/>
          <w:sz w:val="24"/>
        </w:rPr>
        <w:t xml:space="preserve">        </w:t>
      </w:r>
    </w:p>
    <w:p>
      <w:pPr>
        <w:jc w:val="left"/>
        <w:rPr>
          <w:rFonts w:ascii="Times New Roman" w:hAnsi="Times New Roman" w:cs="Times New Roman"/>
          <w:sz w:val="24"/>
        </w:rPr>
      </w:pPr>
      <w:r>
        <w:rPr>
          <w:rFonts w:ascii="Times New Roman" w:hAnsi="Times New Roman" w:cs="Times New Roman"/>
          <w:sz w:val="24"/>
        </w:rPr>
        <w:drawing>
          <wp:inline distT="0" distB="0" distL="114300" distR="114300">
            <wp:extent cx="5758815" cy="3217545"/>
            <wp:effectExtent l="0" t="0" r="3810" b="190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758815" cy="3217545"/>
                    </a:xfrm>
                    <a:prstGeom prst="rect">
                      <a:avLst/>
                    </a:prstGeom>
                  </pic:spPr>
                </pic:pic>
              </a:graphicData>
            </a:graphic>
          </wp:inline>
        </w:drawing>
      </w:r>
    </w:p>
    <w:p>
      <w:pPr>
        <w:jc w:val="left"/>
        <w:rPr>
          <w:rFonts w:ascii="Times New Roman" w:hAnsi="Times New Roman" w:cs="Times New Roman"/>
          <w:sz w:val="18"/>
          <w:szCs w:val="18"/>
        </w:rPr>
      </w:pPr>
      <w:r>
        <w:rPr>
          <w:rFonts w:hint="eastAsia" w:ascii="Times New Roman" w:hAnsi="Times New Roman" w:cs="Times New Roman"/>
          <w:b/>
          <w:bCs/>
          <w:sz w:val="18"/>
          <w:szCs w:val="18"/>
        </w:rPr>
        <w:t xml:space="preserve">Figure S1. </w:t>
      </w:r>
      <w:r>
        <w:rPr>
          <w:rFonts w:hint="eastAsia" w:ascii="Times New Roman" w:hAnsi="Times New Roman" w:cs="Times New Roman"/>
          <w:sz w:val="18"/>
          <w:szCs w:val="18"/>
        </w:rPr>
        <w:t>Effects of SH-1028 on activity and mRNA expression of CYP1A2, 2B6 and 3A4 in three batches of human primary hepatocytes (Donors lot no.HNN, RMH and DJJ).</w:t>
      </w:r>
    </w:p>
    <w:p>
      <w:pPr>
        <w:jc w:val="left"/>
        <w:rPr>
          <w:rFonts w:ascii="Times New Roman" w:hAnsi="Times New Roman" w:cs="Times New Roman"/>
          <w:szCs w:val="21"/>
        </w:rPr>
      </w:pPr>
    </w:p>
    <w:p>
      <w:pPr>
        <w:spacing w:line="360" w:lineRule="auto"/>
        <w:jc w:val="left"/>
        <w:rPr>
          <w:rFonts w:ascii="Times New Roman" w:hAnsi="Times New Roman" w:cs="Times New Roman"/>
          <w:b/>
          <w:bCs/>
          <w:sz w:val="24"/>
        </w:rPr>
      </w:pPr>
      <w:r>
        <w:rPr>
          <w:rFonts w:hint="eastAsia" w:ascii="Times New Roman" w:hAnsi="Times New Roman" w:cs="Times New Roman"/>
          <w:b/>
          <w:bCs/>
          <w:sz w:val="24"/>
        </w:rPr>
        <w:t xml:space="preserve">Supplementary Methods: Bioanalytical Methods </w:t>
      </w:r>
      <w:r>
        <w:rPr>
          <w:rFonts w:ascii="Times New Roman" w:hAnsi="Times New Roman" w:cs="Times New Roman"/>
          <w:b/>
          <w:bCs/>
          <w:sz w:val="24"/>
        </w:rPr>
        <w:t>U</w:t>
      </w:r>
      <w:r>
        <w:rPr>
          <w:rFonts w:hint="eastAsia" w:ascii="Times New Roman" w:hAnsi="Times New Roman" w:cs="Times New Roman"/>
          <w:b/>
          <w:bCs/>
          <w:sz w:val="24"/>
        </w:rPr>
        <w:t xml:space="preserve">sed in the Clinical </w:t>
      </w:r>
      <w:r>
        <w:rPr>
          <w:rFonts w:ascii="Times New Roman" w:hAnsi="Times New Roman" w:cs="Times New Roman"/>
          <w:b/>
          <w:bCs/>
          <w:sz w:val="24"/>
        </w:rPr>
        <w:t>T</w:t>
      </w:r>
      <w:r>
        <w:rPr>
          <w:rFonts w:hint="eastAsia" w:ascii="Times New Roman" w:hAnsi="Times New Roman" w:cs="Times New Roman"/>
          <w:b/>
          <w:bCs/>
          <w:sz w:val="24"/>
        </w:rPr>
        <w:t>rials</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The validation of b</w:t>
      </w:r>
      <w:r>
        <w:rPr>
          <w:rFonts w:hint="eastAsia" w:ascii="Times New Roman" w:hAnsi="Times New Roman" w:cs="Times New Roman"/>
          <w:sz w:val="24"/>
        </w:rPr>
        <w:t>ioanalytical</w:t>
      </w:r>
      <w:r>
        <w:rPr>
          <w:rFonts w:ascii="Times New Roman" w:hAnsi="Times New Roman" w:cs="Times New Roman"/>
          <w:sz w:val="24"/>
        </w:rPr>
        <w:t xml:space="preserve"> methods and analysis of study samples were conducted in accordance with the internal standard operating procedures of the clinical study organization, the relevant guidelines of the NMPA, and the GLP and GCP principles of the FDA and OECD.</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To determine the concentrations of the SH</w:t>
      </w:r>
      <w:r>
        <w:rPr>
          <w:rFonts w:ascii="Times New Roman" w:hAnsi="Times New Roman" w:cs="Times New Roman"/>
          <w:sz w:val="24"/>
        </w:rPr>
        <w:t>-1028</w:t>
      </w:r>
      <w:r>
        <w:rPr>
          <w:rFonts w:hint="eastAsia" w:ascii="Times New Roman" w:hAnsi="Times New Roman" w:cs="Times New Roman"/>
          <w:sz w:val="24"/>
        </w:rPr>
        <w:t>, the K</w:t>
      </w:r>
      <w:r>
        <w:rPr>
          <w:rFonts w:hint="eastAsia" w:ascii="Times New Roman" w:hAnsi="Times New Roman" w:cs="Times New Roman"/>
          <w:sz w:val="24"/>
          <w:vertAlign w:val="subscript"/>
        </w:rPr>
        <w:t>2</w:t>
      </w:r>
      <w:r>
        <w:rPr>
          <w:rFonts w:hint="eastAsia" w:ascii="Times New Roman" w:hAnsi="Times New Roman" w:cs="Times New Roman"/>
          <w:sz w:val="24"/>
        </w:rPr>
        <w:t>EDTA plasma samples were</w:t>
      </w:r>
      <w:r>
        <w:rPr>
          <w:rFonts w:ascii="Times New Roman" w:hAnsi="Times New Roman" w:cs="Times New Roman"/>
          <w:sz w:val="24"/>
        </w:rPr>
        <w:t xml:space="preserve"> separated on </w:t>
      </w:r>
      <w:r>
        <w:rPr>
          <w:rFonts w:hint="eastAsia" w:ascii="Times New Roman" w:hAnsi="Times New Roman" w:cs="Times New Roman"/>
          <w:sz w:val="24"/>
        </w:rPr>
        <w:t>S</w:t>
      </w:r>
      <w:r>
        <w:rPr>
          <w:rFonts w:ascii="Times New Roman" w:hAnsi="Times New Roman" w:cs="Times New Roman"/>
          <w:sz w:val="24"/>
        </w:rPr>
        <w:t>him-</w:t>
      </w:r>
      <w:r>
        <w:rPr>
          <w:rFonts w:hint="eastAsia" w:ascii="Times New Roman" w:hAnsi="Times New Roman" w:cs="Times New Roman"/>
          <w:sz w:val="24"/>
        </w:rPr>
        <w:t>p</w:t>
      </w:r>
      <w:r>
        <w:rPr>
          <w:rFonts w:ascii="Times New Roman" w:hAnsi="Times New Roman" w:cs="Times New Roman"/>
          <w:sz w:val="24"/>
        </w:rPr>
        <w:t>ack G</w:t>
      </w:r>
      <w:r>
        <w:rPr>
          <w:rFonts w:hint="eastAsia" w:ascii="Times New Roman" w:hAnsi="Times New Roman" w:cs="Times New Roman"/>
          <w:sz w:val="24"/>
        </w:rPr>
        <w:t>IST</w:t>
      </w:r>
      <w:r>
        <w:rPr>
          <w:rFonts w:ascii="Times New Roman" w:hAnsi="Times New Roman" w:cs="Times New Roman"/>
          <w:sz w:val="24"/>
        </w:rPr>
        <w:t>-HP, C18-AQ, 3 μm, (2.1 × 50 mm</w:t>
      </w:r>
      <w:r>
        <w:rPr>
          <w:rFonts w:hint="eastAsia" w:ascii="Times New Roman" w:hAnsi="Times New Roman" w:cs="Times New Roman"/>
          <w:sz w:val="24"/>
        </w:rPr>
        <w:t>, Shimadzu</w:t>
      </w:r>
      <w:r>
        <w:rPr>
          <w:rFonts w:ascii="Times New Roman" w:hAnsi="Times New Roman" w:cs="Times New Roman"/>
          <w:sz w:val="24"/>
        </w:rPr>
        <w:t xml:space="preserve">). Triple Quad 5500 mass spectrometer was used for detection. Imp7 and Imp9 </w:t>
      </w:r>
      <w:r>
        <w:rPr>
          <w:rFonts w:hint="eastAsia" w:ascii="Times New Roman" w:hAnsi="Times New Roman" w:cs="Times New Roman"/>
          <w:sz w:val="24"/>
        </w:rPr>
        <w:t>were</w:t>
      </w:r>
      <w:r>
        <w:rPr>
          <w:rFonts w:ascii="Times New Roman" w:hAnsi="Times New Roman" w:cs="Times New Roman"/>
          <w:sz w:val="24"/>
        </w:rPr>
        <w:t xml:space="preserve"> used as internal standards for quantitative analysis. The linear range of SH-1028 was 0.200-100</w:t>
      </w:r>
      <w:r>
        <w:rPr>
          <w:rFonts w:hint="eastAsia" w:ascii="Times New Roman" w:hAnsi="Times New Roman" w:cs="Times New Roman"/>
          <w:sz w:val="24"/>
        </w:rPr>
        <w:t xml:space="preserve"> </w:t>
      </w:r>
      <w:r>
        <w:rPr>
          <w:rFonts w:ascii="Times New Roman" w:hAnsi="Times New Roman" w:cs="Times New Roman"/>
          <w:sz w:val="24"/>
        </w:rPr>
        <w:t>ng /mL, compared to0.400-200</w:t>
      </w:r>
      <w:r>
        <w:rPr>
          <w:rFonts w:hint="eastAsia" w:ascii="Times New Roman" w:hAnsi="Times New Roman" w:cs="Times New Roman"/>
          <w:sz w:val="24"/>
        </w:rPr>
        <w:t xml:space="preserve"> </w:t>
      </w:r>
      <w:r>
        <w:rPr>
          <w:rFonts w:ascii="Times New Roman" w:hAnsi="Times New Roman" w:cs="Times New Roman"/>
          <w:sz w:val="24"/>
        </w:rPr>
        <w:t>ng /mL for Imp2, and 0.200-100</w:t>
      </w:r>
      <w:r>
        <w:rPr>
          <w:rFonts w:hint="eastAsia" w:ascii="Times New Roman" w:hAnsi="Times New Roman" w:cs="Times New Roman"/>
          <w:sz w:val="24"/>
        </w:rPr>
        <w:t xml:space="preserve"> </w:t>
      </w:r>
      <w:r>
        <w:rPr>
          <w:rFonts w:ascii="Times New Roman" w:hAnsi="Times New Roman" w:cs="Times New Roman"/>
          <w:sz w:val="24"/>
        </w:rPr>
        <w:t>ng /mL for Imp3.</w:t>
      </w:r>
      <w:r>
        <w:rPr>
          <w:rFonts w:hint="eastAsia" w:ascii="Times New Roman" w:hAnsi="Times New Roman" w:cs="Times New Roman"/>
          <w:sz w:val="24"/>
        </w:rPr>
        <w:t xml:space="preserve"> All samples were stored at </w:t>
      </w:r>
      <w:r>
        <w:rPr>
          <w:rFonts w:ascii="Times New Roman" w:hAnsi="Times New Roman" w:cs="Times New Roman"/>
          <w:sz w:val="24"/>
        </w:rPr>
        <w:t>–</w:t>
      </w:r>
      <w:r>
        <w:rPr>
          <w:rFonts w:hint="eastAsia" w:ascii="Times New Roman" w:hAnsi="Times New Roman" w:cs="Times New Roman"/>
          <w:sz w:val="24"/>
        </w:rPr>
        <w:t>80</w:t>
      </w:r>
      <w:r>
        <w:rPr>
          <w:rFonts w:ascii="Times New Roman" w:hAnsi="Times New Roman" w:cs="Times New Roman"/>
          <w:sz w:val="24"/>
        </w:rPr>
        <w:t>°C</w:t>
      </w:r>
      <w:r>
        <w:rPr>
          <w:rFonts w:hint="eastAsia" w:ascii="Times New Roman" w:hAnsi="Times New Roman" w:cs="Times New Roman"/>
          <w:sz w:val="24"/>
        </w:rPr>
        <w:t xml:space="preserve">. </w:t>
      </w:r>
      <w:r>
        <w:rPr>
          <w:rFonts w:ascii="Times New Roman" w:hAnsi="Times New Roman" w:cs="Times New Roman"/>
          <w:sz w:val="24"/>
        </w:rPr>
        <w:t>S</w:t>
      </w:r>
      <w:r>
        <w:rPr>
          <w:rFonts w:hint="eastAsia" w:ascii="Times New Roman" w:hAnsi="Times New Roman" w:cs="Times New Roman"/>
          <w:sz w:val="24"/>
        </w:rPr>
        <w:t xml:space="preserve">tability data indicated that the analytes were stable </w:t>
      </w:r>
      <w:r>
        <w:rPr>
          <w:rFonts w:ascii="Times New Roman" w:hAnsi="Times New Roman" w:cs="Times New Roman"/>
          <w:sz w:val="24"/>
        </w:rPr>
        <w:t>during</w:t>
      </w:r>
      <w:r>
        <w:rPr>
          <w:rFonts w:hint="eastAsia" w:ascii="Times New Roman" w:hAnsi="Times New Roman" w:cs="Times New Roman"/>
          <w:sz w:val="24"/>
        </w:rPr>
        <w:t xml:space="preserve"> the storage period. </w:t>
      </w:r>
      <w:bookmarkStart w:id="2" w:name="_GoBack"/>
      <w:bookmarkEnd w:id="2"/>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ZWVlOTc0MmY2ZjgwYmE0MTk2NWVlMDlhODhiZTMifQ=="/>
  </w:docVars>
  <w:rsids>
    <w:rsidRoot w:val="29317829"/>
    <w:rsid w:val="00041F6A"/>
    <w:rsid w:val="00187593"/>
    <w:rsid w:val="00BF1649"/>
    <w:rsid w:val="036F4485"/>
    <w:rsid w:val="037E2E9E"/>
    <w:rsid w:val="13C17340"/>
    <w:rsid w:val="15024089"/>
    <w:rsid w:val="1984390B"/>
    <w:rsid w:val="28540C67"/>
    <w:rsid w:val="29317829"/>
    <w:rsid w:val="2F2C166C"/>
    <w:rsid w:val="30FF7F5F"/>
    <w:rsid w:val="385A506E"/>
    <w:rsid w:val="49C24D1F"/>
    <w:rsid w:val="5118469D"/>
    <w:rsid w:val="533574ED"/>
    <w:rsid w:val="65302892"/>
    <w:rsid w:val="67944E85"/>
    <w:rsid w:val="67BB0D72"/>
    <w:rsid w:val="74105662"/>
    <w:rsid w:val="79FD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707</Words>
  <Characters>3711</Characters>
  <Lines>32</Lines>
  <Paragraphs>9</Paragraphs>
  <TotalTime>5</TotalTime>
  <ScaleCrop>false</ScaleCrop>
  <LinksUpToDate>false</LinksUpToDate>
  <CharactersWithSpaces>4271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2022-03-28T06:40:00Z</dcterms:created>
  <dc:creator>LYY</dc:creator>
  <cp:lastModifiedBy>Ka~Ya</cp:lastModifiedBy>
  <dcterms:modified xsi:type="dcterms:W3CDTF">2023-02-06T02:08:19Z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6ADBD71CE45C44A9B8ED0A7DF5DDFB5E</vt:lpwstr>
  </property>
</Properties>
</file>