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cs="Times New Roman"/>
          <w:b/>
          <w:bCs/>
          <w:sz w:val="36"/>
          <w:szCs w:val="36"/>
        </w:rPr>
      </w:pPr>
      <w:r>
        <w:rPr>
          <w:rFonts w:ascii="TimesNewRomanPS-BoldMT" w:hAnsi="TimesNewRomanPS-BoldMT" w:eastAsia="TimesNewRomanPS-BoldMT" w:cs="TimesNewRomanPS-BoldMT"/>
          <w:b/>
          <w:bCs/>
          <w:color w:val="000000"/>
          <w:sz w:val="36"/>
          <w:szCs w:val="36"/>
          <w:lang w:bidi="ar"/>
        </w:rPr>
        <w:t xml:space="preserve">Supplementary </w:t>
      </w:r>
      <w:r>
        <w:rPr>
          <w:rFonts w:ascii="Times New Roman" w:hAnsi="Times New Roman" w:cs="Times New Roman"/>
          <w:b/>
          <w:bCs/>
          <w:sz w:val="36"/>
          <w:szCs w:val="36"/>
        </w:rPr>
        <w:t>Materials</w:t>
      </w:r>
    </w:p>
    <w:p>
      <w:pPr>
        <w:spacing w:line="360" w:lineRule="auto"/>
        <w:rPr>
          <w:rFonts w:hint="eastAsia" w:ascii="TimesNewRomanPS-BoldMT" w:hAnsi="TimesNewRomanPS-BoldMT" w:eastAsia="TimesNewRomanPS-BoldMT" w:cs="TimesNewRomanPS-BoldMT"/>
          <w:b/>
          <w:bCs/>
          <w:color w:val="000000"/>
          <w:lang w:bidi="ar"/>
        </w:rPr>
      </w:pPr>
      <w:r>
        <w:rPr>
          <w:rFonts w:ascii="TimesNewRomanPS-BoldMT" w:hAnsi="TimesNewRomanPS-BoldMT" w:eastAsia="TimesNewRomanPS-BoldMT" w:cs="TimesNewRomanPS-BoldMT"/>
          <w:b/>
          <w:bCs/>
          <w:color w:val="000000"/>
          <w:lang w:bidi="ar"/>
        </w:rPr>
        <w:t>Supplementary Tables</w:t>
      </w:r>
    </w:p>
    <w:p>
      <w:pPr>
        <w:spacing w:line="360" w:lineRule="auto"/>
        <w:rPr>
          <w:rFonts w:hint="eastAsia" w:ascii="Times New Roman" w:hAnsi="Times New Roman" w:eastAsia="等线" w:cs="Times New Roman"/>
          <w:color w:val="000000"/>
          <w:lang w:bidi="ar"/>
        </w:rPr>
      </w:pPr>
      <w:r>
        <w:rPr>
          <w:rFonts w:ascii="Times New Roman" w:hAnsi="Times New Roman" w:eastAsia="等线" w:cs="Times New Roman"/>
          <w:b/>
          <w:bCs/>
          <w:color w:val="000000"/>
          <w:lang w:bidi="ar"/>
        </w:rPr>
        <w:t xml:space="preserve">supplemental table </w:t>
      </w:r>
      <w:r>
        <w:rPr>
          <w:rFonts w:hint="default" w:ascii="Times New Roman" w:hAnsi="Times New Roman" w:eastAsia="等线" w:cs="Times New Roman"/>
          <w:b/>
          <w:bCs/>
          <w:color w:val="000000"/>
          <w:lang w:bidi="ar"/>
        </w:rPr>
        <w:t>1</w:t>
      </w:r>
      <w:r>
        <w:rPr>
          <w:rFonts w:ascii="Times New Roman" w:hAnsi="Times New Roman" w:eastAsia="等线" w:cs="Times New Roman"/>
          <w:color w:val="000000"/>
          <w:lang w:bidi="ar"/>
        </w:rPr>
        <w:t xml:space="preserve"> Statistical differences (P values) between different groups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708"/>
        <w:gridCol w:w="709"/>
        <w:gridCol w:w="709"/>
        <w:gridCol w:w="850"/>
        <w:gridCol w:w="851"/>
        <w:gridCol w:w="709"/>
        <w:gridCol w:w="708"/>
        <w:gridCol w:w="851"/>
        <w:gridCol w:w="992"/>
        <w:gridCol w:w="709"/>
        <w:gridCol w:w="850"/>
        <w:gridCol w:w="851"/>
        <w:gridCol w:w="727"/>
        <w:gridCol w:w="1784"/>
        <w:gridCol w:w="112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11"/>
                <w:szCs w:val="11"/>
              </w:rPr>
            </w:pP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HCs vs. iPD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HCs vs. PSP-RS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HCs vs. HOD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HCs vs. PSP-RS with HOD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HCs vs. PSP-RS with ICVD-HOD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iPD vs. PSP-RS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iPD vs. HOD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iPD vs. PSP-RS with HOD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iPD vs. PSP-RS with ICVD-HOD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PSP-RS vs. HOD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PSP-RS vs. PSP-RS with HOD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PSP-RS vs. PSP-RS with ICVD-HOD</w:t>
            </w:r>
          </w:p>
        </w:tc>
        <w:tc>
          <w:tcPr>
            <w:tcW w:w="72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HOD vs. PSP-RS with HOD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HOD vs. PSP-RS with ICVD-HOD</w:t>
            </w:r>
          </w:p>
        </w:tc>
        <w:tc>
          <w:tcPr>
            <w:tcW w:w="112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PSP-RS with HOD vs. PSP-RS with ICVD-HOD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FA of ION</w:t>
            </w:r>
          </w:p>
        </w:tc>
        <w:tc>
          <w:tcPr>
            <w:tcW w:w="708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8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0" w:type="auto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AD of ION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0.0412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0.0149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0.0002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0.0005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0.0014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0.0809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0.0455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0.4505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RD of ION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0.0283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0.0391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0.0152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0.0023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0.0117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0.0042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0.0072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0.4291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0.6925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MD of ION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0.0203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0.0396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0.0002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0.0040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0.0002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0.3651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0.0360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0.3075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FN of ION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FA of RN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0.0043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0.0110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0.0325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0.0055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0.0138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0.0410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0.9748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0.9012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0.9990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0.9953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0.9631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AD of RN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0.9985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0.0273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0.0246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0.0004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0.0441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0.0373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0.0006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0.9775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0.9925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0.9939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0.9119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RD of RN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0.0365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0.0196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0.0144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0.0482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0.0252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0.0191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MD of RN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0.0209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0.0299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0.0065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0.0366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0.0479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0.0116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FN of RN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FA of DN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0.6069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0.9944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0.1524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0.9851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0.2960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0.9090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0.6089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0.8170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0.2821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0.9984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0.4801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0.8850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0.9998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0.9557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AD of DN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RD of DN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0.9938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0.9483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0.4258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0.7794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0.9989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0.6050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0.9102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0.7555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0.9690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0.8860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0.9979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0.9808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MD of DN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0.9761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0.9427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0.9680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0.9422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0.9161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0.9499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0.9969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0.9992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0.9992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0.9891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FN of DN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0.8548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0.7136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0.1462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0.9994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0.4385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0.9991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0.9506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0.5809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0.9956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0.8984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0.6484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0.3046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FA of CTT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0.0335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0.0446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0.0102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0.0302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0.0424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0.0089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AD of CTT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0.9770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0.0211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0.0441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0.0049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0.0157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0.9992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0.6477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0.9996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0.8368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0.9781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RD of CTT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0.9998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0.0173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0.0359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0.0006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0.0231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0.0461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0.0008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0.9257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0.9988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0.9995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0.9670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MD of CTT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0.0460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0.0483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0.0004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0.0379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0.0425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0.0003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0.9584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0.9893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0.9970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0.8644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FN of CTT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0.8837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0.4226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FA of SCP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0.2574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0.9592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0.0008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0.1627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0.9688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0.0398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0.0005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0.2870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0.4165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0.0439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0.0389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0.0021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AD of SCP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0.0002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0.0433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0.0016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0.0002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0.0425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0.0014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0.8280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0.9998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0.9838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0.9919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0.9983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RD of SCP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0.0483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0.0348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0.0005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0.0432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0.0323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0.0004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0.9597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0.6034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0.9916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0.8767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MD of SCP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0.0476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0.0236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0.0004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&lt; 0.0001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0.0423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0.0216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0.0003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0.9875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0.7931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0.9814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0.8426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FN of SCP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0.9993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0.9944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0.4403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0.9754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0.9997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0.5458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0.9849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0.5230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0.4359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0.7488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FA of ICP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0.4385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0.6756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0.0192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0.0461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0.7843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0.8735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AD of ICP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RD of ICP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0.2356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0.1167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0.8485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0.4636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0.8391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MD of ICP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0.3886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FN of ICP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0.6050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0.4090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0.8325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&gt; 0.9999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0.4929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0.4668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0.8865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0.5408</w:t>
            </w:r>
          </w:p>
        </w:tc>
        <w:tc>
          <w:tcPr>
            <w:tcW w:w="85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0.4577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0.8767</w:t>
            </w:r>
          </w:p>
        </w:tc>
        <w:tc>
          <w:tcPr>
            <w:tcW w:w="727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0.0929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0.2595</w:t>
            </w:r>
          </w:p>
        </w:tc>
        <w:tc>
          <w:tcPr>
            <w:tcW w:w="112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kern w:val="0"/>
                <w:sz w:val="11"/>
                <w:szCs w:val="11"/>
              </w:rPr>
              <w:t>0.9700</w:t>
            </w:r>
          </w:p>
        </w:tc>
      </w:tr>
    </w:tbl>
    <w:p/>
    <w:p>
      <w:pPr>
        <w:spacing w:line="360" w:lineRule="auto"/>
        <w:rPr>
          <w:rFonts w:ascii="Times New Roman" w:hAnsi="Times New Roman" w:eastAsia="等线" w:cs="Times New Roman"/>
          <w:color w:val="000000"/>
          <w:szCs w:val="21"/>
          <w:lang w:bidi="ar"/>
        </w:rPr>
      </w:pPr>
      <w:r>
        <w:rPr>
          <w:rFonts w:ascii="Times New Roman" w:hAnsi="Times New Roman" w:eastAsia="等线" w:cs="Times New Roman"/>
          <w:color w:val="000000"/>
          <w:szCs w:val="21"/>
          <w:lang w:bidi="ar"/>
        </w:rPr>
        <w:t>Abbreviations: ICVD = infratentorial cerebrovascular diseases; PSP-RS = progressive supranuclear palsy-Richardson's syndrome; HOD = hypertrophic olivary degeneration; iPD = idiopathic Parkinson's disease; HCs = healthy controls; FA = fractional anisotropy, AD = axial diffusivity; RD = radial diffusivity; MD = mean diffusivity; FN = fiber number; RN = red nucleus; ION = inferior olivary nucleus; DN = dentate nucleus; SCP = superior cerebellar peduncle; CCT = central tegmental tract; ICP = inferior cerebellar peduncle.</w:t>
      </w:r>
    </w:p>
    <w:p/>
    <w:p/>
    <w:p>
      <w:pPr>
        <w:rPr>
          <w:rFonts w:ascii="Times New Roman" w:hAnsi="Times New Roman" w:eastAsia="等线" w:cs="Times New Roman"/>
          <w:color w:val="000000"/>
          <w:lang w:bidi="ar"/>
        </w:rPr>
      </w:pPr>
      <w:r>
        <w:rPr>
          <w:rFonts w:ascii="Times New Roman" w:hAnsi="Times New Roman" w:eastAsia="等线" w:cs="Times New Roman"/>
          <w:b/>
          <w:bCs/>
          <w:color w:val="000000"/>
          <w:lang w:bidi="ar"/>
        </w:rPr>
        <w:t xml:space="preserve">supplemental table </w:t>
      </w:r>
      <w:r>
        <w:rPr>
          <w:rFonts w:hint="default" w:ascii="Times New Roman" w:hAnsi="Times New Roman" w:eastAsia="等线" w:cs="Times New Roman"/>
          <w:b/>
          <w:bCs/>
          <w:color w:val="000000"/>
          <w:lang w:bidi="ar"/>
        </w:rPr>
        <w:t>2</w:t>
      </w:r>
      <w:r>
        <w:rPr>
          <w:rFonts w:ascii="Times New Roman" w:hAnsi="Times New Roman" w:eastAsia="等线" w:cs="Times New Roman"/>
          <w:b/>
          <w:bCs/>
          <w:color w:val="000000"/>
          <w:lang w:bidi="ar"/>
        </w:rPr>
        <w:t xml:space="preserve"> </w:t>
      </w:r>
      <w:r>
        <w:rPr>
          <w:rFonts w:ascii="Times New Roman" w:hAnsi="Times New Roman" w:eastAsia="等线" w:cs="Times New Roman"/>
          <w:color w:val="000000"/>
          <w:lang w:bidi="ar"/>
        </w:rPr>
        <w:t>Diagn</w:t>
      </w:r>
      <w:bookmarkStart w:id="0" w:name="_GoBack"/>
      <w:bookmarkEnd w:id="0"/>
      <w:r>
        <w:rPr>
          <w:rFonts w:ascii="Times New Roman" w:hAnsi="Times New Roman" w:eastAsia="等线" w:cs="Times New Roman"/>
          <w:color w:val="000000"/>
          <w:lang w:bidi="ar"/>
        </w:rPr>
        <w:t>ostic accuracy of DTI metrics.</w:t>
      </w:r>
    </w:p>
    <w:p>
      <w:pPr>
        <w:rPr>
          <w:rFonts w:ascii="Times New Roman" w:hAnsi="Times New Roman" w:eastAsia="等线" w:cs="Times New Roman"/>
          <w:color w:val="000000"/>
          <w:lang w:bidi="ar"/>
        </w:rPr>
      </w:pPr>
    </w:p>
    <w:tbl>
      <w:tblPr>
        <w:tblStyle w:val="37"/>
        <w:tblW w:w="5100" w:type="pct"/>
        <w:tblInd w:w="-142" w:type="dxa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431"/>
        <w:gridCol w:w="1858"/>
        <w:gridCol w:w="1403"/>
        <w:gridCol w:w="1578"/>
        <w:gridCol w:w="1858"/>
        <w:gridCol w:w="1630"/>
        <w:gridCol w:w="1858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ind w:left="15" w:leftChars="-38" w:hanging="95" w:hangingChars="53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AUROC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95% CI (%)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Threshold</w:t>
            </w:r>
          </w:p>
        </w:tc>
        <w:tc>
          <w:tcPr>
            <w:tcW w:w="14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Sensitivity (%)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95% CI (%)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Specificity (%)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95% CI (%)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13219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HCs vs. PSP-RS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AD of 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0.7656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0.6322 – 0.8991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58.33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38.83 – 75.53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91.67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74.15 – 98.52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RD of 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0.7830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0.6508 – 0.9151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66.67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46.71 – 82.03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79.17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59.53 – 90.76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MD of 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0.7795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0.6461 – 0.9130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87.50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69.00 – 95.66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66.67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46.71 – 82.03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FA of RN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0.8472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0.7317 – 0.9627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79.76 – 99.79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75.00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55.10 – 88.00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AD of RN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0.8681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0.7587 – 0.9774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66.67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46.71 – 82.03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100.00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86.20 – 100.00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RD of RN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0.8793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0.7816 – 0.9771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79.17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59.53 – 90.76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91.67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74.15 – 98.52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MD of RN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0.8559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0.7404 – 0.9714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70.83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50.83 – 85.09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91.67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74.15 – 98.52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FA of CTT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0.9063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0.8143 – 0.9982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79.76 – 99.79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87.5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69.00 – 95.66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AD of CTT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0.8837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0.7763 – 0.9911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83.33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64.15 – 93.32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79.76 – 99.79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RD of CTT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0.9132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0.8334 – 0.9930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79.17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59.53 – 90.76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79.76 – 99.79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MD of CTT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0.8872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0.7830 – 0.9913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83.33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64.15 – 93.32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79.76 – 99.79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AD of SCP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0.8837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0.7820 – 0.9854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87.50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69.00 – 95.66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79.17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59.53 – 90.76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RD of SCP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0.8672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0.7606 – 0.9737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79.17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59.53 – 90.76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91.67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74.15 – 98.52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MD of SCP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0.8750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0.7743 – 0.9757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75.00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55.10 – 88.00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91.67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74.15 – 98.52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1321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iPD vs.PSP-RS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AD of 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0.8056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0.6893 – 0.9218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58.33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38.83 – 75.53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93.33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78.68 – 98.82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RD of 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0.8160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0.6941 – 0.9379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91.67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74.15 – 98.52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73.33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55.55 – 85.82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MD of 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0.8264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0.7139 – 0.9389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87.50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69.00 – 95.66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73.33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55.55 – 85.82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FA of RN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0.8583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0.7589 – 0.9578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83.33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64.15 – 93.32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83.33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66.44 – 92.66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AD of RN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0.8794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0.7623 – 0.9905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75.00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55.10 – 88.00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96.67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83.33 – 99.83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RD of RN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0.8736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0.7682 – 0.9790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79.17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59.53 – 90.76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93.33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78.68 – 98.82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MD of RN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0.8486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0.7298 – 0.9674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75.00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55.10 – 88.00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90.00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74.38 – 96.54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FA of CTT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0.8972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0.8119 – 0.9826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79.76 – 99.79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80.00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62.69 – 90.49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AD of CTT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0.8833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0.7911 – 0.9755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70.83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50.83 – 85.09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93.33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78.68 – 98.82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RD of CTT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0.9160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0.8367 – 0.9952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83.33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64.15 – 93.32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96.67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83.33 – 99.83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MD of CTT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0.8944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0.8067 – 0.9822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70.83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50.83 – 85.09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100.00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86.20 – 100.00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AD of SCP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0.8444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0.7355 – 0.9534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70.83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50.83 – 85.09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90.00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74.38 – 96.54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RD of SCP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0.8215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0.7115 – 0.9316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79.17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59.53 – 90.76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76.67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59.07 – 88.21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" w:hRule="atLeast"/>
        </w:trPr>
        <w:tc>
          <w:tcPr>
            <w:tcW w:w="25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MD of SCP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0.8361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0.7301 – 0.9421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&lt; 0.0001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75.00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55.10 – 88.00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80.00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62.69 – 90.49</w:t>
            </w:r>
          </w:p>
        </w:tc>
      </w:tr>
    </w:tbl>
    <w:p>
      <w:pPr>
        <w:spacing w:line="360" w:lineRule="auto"/>
        <w:rPr>
          <w:rFonts w:ascii="Times New Roman" w:hAnsi="Times New Roman" w:eastAsia="等线" w:cs="Times New Roman"/>
          <w:color w:val="000000"/>
          <w:szCs w:val="21"/>
          <w:lang w:bidi="ar"/>
        </w:rPr>
      </w:pPr>
    </w:p>
    <w:p>
      <w:pPr>
        <w:spacing w:line="360" w:lineRule="auto"/>
        <w:rPr>
          <w:rFonts w:ascii="Times New Roman" w:hAnsi="Times New Roman" w:eastAsia="等线" w:cs="Times New Roman"/>
          <w:color w:val="000000"/>
          <w:szCs w:val="21"/>
          <w:lang w:bidi="ar"/>
        </w:rPr>
      </w:pPr>
      <w:r>
        <w:rPr>
          <w:rFonts w:ascii="Times New Roman" w:hAnsi="Times New Roman" w:eastAsia="等线" w:cs="Times New Roman"/>
          <w:color w:val="000000"/>
          <w:szCs w:val="21"/>
          <w:lang w:bidi="ar"/>
        </w:rPr>
        <w:t>Abbreviations: AUROC = area under the receiver operating characteristic; CI = confidence interval; PSP-RS = progressive supranuclear palsy-Richardson's syndrome; iPD = idiopathic Parkinson's disease; HCs = healthy controls; FA = fractional anisotropy, AD = axial diffusivity; RD = radial diffusivity; MD = mean diffusivity; RN = red nucleus; ION = inferior olivary nucleus; SCP = superior cerebellar peduncle; CCT = central tegmental tract.</w:t>
      </w: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TimesNewRomanPS-BoldMT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C8D"/>
    <w:rsid w:val="00B83767"/>
    <w:rsid w:val="00E81C8D"/>
    <w:rsid w:val="2993816D"/>
    <w:rsid w:val="6EB4E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nhideWhenUsed="0" w:uiPriority="0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 w:eastAsia="宋体" w:cs="Times New Roman"/>
      <w:b/>
      <w:kern w:val="44"/>
      <w:sz w:val="44"/>
      <w:szCs w:val="24"/>
    </w:rPr>
  </w:style>
  <w:style w:type="paragraph" w:styleId="3">
    <w:name w:val="heading 2"/>
    <w:basedOn w:val="1"/>
    <w:next w:val="1"/>
    <w:link w:val="18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 w:cs="Times New Roman"/>
      <w:b/>
      <w:sz w:val="32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9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24"/>
    </w:rPr>
  </w:style>
  <w:style w:type="paragraph" w:styleId="6">
    <w:name w:val="header"/>
    <w:basedOn w:val="1"/>
    <w:link w:val="2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sz w:val="18"/>
      <w:szCs w:val="24"/>
    </w:rPr>
  </w:style>
  <w:style w:type="paragraph" w:styleId="7">
    <w:name w:val="annotation subject"/>
    <w:basedOn w:val="4"/>
    <w:next w:val="4"/>
    <w:link w:val="22"/>
    <w:qFormat/>
    <w:uiPriority w:val="0"/>
    <w:rPr>
      <w:b/>
      <w:bCs/>
    </w:rPr>
  </w:style>
  <w:style w:type="table" w:styleId="9">
    <w:name w:val="Table Grid"/>
    <w:basedOn w:val="8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0"/>
    <w:rPr>
      <w:b/>
    </w:rPr>
  </w:style>
  <w:style w:type="character" w:styleId="12">
    <w:name w:val="FollowedHyperlink"/>
    <w:qFormat/>
    <w:uiPriority w:val="0"/>
    <w:rPr>
      <w:color w:val="800080"/>
      <w:u w:val="single"/>
    </w:rPr>
  </w:style>
  <w:style w:type="character" w:styleId="13">
    <w:name w:val="Emphasis"/>
    <w:qFormat/>
    <w:uiPriority w:val="0"/>
    <w:rPr>
      <w:i/>
    </w:rPr>
  </w:style>
  <w:style w:type="character" w:styleId="14">
    <w:name w:val="line number"/>
    <w:basedOn w:val="10"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styleId="16">
    <w:name w:val="annotation reference"/>
    <w:basedOn w:val="10"/>
    <w:qFormat/>
    <w:uiPriority w:val="0"/>
    <w:rPr>
      <w:sz w:val="21"/>
      <w:szCs w:val="21"/>
    </w:rPr>
  </w:style>
  <w:style w:type="character" w:customStyle="1" w:styleId="17">
    <w:name w:val="标题 1 字符"/>
    <w:basedOn w:val="10"/>
    <w:link w:val="2"/>
    <w:qFormat/>
    <w:uiPriority w:val="0"/>
    <w:rPr>
      <w:rFonts w:ascii="Calibri" w:hAnsi="Calibri" w:eastAsia="宋体" w:cs="Times New Roman"/>
      <w:b/>
      <w:kern w:val="44"/>
      <w:sz w:val="44"/>
      <w:szCs w:val="24"/>
    </w:rPr>
  </w:style>
  <w:style w:type="character" w:customStyle="1" w:styleId="18">
    <w:name w:val="标题 2 字符"/>
    <w:basedOn w:val="10"/>
    <w:link w:val="3"/>
    <w:qFormat/>
    <w:uiPriority w:val="0"/>
    <w:rPr>
      <w:rFonts w:ascii="Arial" w:hAnsi="Arial" w:eastAsia="黑体" w:cs="Times New Roman"/>
      <w:b/>
      <w:sz w:val="32"/>
      <w:szCs w:val="24"/>
    </w:rPr>
  </w:style>
  <w:style w:type="character" w:customStyle="1" w:styleId="19">
    <w:name w:val="批注文字 字符"/>
    <w:basedOn w:val="10"/>
    <w:link w:val="4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20">
    <w:name w:val="页脚 字符"/>
    <w:basedOn w:val="10"/>
    <w:link w:val="5"/>
    <w:qFormat/>
    <w:uiPriority w:val="99"/>
    <w:rPr>
      <w:rFonts w:ascii="Calibri" w:hAnsi="Calibri" w:eastAsia="宋体" w:cs="Times New Roman"/>
      <w:sz w:val="18"/>
      <w:szCs w:val="24"/>
    </w:rPr>
  </w:style>
  <w:style w:type="character" w:customStyle="1" w:styleId="21">
    <w:name w:val="页眉 字符"/>
    <w:basedOn w:val="10"/>
    <w:link w:val="6"/>
    <w:qFormat/>
    <w:uiPriority w:val="99"/>
    <w:rPr>
      <w:rFonts w:ascii="Calibri" w:hAnsi="Calibri" w:eastAsia="宋体" w:cs="Times New Roman"/>
      <w:sz w:val="18"/>
      <w:szCs w:val="24"/>
    </w:rPr>
  </w:style>
  <w:style w:type="character" w:customStyle="1" w:styleId="22">
    <w:name w:val="批注主题 字符"/>
    <w:basedOn w:val="19"/>
    <w:link w:val="7"/>
    <w:qFormat/>
    <w:uiPriority w:val="0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23">
    <w:name w:val="citation-part"/>
    <w:qFormat/>
    <w:uiPriority w:val="0"/>
  </w:style>
  <w:style w:type="character" w:customStyle="1" w:styleId="24">
    <w:name w:val="docsum-pmid"/>
    <w:qFormat/>
    <w:uiPriority w:val="0"/>
  </w:style>
  <w:style w:type="character" w:customStyle="1" w:styleId="25">
    <w:name w:val="content-right_8zs40"/>
    <w:qFormat/>
    <w:uiPriority w:val="0"/>
  </w:style>
  <w:style w:type="character" w:customStyle="1" w:styleId="26">
    <w:name w:val="c-color-gray2"/>
    <w:qFormat/>
    <w:uiPriority w:val="0"/>
  </w:style>
  <w:style w:type="character" w:customStyle="1" w:styleId="27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8">
    <w:name w:val="font11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29">
    <w:name w:val="font1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30">
    <w:name w:val="font121"/>
    <w:qFormat/>
    <w:uiPriority w:val="0"/>
    <w:rPr>
      <w:rFonts w:ascii="微软雅黑" w:hAnsi="微软雅黑" w:eastAsia="微软雅黑" w:cs="微软雅黑"/>
      <w:color w:val="000000"/>
      <w:sz w:val="24"/>
      <w:szCs w:val="24"/>
      <w:u w:val="none"/>
      <w:vertAlign w:val="superscript"/>
    </w:rPr>
  </w:style>
  <w:style w:type="paragraph" w:customStyle="1" w:styleId="31">
    <w:name w:val="修订1"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32">
    <w:name w:val="src"/>
    <w:basedOn w:val="10"/>
    <w:qFormat/>
    <w:uiPriority w:val="0"/>
  </w:style>
  <w:style w:type="character" w:customStyle="1" w:styleId="33">
    <w:name w:val="css-10ts0oe-box-hl"/>
    <w:basedOn w:val="10"/>
    <w:qFormat/>
    <w:uiPriority w:val="0"/>
  </w:style>
  <w:style w:type="character" w:customStyle="1" w:styleId="34">
    <w:name w:val="css-5a0k3b-box-hl-puncthl"/>
    <w:basedOn w:val="10"/>
    <w:qFormat/>
    <w:uiPriority w:val="0"/>
  </w:style>
  <w:style w:type="paragraph" w:customStyle="1" w:styleId="35">
    <w:name w:val="Revision"/>
    <w:hidden/>
    <w:semiHidden/>
    <w:uiPriority w:val="99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36">
    <w:name w:val="List Paragraph"/>
    <w:basedOn w:val="1"/>
    <w:qFormat/>
    <w:uiPriority w:val="34"/>
    <w:pPr>
      <w:ind w:firstLine="420" w:firstLineChars="200"/>
    </w:pPr>
  </w:style>
  <w:style w:type="table" w:customStyle="1" w:styleId="37">
    <w:name w:val="网格型2"/>
    <w:basedOn w:val="8"/>
    <w:qFormat/>
    <w:uiPriority w:val="0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1165</Words>
  <Characters>6646</Characters>
  <Lines>55</Lines>
  <Paragraphs>15</Paragraphs>
  <TotalTime>0</TotalTime>
  <ScaleCrop>false</ScaleCrop>
  <LinksUpToDate>false</LinksUpToDate>
  <CharactersWithSpaces>7796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2023-01-09T09:12:00Z</dcterms:created>
  <dc:creator>Jiuqi</dc:creator>
  <cp:lastModifiedBy>叶潆</cp:lastModifiedBy>
  <dcterms:modified xsi:type="dcterms:W3CDTF">2023-01-27T23:05:47Z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7A150CFEAFBD1A6FFE8CC1635AB74E42</vt:lpwstr>
  </property>
</Properties>
</file>