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991EBB" w:rsidR="00991EBB" w:rsidP="615C140E" w:rsidRDefault="00991EBB" w14:paraId="640ED3C6" w14:textId="5A1EC70A">
      <w:pPr>
        <w:shd w:val="clear" w:color="auto" w:fill="FFFFFF" w:themeFill="background1"/>
        <w:spacing w:after="0" w:line="240" w:lineRule="auto"/>
        <w:textAlignment w:val="baseline"/>
        <w:rPr>
          <w:rFonts w:ascii="inherit" w:hAnsi="inherit" w:eastAsia="Times New Roman" w:cs="Helvetica"/>
          <w:color w:val="333333"/>
          <w:sz w:val="24"/>
          <w:szCs w:val="24"/>
          <w:lang w:eastAsia="en-GB"/>
        </w:rPr>
      </w:pPr>
      <w:r w:rsidRPr="00991EBB" w:rsidR="0D0A7192">
        <w:rPr>
          <w:rFonts w:ascii="inherit" w:hAnsi="inherit" w:eastAsia="Times New Roman" w:cs="Helvetica"/>
          <w:b w:val="1"/>
          <w:bCs w:val="1"/>
          <w:color w:val="333333"/>
          <w:sz w:val="24"/>
          <w:szCs w:val="24"/>
          <w:bdr w:val="none" w:color="auto" w:sz="0" w:space="0" w:frame="1"/>
          <w:lang w:eastAsia="en-GB"/>
        </w:rPr>
        <w:t xml:space="preserve">Supplementary </w:t>
      </w:r>
      <w:r w:rsidRPr="00991EBB" w:rsidR="00991EBB">
        <w:rPr>
          <w:rFonts w:ascii="inherit" w:hAnsi="inherit" w:eastAsia="Times New Roman" w:cs="Helvetica"/>
          <w:b w:val="1"/>
          <w:bCs w:val="1"/>
          <w:color w:val="333333"/>
          <w:sz w:val="24"/>
          <w:szCs w:val="24"/>
          <w:bdr w:val="none" w:color="auto" w:sz="0" w:space="0" w:frame="1"/>
          <w:lang w:eastAsia="en-GB"/>
        </w:rPr>
        <w:t xml:space="preserve">Table</w:t>
      </w:r>
      <w:r w:rsidRPr="00991EBB" w:rsidR="234597D2">
        <w:rPr>
          <w:rFonts w:ascii="inherit" w:hAnsi="inherit" w:eastAsia="Times New Roman" w:cs="Helvetica"/>
          <w:b w:val="1"/>
          <w:bCs w:val="1"/>
          <w:color w:val="333333"/>
          <w:sz w:val="24"/>
          <w:szCs w:val="24"/>
          <w:bdr w:val="none" w:color="auto" w:sz="0" w:space="0" w:frame="1"/>
          <w:lang w:eastAsia="en-GB"/>
        </w:rPr>
        <w:t xml:space="preserve">.</w:t>
      </w:r>
      <w:r w:rsidRPr="00991EBB" w:rsidR="00991EBB">
        <w:rPr>
          <w:rFonts w:ascii="inherit" w:hAnsi="inherit" w:eastAsia="Times New Roman" w:cs="Helvetica"/>
          <w:b w:val="1"/>
          <w:bCs w:val="1"/>
          <w:color w:val="333333"/>
          <w:sz w:val="24"/>
          <w:szCs w:val="24"/>
          <w:bdr w:val="none" w:color="auto" w:sz="0" w:space="0" w:frame="1"/>
          <w:lang w:eastAsia="en-GB"/>
        </w:rPr>
        <w:t xml:space="preserve"> </w:t>
      </w:r>
      <w:r w:rsidRPr="00991EBB" w:rsidR="448FC7F4">
        <w:rPr>
          <w:rFonts w:ascii="inherit" w:hAnsi="inherit" w:eastAsia="Times New Roman" w:cs="Helvetica"/>
          <w:b w:val="1"/>
          <w:bCs w:val="1"/>
          <w:color w:val="333333"/>
          <w:sz w:val="24"/>
          <w:szCs w:val="24"/>
          <w:bdr w:val="none" w:color="auto" w:sz="0" w:space="0" w:frame="1"/>
          <w:lang w:eastAsia="en-GB"/>
        </w:rPr>
        <w:t xml:space="preserve"> </w:t>
      </w:r>
      <w:r w:rsidRPr="615C140E" w:rsidR="008A2380">
        <w:rPr>
          <w:rFonts w:ascii="inherit" w:hAnsi="inherit" w:eastAsia="Times New Roman" w:cs="Helvetica"/>
          <w:color w:val="333333"/>
          <w:sz w:val="24"/>
          <w:szCs w:val="24"/>
          <w:lang w:eastAsia="en-GB"/>
        </w:rPr>
        <w:t xml:space="preserve">Summary of </w:t>
      </w:r>
      <w:r w:rsidRPr="615C140E" w:rsidR="00991EBB">
        <w:rPr>
          <w:rFonts w:ascii="inherit" w:hAnsi="inherit" w:eastAsia="Times New Roman" w:cs="Helvetica"/>
          <w:color w:val="333333"/>
          <w:sz w:val="24"/>
          <w:szCs w:val="24"/>
          <w:lang w:eastAsia="en-GB"/>
        </w:rPr>
        <w:t>PPI using GRIPP 2-SF</w:t>
      </w:r>
    </w:p>
    <w:tbl>
      <w:tblPr>
        <w:tblW w:w="14550" w:type="dxa"/>
        <w:tblBorders>
          <w:top w:val="single" w:color="CCCCCC" w:sz="6" w:space="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3"/>
        <w:gridCol w:w="11297"/>
      </w:tblGrid>
      <w:tr w:rsidRPr="00991EBB" w:rsidR="00750FB1" w:rsidTr="47081B5C" w14:paraId="7067EC9F" w14:textId="77777777">
        <w:trPr>
          <w:tblHeader/>
        </w:trPr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27DF42A6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Section and topic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3B0CAD7A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Item</w:t>
            </w:r>
          </w:p>
        </w:tc>
      </w:tr>
      <w:tr w:rsidRPr="00991EBB" w:rsidR="00750FB1" w:rsidTr="47081B5C" w14:paraId="33636411" w14:textId="77777777"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5DED7EA7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b/>
                <w:bCs/>
                <w:color w:val="333333"/>
                <w:sz w:val="24"/>
                <w:szCs w:val="24"/>
                <w:bdr w:val="none" w:color="auto" w:sz="0" w:space="0" w:frame="1"/>
                <w:lang w:eastAsia="en-GB"/>
              </w:rPr>
              <w:t>1: Aim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br/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Report the aim of the study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7B20C646" w14:textId="32FC120E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To </w:t>
            </w:r>
            <w:r w:rsidR="008A2380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systematically review the evidence about the role of access to green spaces in preventing anxiety and depression amongst young people aged 14-24 in urban settings globally. To incorporate insights from PPI work with young people aged 14-24 with lived experience of anxiety and/or depression.</w:t>
            </w:r>
          </w:p>
        </w:tc>
      </w:tr>
      <w:tr w:rsidRPr="00991EBB" w:rsidR="00750FB1" w:rsidTr="47081B5C" w14:paraId="612C1510" w14:textId="77777777">
        <w:trPr>
          <w:trHeight w:val="1500"/>
        </w:trPr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0702A4BD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b/>
                <w:bCs/>
                <w:color w:val="333333"/>
                <w:sz w:val="24"/>
                <w:szCs w:val="24"/>
                <w:bdr w:val="none" w:color="auto" w:sz="0" w:space="0" w:frame="1"/>
                <w:lang w:eastAsia="en-GB"/>
              </w:rPr>
              <w:t>2: Methods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br/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Provide a clear description of the methods used for PPI in the study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47081B5C" w:rsidRDefault="002604AD" w14:paraId="0B76A1DB" w14:textId="30AC1957">
            <w:pPr>
              <w:pStyle w:val="Normal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inherit" w:hAnsi="inherit" w:eastAsia="Times New Roman" w:cs="Helvetica"/>
                <w:noProof w:val="0"/>
                <w:color w:val="333333"/>
                <w:sz w:val="24"/>
                <w:szCs w:val="24"/>
                <w:lang w:val="en-GB" w:eastAsia="en-GB"/>
              </w:rPr>
            </w:pPr>
            <w:r w:rsidRPr="47081B5C" w:rsidR="002604AD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Two age-specific groups of young people (14-18 and 19-24) with lived experience of anxiety and/or depression were recruited through </w:t>
            </w:r>
            <w:hyperlink r:id="Rf8c28a6722e2499c">
              <w:r w:rsidRPr="47081B5C" w:rsidR="002604AD">
                <w:rPr>
                  <w:rFonts w:ascii="inherit" w:hAnsi="inherit" w:eastAsia="Times New Roman" w:cs="Helvetica"/>
                  <w:color w:val="333333"/>
                  <w:sz w:val="24"/>
                  <w:szCs w:val="24"/>
                  <w:lang w:eastAsia="en-GB"/>
                </w:rPr>
                <w:t>People in Health West of England</w:t>
              </w:r>
            </w:hyperlink>
            <w:r w:rsidRPr="47081B5C" w:rsidR="002604AD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. There were four people in the 14-18 age group and three people in the 19-24 age group. Focus groups were held separately with each group</w:t>
            </w:r>
            <w:r w:rsidRPr="47081B5C" w:rsidR="004E3FFE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at two time points</w:t>
            </w:r>
            <w:r w:rsidRPr="47081B5C" w:rsidR="002604AD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, firstly to shape the scope of the systematic review and secondly to</w:t>
            </w:r>
            <w:r w:rsidRPr="47081B5C" w:rsidR="5FFF2274">
              <w:rPr>
                <w:rFonts w:ascii="inherit" w:hAnsi="inherit" w:eastAsia="Times New Roman" w:cs="Helvetica"/>
                <w:noProof w:val="0"/>
                <w:color w:val="333333"/>
                <w:sz w:val="24"/>
                <w:szCs w:val="24"/>
                <w:lang w:val="en-GB" w:eastAsia="en-GB"/>
              </w:rPr>
              <w:t xml:space="preserve"> interpret the findings of the review and offer insights into causal pathways.</w:t>
            </w:r>
          </w:p>
        </w:tc>
      </w:tr>
      <w:tr w:rsidRPr="00991EBB" w:rsidR="00750FB1" w:rsidTr="47081B5C" w14:paraId="7CC2E15A" w14:textId="77777777"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73310417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b/>
                <w:bCs/>
                <w:color w:val="333333"/>
                <w:sz w:val="24"/>
                <w:szCs w:val="24"/>
                <w:bdr w:val="none" w:color="auto" w:sz="0" w:space="0" w:frame="1"/>
                <w:lang w:eastAsia="en-GB"/>
              </w:rPr>
              <w:t>3: Results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br/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Outcomes—Report the results of PPI in the study, including both positive and negative outcomes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3A76DB2B" w14:textId="2CEF2FF6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47081B5C" w:rsid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PPI contributed to the study in several ways, including:</w:t>
            </w:r>
            <w:r>
              <w:br/>
            </w:r>
            <w:r w:rsidRPr="47081B5C" w:rsid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- C</w:t>
            </w:r>
            <w:r w:rsidRPr="47081B5C" w:rsidR="004E3FFE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larifying the different ways in which green or natural spaces help young people with anxiety and depression, which informed the scope of the review and the search terms</w:t>
            </w:r>
            <w:r>
              <w:br/>
            </w:r>
            <w:r w:rsidRPr="47081B5C" w:rsid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- </w:t>
            </w:r>
            <w:r w:rsidRPr="47081B5C" w:rsidR="004E3FFE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Comments on the </w:t>
            </w:r>
            <w:r w:rsidRPr="47081B5C" w:rsidR="289E64F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findings </w:t>
            </w:r>
            <w:r w:rsidRPr="47081B5C" w:rsidR="004E3FFE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provided insights into the processes through which exposure to green or natural spaces helps prevent anxiety and depression. </w:t>
            </w:r>
          </w:p>
        </w:tc>
      </w:tr>
      <w:tr w:rsidRPr="00991EBB" w:rsidR="00750FB1" w:rsidTr="47081B5C" w14:paraId="475C424D" w14:textId="77777777"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5B4C26A4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b/>
                <w:bCs/>
                <w:color w:val="333333"/>
                <w:sz w:val="24"/>
                <w:szCs w:val="24"/>
                <w:bdr w:val="none" w:color="auto" w:sz="0" w:space="0" w:frame="1"/>
                <w:lang w:eastAsia="en-GB"/>
              </w:rPr>
              <w:t>4: Discussion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br/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Outcomes—Comment on the extent to which PPI influenced the study overall. Describe positive and negative effects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13733F9E" w14:textId="4EB6320D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47081B5C" w:rsid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Patient and public involvement in this study was </w:t>
            </w:r>
            <w:r w:rsidRPr="47081B5C" w:rsidR="00750FB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important to focus the review so that it was relevant to young people’s experiences. </w:t>
            </w:r>
            <w:r w:rsidRPr="47081B5C" w:rsid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</w:t>
            </w:r>
            <w:r w:rsidRPr="47081B5C" w:rsidR="00750FB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The input of the 19-24 age group was particularly insightful because they were personally very interested in the research as students or health professionals themselves, and because of their own experiences with mental health. </w:t>
            </w:r>
            <w:r w:rsidRPr="47081B5C" w:rsidR="00F9391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However, b</w:t>
            </w:r>
            <w:r w:rsidRPr="47081B5C" w:rsidR="00750FB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oth age groups talked about a wide range of </w:t>
            </w:r>
            <w:r w:rsidRPr="47081B5C" w:rsidR="00F9391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relevant outdoor </w:t>
            </w:r>
            <w:r w:rsidRPr="47081B5C" w:rsidR="00750FB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activities</w:t>
            </w:r>
            <w:r w:rsidRPr="47081B5C" w:rsidR="00F9391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that informed the scope of the systematic review, and both also contributed insights, for example about psychological processes, that helped </w:t>
            </w:r>
            <w:r w:rsidRPr="47081B5C" w:rsidR="214C0429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interpret</w:t>
            </w:r>
            <w:r w:rsidRPr="47081B5C" w:rsidR="00F9391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the literature </w:t>
            </w:r>
            <w:r w:rsidRPr="47081B5C" w:rsidR="211F7D3A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review findings.</w:t>
            </w:r>
            <w:bookmarkStart w:name="_GoBack" w:id="0"/>
            <w:bookmarkEnd w:id="0"/>
          </w:p>
        </w:tc>
      </w:tr>
      <w:tr w:rsidRPr="00991EBB" w:rsidR="00750FB1" w:rsidTr="47081B5C" w14:paraId="7C5EFAB7" w14:textId="77777777">
        <w:tc>
          <w:tcPr>
            <w:tcW w:w="3253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991EBB" w14:paraId="39685CC3" w14:textId="77777777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 w:rsidRPr="00991EBB">
              <w:rPr>
                <w:rFonts w:ascii="inherit" w:hAnsi="inherit" w:eastAsia="Times New Roman" w:cs="Helvetica"/>
                <w:b/>
                <w:bCs/>
                <w:color w:val="333333"/>
                <w:sz w:val="24"/>
                <w:szCs w:val="24"/>
                <w:bdr w:val="none" w:color="auto" w:sz="0" w:space="0" w:frame="1"/>
                <w:lang w:eastAsia="en-GB"/>
              </w:rPr>
              <w:t>5: Reflections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br/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Critical perspective—Comment critically on the study, reflecting on the things </w:t>
            </w:r>
            <w:r w:rsidRPr="00991EBB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lastRenderedPageBreak/>
              <w:t>that went well and those that did not, so others can learn from this experience</w:t>
            </w:r>
          </w:p>
        </w:tc>
        <w:tc>
          <w:tcPr>
            <w:tcW w:w="11297" w:type="dxa"/>
            <w:tcBorders>
              <w:top w:val="single" w:color="D3D3D3" w:sz="6" w:space="0"/>
              <w:left w:val="single" w:color="D3D3D3" w:sz="6" w:space="0"/>
              <w:bottom w:val="single" w:color="D3D3D3" w:sz="6" w:space="0"/>
              <w:right w:val="single" w:color="D3D3D3" w:sz="6" w:space="0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Pr="00991EBB" w:rsidR="00991EBB" w:rsidP="00991EBB" w:rsidRDefault="004E3FFE" w14:paraId="73BB880B" w14:textId="102CFE3A">
            <w:pPr>
              <w:spacing w:after="0" w:line="240" w:lineRule="auto"/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</w:pPr>
            <w:r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lastRenderedPageBreak/>
              <w:t xml:space="preserve">PPI was planned from the start as a requirement of the funder and recruitment was therefore carried out in good time with the help of </w:t>
            </w:r>
            <w:hyperlink w:history="1" r:id="rId8">
              <w:r w:rsidRPr="002604AD">
                <w:rPr>
                  <w:rStyle w:val="Hyperlink"/>
                  <w:rFonts w:ascii="inherit" w:hAnsi="inherit" w:eastAsia="Times New Roman" w:cs="Helvetica"/>
                  <w:sz w:val="24"/>
                  <w:szCs w:val="24"/>
                  <w:lang w:eastAsia="en-GB"/>
                </w:rPr>
                <w:t>People in Health West of England</w:t>
              </w:r>
            </w:hyperlink>
            <w:r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. Although we recruited four young people in</w:t>
            </w:r>
            <w:r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to</w:t>
            </w:r>
            <w:r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each group, one person was unable to join the 19-24 </w:t>
            </w:r>
            <w:r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age</w:t>
            </w:r>
            <w:r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group.  </w:t>
            </w:r>
            <w:r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The 14-18 age group had some (limited) diversity in terms of age, gender, ethnicity and socio-economic background. The 19-24 age group were all </w:t>
            </w:r>
            <w:r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lastRenderedPageBreak/>
              <w:t xml:space="preserve">white females, but represented some diversity in terms of ages and socio-economic background. While the 19-24 age group were confident to contribute their views, and in some senses self-managed themselves as a focus group, the 14-18 age group needed more prompting. The </w:t>
            </w:r>
            <w:r w:rsidRPr="00DB2513"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Patient &amp; Public Involvement Facilitator</w:t>
            </w:r>
            <w:r w:rsidRPr="00DB2513"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 from People in Health West of England led these sessions and was able to help with this.</w:t>
            </w:r>
            <w:r w:rsidR="00DB2513"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  <w:r w:rsidRPr="00750FB1" w:rsidR="00DB2513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 xml:space="preserve">This slightly different approach for each age group worked well, as did the small group size which </w:t>
            </w:r>
            <w:r w:rsidRPr="00750FB1" w:rsidR="00750FB1">
              <w:rPr>
                <w:rFonts w:ascii="inherit" w:hAnsi="inherit" w:eastAsia="Times New Roman" w:cs="Helvetica"/>
                <w:color w:val="333333"/>
                <w:sz w:val="24"/>
                <w:szCs w:val="24"/>
                <w:lang w:eastAsia="en-GB"/>
              </w:rPr>
              <w:t>made it easier for each voice to be heard.</w:t>
            </w:r>
            <w:r w:rsidR="00DB2513">
              <w:rPr>
                <w:rFonts w:ascii="Tahoma" w:hAnsi="Tahoma" w:cs="Tahoma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235681" w:rsidRDefault="00F93911" w14:paraId="62C52DE6" w14:textId="77777777"/>
    <w:sectPr w:rsidR="00235681" w:rsidSect="00991EB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EBB"/>
    <w:rsid w:val="0014133F"/>
    <w:rsid w:val="001E54BB"/>
    <w:rsid w:val="002604AD"/>
    <w:rsid w:val="003B0919"/>
    <w:rsid w:val="004E3FFE"/>
    <w:rsid w:val="006678A5"/>
    <w:rsid w:val="00750FB1"/>
    <w:rsid w:val="008A2380"/>
    <w:rsid w:val="00991EBB"/>
    <w:rsid w:val="00DB2513"/>
    <w:rsid w:val="00F93911"/>
    <w:rsid w:val="06751186"/>
    <w:rsid w:val="0D0A7192"/>
    <w:rsid w:val="211F7D3A"/>
    <w:rsid w:val="214C0429"/>
    <w:rsid w:val="234597D2"/>
    <w:rsid w:val="289E64FB"/>
    <w:rsid w:val="436447A5"/>
    <w:rsid w:val="448FC7F4"/>
    <w:rsid w:val="47081B5C"/>
    <w:rsid w:val="5FFF2274"/>
    <w:rsid w:val="615C140E"/>
    <w:rsid w:val="6991A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649FA"/>
  <w15:chartTrackingRefBased/>
  <w15:docId w15:val="{F008BF68-D085-48C0-8BBE-D68587A4B2A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table-label" w:customStyle="1">
    <w:name w:val="table-label"/>
    <w:basedOn w:val="DefaultParagraphFont"/>
    <w:rsid w:val="00991EBB"/>
  </w:style>
  <w:style w:type="paragraph" w:styleId="NormalWeb">
    <w:name w:val="Normal (Web)"/>
    <w:basedOn w:val="Normal"/>
    <w:uiPriority w:val="99"/>
    <w:semiHidden/>
    <w:unhideWhenUsed/>
    <w:rsid w:val="00991EB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91EBB"/>
    <w:rPr>
      <w:b/>
      <w:bCs/>
    </w:rPr>
  </w:style>
  <w:style w:type="character" w:styleId="Hyperlink">
    <w:name w:val="Hyperlink"/>
    <w:basedOn w:val="DefaultParagraphFont"/>
    <w:uiPriority w:val="99"/>
    <w:unhideWhenUsed/>
    <w:rsid w:val="002604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4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359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7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phwe.org.uk/" TargetMode="External" Id="rId8" /><Relationship Type="http://schemas.openxmlformats.org/officeDocument/2006/relationships/customXml" Target="../customXml/item3.xml" Id="rId3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Relationship Type="http://schemas.openxmlformats.org/officeDocument/2006/relationships/hyperlink" Target="http://www.phwe.org.uk/" TargetMode="External" Id="Rf8c28a6722e2499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95DC29F69DA41B831D7985DDEFF7A" ma:contentTypeVersion="12" ma:contentTypeDescription="Create a new document." ma:contentTypeScope="" ma:versionID="ed138e8dee26de13ceca34931f5f69d4">
  <xsd:schema xmlns:xsd="http://www.w3.org/2001/XMLSchema" xmlns:xs="http://www.w3.org/2001/XMLSchema" xmlns:p="http://schemas.microsoft.com/office/2006/metadata/properties" xmlns:ns3="f6569699-ae44-4c85-9383-dd5a41d3d471" xmlns:ns4="da5da9df-85e1-4e4b-b319-af1e48434c21" targetNamespace="http://schemas.microsoft.com/office/2006/metadata/properties" ma:root="true" ma:fieldsID="71301c89dcef243315bb987ca8c8db6e" ns3:_="" ns4:_="">
    <xsd:import namespace="f6569699-ae44-4c85-9383-dd5a41d3d471"/>
    <xsd:import namespace="da5da9df-85e1-4e4b-b319-af1e48434c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69699-ae44-4c85-9383-dd5a41d3d4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5da9df-85e1-4e4b-b319-af1e48434c2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13426C-5935-40D0-A512-6A0C9D8B1F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569699-ae44-4c85-9383-dd5a41d3d471"/>
    <ds:schemaRef ds:uri="da5da9df-85e1-4e4b-b319-af1e48434c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1C7E9C-64ED-44A0-8389-0B21F2FA79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F3432-77C3-4689-8587-BD2CF462726B}">
  <ds:schemaRefs>
    <ds:schemaRef ds:uri="http://purl.org/dc/elements/1.1/"/>
    <ds:schemaRef ds:uri="http://schemas.microsoft.com/office/2006/metadata/properties"/>
    <ds:schemaRef ds:uri="f6569699-ae44-4c85-9383-dd5a41d3d471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da5da9df-85e1-4e4b-b319-af1e48434c21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Issy Bray</dc:creator>
  <keywords/>
  <dc:description/>
  <lastModifiedBy>Issy Bray</lastModifiedBy>
  <revision>4</revision>
  <dcterms:created xsi:type="dcterms:W3CDTF">2020-12-18T14:55:00.0000000Z</dcterms:created>
  <dcterms:modified xsi:type="dcterms:W3CDTF">2021-01-23T21:26:06.1804833Z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0x0101001C495DC29F69DA41B831D7985DDEFF7A</vt:lpwstr>
  </property>
</Properties>
</file>