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EAD" w:rsidRDefault="00EB6EAD" w:rsidP="00EB6EAD">
      <w:pPr>
        <w:spacing w:line="480" w:lineRule="auto"/>
        <w:jc w:val="left"/>
        <w:rPr>
          <w:rFonts w:ascii="Times New Roman" w:hAnsi="Times New Roman" w:cs="Times New Roman"/>
          <w:sz w:val="24"/>
          <w:szCs w:val="24"/>
        </w:rPr>
      </w:pPr>
      <w:r>
        <w:rPr>
          <w:rFonts w:ascii="Times New Roman" w:hAnsi="Times New Roman" w:cs="Times New Roman"/>
          <w:b/>
          <w:sz w:val="24"/>
          <w:szCs w:val="24"/>
        </w:rPr>
        <w:t>Supplementary Table 2</w:t>
      </w:r>
    </w:p>
    <w:tbl>
      <w:tblPr>
        <w:tblW w:w="5000" w:type="pct"/>
        <w:tblCellMar>
          <w:top w:w="75" w:type="dxa"/>
          <w:left w:w="75" w:type="dxa"/>
          <w:bottom w:w="75" w:type="dxa"/>
          <w:right w:w="75" w:type="dxa"/>
        </w:tblCellMar>
        <w:tblLook w:val="04A0" w:firstRow="1" w:lastRow="0" w:firstColumn="1" w:lastColumn="0" w:noHBand="0" w:noVBand="1"/>
      </w:tblPr>
      <w:tblGrid>
        <w:gridCol w:w="1081"/>
        <w:gridCol w:w="942"/>
        <w:gridCol w:w="1745"/>
        <w:gridCol w:w="942"/>
        <w:gridCol w:w="1126"/>
        <w:gridCol w:w="1080"/>
        <w:gridCol w:w="2110"/>
      </w:tblGrid>
      <w:tr w:rsidR="004834F2" w:rsidRPr="004834F2" w:rsidTr="009E4134">
        <w:trPr>
          <w:cantSplit/>
          <w:tblHeader/>
        </w:trPr>
        <w:tc>
          <w:tcPr>
            <w:tcW w:w="0" w:type="auto"/>
            <w:gridSpan w:val="7"/>
            <w:tcBorders>
              <w:top w:val="nil"/>
              <w:left w:val="nil"/>
              <w:bottom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 xml:space="preserve">Summary of findings: </w:t>
            </w:r>
          </w:p>
        </w:tc>
      </w:tr>
      <w:tr w:rsidR="004834F2" w:rsidRPr="004834F2" w:rsidTr="009E4134">
        <w:trPr>
          <w:cantSplit/>
          <w:tblHeader/>
        </w:trPr>
        <w:tc>
          <w:tcPr>
            <w:tcW w:w="0" w:type="auto"/>
            <w:gridSpan w:val="7"/>
            <w:tcBorders>
              <w:top w:val="single" w:sz="12" w:space="0" w:color="000000"/>
              <w:left w:val="nil"/>
              <w:bottom w:val="single" w:sz="12" w:space="0" w:color="000000"/>
              <w:right w:val="nil"/>
            </w:tcBorders>
            <w:vAlign w:val="center"/>
            <w:hideMark/>
          </w:tcPr>
          <w:p w:rsidR="004834F2" w:rsidRPr="004834F2" w:rsidRDefault="004834F2" w:rsidP="004834F2">
            <w:pPr>
              <w:spacing w:line="480" w:lineRule="auto"/>
              <w:rPr>
                <w:rFonts w:ascii="Arial Narrow" w:eastAsia="DengXian" w:hAnsi="Arial Narrow" w:cs="Times New Roman"/>
                <w:sz w:val="20"/>
                <w:szCs w:val="20"/>
              </w:rPr>
            </w:pPr>
            <w:proofErr w:type="spellStart"/>
            <w:r w:rsidRPr="004834F2">
              <w:rPr>
                <w:rFonts w:ascii="Arial Narrow" w:eastAsia="DengXian" w:hAnsi="Arial Narrow" w:cs="Times New Roman"/>
                <w:b/>
                <w:bCs/>
                <w:sz w:val="20"/>
                <w:szCs w:val="20"/>
              </w:rPr>
              <w:t>Hydroxychloroquine</w:t>
            </w:r>
            <w:proofErr w:type="spellEnd"/>
            <w:r w:rsidRPr="004834F2">
              <w:rPr>
                <w:rFonts w:ascii="Arial Narrow" w:eastAsia="DengXian" w:hAnsi="Arial Narrow" w:cs="Times New Roman"/>
                <w:b/>
                <w:bCs/>
                <w:sz w:val="20"/>
                <w:szCs w:val="20"/>
              </w:rPr>
              <w:t xml:space="preserve"> compared to standard treatment for COVID 19</w:t>
            </w:r>
          </w:p>
        </w:tc>
      </w:tr>
      <w:tr w:rsidR="004834F2" w:rsidRPr="004834F2" w:rsidTr="009E4134">
        <w:trPr>
          <w:cantSplit/>
          <w:tblHeader/>
        </w:trPr>
        <w:tc>
          <w:tcPr>
            <w:tcW w:w="0" w:type="auto"/>
            <w:gridSpan w:val="7"/>
            <w:tcBorders>
              <w:top w:val="single" w:sz="12" w:space="0" w:color="000000"/>
              <w:left w:val="nil"/>
              <w:bottom w:val="single" w:sz="12"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Patient or population</w:t>
            </w:r>
            <w:r w:rsidRPr="004834F2">
              <w:rPr>
                <w:rFonts w:ascii="Arial Narrow" w:eastAsia="Times New Roman" w:hAnsi="Arial Narrow" w:cs="Times New Roman"/>
                <w:sz w:val="20"/>
                <w:szCs w:val="20"/>
              </w:rPr>
              <w:t xml:space="preserve">: COVID 19 </w:t>
            </w:r>
          </w:p>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Setting</w:t>
            </w:r>
            <w:r w:rsidRPr="004834F2">
              <w:rPr>
                <w:rFonts w:ascii="Arial Narrow" w:eastAsia="Times New Roman" w:hAnsi="Arial Narrow" w:cs="Times New Roman"/>
                <w:sz w:val="20"/>
                <w:szCs w:val="20"/>
              </w:rPr>
              <w:t>: Wuhan, China</w:t>
            </w:r>
          </w:p>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Intervention</w:t>
            </w:r>
            <w:r w:rsidRPr="004834F2">
              <w:rPr>
                <w:rFonts w:ascii="Arial Narrow" w:eastAsia="Times New Roman" w:hAnsi="Arial Narrow" w:cs="Times New Roman"/>
                <w:sz w:val="20"/>
                <w:szCs w:val="20"/>
              </w:rPr>
              <w:t xml:space="preserve">: </w:t>
            </w:r>
            <w:proofErr w:type="spellStart"/>
            <w:r w:rsidRPr="004834F2">
              <w:rPr>
                <w:rFonts w:ascii="Arial Narrow" w:eastAsia="Times New Roman" w:hAnsi="Arial Narrow" w:cs="Times New Roman"/>
                <w:sz w:val="20"/>
                <w:szCs w:val="20"/>
              </w:rPr>
              <w:t>Hydroxychloroquine</w:t>
            </w:r>
            <w:proofErr w:type="spellEnd"/>
            <w:r w:rsidRPr="004834F2">
              <w:rPr>
                <w:rFonts w:ascii="Arial Narrow" w:eastAsia="Times New Roman" w:hAnsi="Arial Narrow" w:cs="Times New Roman"/>
                <w:sz w:val="20"/>
                <w:szCs w:val="20"/>
              </w:rPr>
              <w:t xml:space="preserve"> </w:t>
            </w:r>
          </w:p>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Comparison</w:t>
            </w:r>
            <w:r w:rsidRPr="004834F2">
              <w:rPr>
                <w:rFonts w:ascii="Arial Narrow" w:eastAsia="Times New Roman" w:hAnsi="Arial Narrow" w:cs="Times New Roman"/>
                <w:sz w:val="20"/>
                <w:szCs w:val="20"/>
              </w:rPr>
              <w:t xml:space="preserve">: standard treatment </w:t>
            </w:r>
          </w:p>
        </w:tc>
      </w:tr>
      <w:tr w:rsidR="004834F2" w:rsidRPr="004834F2" w:rsidTr="002E1BE6">
        <w:trPr>
          <w:cantSplit/>
          <w:tblHeader/>
        </w:trPr>
        <w:tc>
          <w:tcPr>
            <w:tcW w:w="0" w:type="auto"/>
            <w:vMerge w:val="restart"/>
            <w:tcBorders>
              <w:bottom w:val="single" w:sz="4" w:space="0" w:color="auto"/>
              <w:right w:val="single" w:sz="6" w:space="0" w:color="EFEFEF"/>
            </w:tcBorders>
            <w:shd w:val="clear" w:color="auto" w:fill="3271AA"/>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r w:rsidRPr="004834F2">
              <w:rPr>
                <w:rFonts w:ascii="Arial Narrow" w:eastAsia="DengXian" w:hAnsi="Arial Narrow" w:cs="Times New Roman"/>
                <w:color w:val="FFFFFF"/>
                <w:sz w:val="20"/>
                <w:szCs w:val="20"/>
              </w:rPr>
              <w:t>Outcomes</w:t>
            </w:r>
          </w:p>
        </w:tc>
        <w:tc>
          <w:tcPr>
            <w:tcW w:w="0" w:type="auto"/>
            <w:gridSpan w:val="2"/>
            <w:tcBorders>
              <w:top w:val="single" w:sz="6" w:space="0" w:color="EFEFEF"/>
              <w:bottom w:val="single" w:sz="6" w:space="0" w:color="EFEFEF"/>
              <w:right w:val="single" w:sz="6" w:space="0" w:color="EFEFEF"/>
            </w:tcBorders>
            <w:shd w:val="clear" w:color="auto" w:fill="E0E0E0"/>
            <w:hideMark/>
          </w:tcPr>
          <w:p w:rsidR="004834F2" w:rsidRPr="004834F2" w:rsidRDefault="004834F2" w:rsidP="004834F2">
            <w:pPr>
              <w:spacing w:line="480" w:lineRule="auto"/>
              <w:rPr>
                <w:rFonts w:ascii="Arial Narrow" w:eastAsia="DengXian" w:hAnsi="Arial Narrow" w:cs="Times New Roman"/>
                <w:b/>
                <w:bCs/>
                <w:sz w:val="20"/>
                <w:szCs w:val="20"/>
              </w:rPr>
            </w:pPr>
            <w:r w:rsidRPr="004834F2">
              <w:rPr>
                <w:rFonts w:ascii="Arial Narrow" w:eastAsia="DengXian" w:hAnsi="Arial Narrow" w:cs="Times New Roman"/>
                <w:b/>
                <w:bCs/>
                <w:sz w:val="20"/>
                <w:szCs w:val="20"/>
              </w:rPr>
              <w:t>Anticipated absolute effects</w:t>
            </w:r>
            <w:r w:rsidRPr="004834F2">
              <w:rPr>
                <w:rFonts w:ascii="Arial Narrow" w:eastAsia="DengXian" w:hAnsi="Arial Narrow" w:cs="Times New Roman"/>
                <w:b/>
                <w:bCs/>
                <w:sz w:val="20"/>
                <w:szCs w:val="20"/>
                <w:vertAlign w:val="superscript"/>
              </w:rPr>
              <w:t>*</w:t>
            </w:r>
            <w:r w:rsidRPr="004834F2">
              <w:rPr>
                <w:rFonts w:ascii="Arial Narrow" w:eastAsia="DengXian" w:hAnsi="Arial Narrow" w:cs="Times New Roman"/>
                <w:b/>
                <w:bCs/>
                <w:sz w:val="20"/>
                <w:szCs w:val="20"/>
              </w:rPr>
              <w:t xml:space="preserve"> </w:t>
            </w:r>
            <w:r w:rsidRPr="004834F2">
              <w:rPr>
                <w:rFonts w:ascii="Arial Narrow" w:eastAsia="DengXian" w:hAnsi="Arial Narrow" w:cs="Times New Roman"/>
                <w:sz w:val="20"/>
                <w:szCs w:val="20"/>
              </w:rPr>
              <w:t>(95% CI)</w:t>
            </w:r>
            <w:r w:rsidRPr="004834F2">
              <w:rPr>
                <w:rFonts w:ascii="Arial Narrow" w:eastAsia="DengXian" w:hAnsi="Arial Narrow" w:cs="Times New Roman"/>
                <w:b/>
                <w:bCs/>
                <w:sz w:val="20"/>
                <w:szCs w:val="20"/>
              </w:rPr>
              <w:t xml:space="preserve"> </w:t>
            </w:r>
          </w:p>
        </w:tc>
        <w:tc>
          <w:tcPr>
            <w:tcW w:w="0" w:type="auto"/>
            <w:vMerge w:val="restart"/>
            <w:tcBorders>
              <w:bottom w:val="single" w:sz="4" w:space="0" w:color="auto"/>
              <w:right w:val="single" w:sz="6" w:space="0" w:color="EFEFEF"/>
            </w:tcBorders>
            <w:shd w:val="clear" w:color="auto" w:fill="3271AA"/>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r w:rsidRPr="004834F2">
              <w:rPr>
                <w:rFonts w:ascii="Arial Narrow" w:eastAsia="DengXian" w:hAnsi="Arial Narrow" w:cs="Times New Roman"/>
                <w:color w:val="FFFFFF"/>
                <w:sz w:val="20"/>
                <w:szCs w:val="20"/>
              </w:rPr>
              <w:t>Relative effect</w:t>
            </w:r>
            <w:r w:rsidRPr="004834F2">
              <w:rPr>
                <w:rFonts w:ascii="Arial Narrow" w:eastAsia="DengXian" w:hAnsi="Arial Narrow" w:cs="Times New Roman"/>
                <w:color w:val="FFFFFF"/>
                <w:sz w:val="20"/>
                <w:szCs w:val="20"/>
              </w:rPr>
              <w:br/>
              <w:t xml:space="preserve">(95% CI) </w:t>
            </w:r>
          </w:p>
        </w:tc>
        <w:tc>
          <w:tcPr>
            <w:tcW w:w="0" w:type="auto"/>
            <w:vMerge w:val="restart"/>
            <w:tcBorders>
              <w:bottom w:val="single" w:sz="4" w:space="0" w:color="auto"/>
              <w:right w:val="single" w:sz="6" w:space="0" w:color="EFEFEF"/>
            </w:tcBorders>
            <w:shd w:val="clear" w:color="auto" w:fill="3271AA"/>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r w:rsidRPr="004834F2">
              <w:rPr>
                <w:rFonts w:ascii="Arial Narrow" w:eastAsia="DengXian" w:hAnsi="Arial Narrow" w:cs="Times New Roman"/>
                <w:color w:val="FFFFFF"/>
                <w:sz w:val="20"/>
                <w:szCs w:val="20"/>
              </w:rPr>
              <w:t xml:space="preserve">№ of participants </w:t>
            </w:r>
            <w:r w:rsidRPr="004834F2">
              <w:rPr>
                <w:rFonts w:ascii="Arial Narrow" w:eastAsia="DengXian" w:hAnsi="Arial Narrow" w:cs="Times New Roman"/>
                <w:color w:val="FFFFFF"/>
                <w:sz w:val="20"/>
                <w:szCs w:val="20"/>
              </w:rPr>
              <w:br/>
              <w:t xml:space="preserve">(studies) </w:t>
            </w:r>
          </w:p>
        </w:tc>
        <w:tc>
          <w:tcPr>
            <w:tcW w:w="0" w:type="auto"/>
            <w:vMerge w:val="restart"/>
            <w:tcBorders>
              <w:bottom w:val="single" w:sz="4" w:space="0" w:color="auto"/>
              <w:right w:val="single" w:sz="6" w:space="0" w:color="EFEFEF"/>
            </w:tcBorders>
            <w:shd w:val="clear" w:color="auto" w:fill="3271AA"/>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r w:rsidRPr="004834F2">
              <w:rPr>
                <w:rFonts w:ascii="Arial Narrow" w:eastAsia="DengXian" w:hAnsi="Arial Narrow" w:cs="Times New Roman"/>
                <w:color w:val="FFFFFF"/>
                <w:sz w:val="20"/>
                <w:szCs w:val="20"/>
              </w:rPr>
              <w:t>Certainty of the evidence</w:t>
            </w:r>
            <w:r w:rsidRPr="004834F2">
              <w:rPr>
                <w:rFonts w:ascii="Arial Narrow" w:eastAsia="DengXian" w:hAnsi="Arial Narrow" w:cs="Times New Roman"/>
                <w:color w:val="FFFFFF"/>
                <w:sz w:val="20"/>
                <w:szCs w:val="20"/>
              </w:rPr>
              <w:br/>
              <w:t xml:space="preserve">(GRADE) </w:t>
            </w:r>
          </w:p>
        </w:tc>
        <w:tc>
          <w:tcPr>
            <w:tcW w:w="1300" w:type="pct"/>
            <w:vMerge w:val="restart"/>
            <w:tcBorders>
              <w:bottom w:val="single" w:sz="4" w:space="0" w:color="auto"/>
              <w:right w:val="single" w:sz="6" w:space="0" w:color="EFEFEF"/>
            </w:tcBorders>
            <w:shd w:val="clear" w:color="auto" w:fill="3271AA"/>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r w:rsidRPr="004834F2">
              <w:rPr>
                <w:rFonts w:ascii="Arial Narrow" w:eastAsia="DengXian" w:hAnsi="Arial Narrow" w:cs="Times New Roman"/>
                <w:color w:val="FFFFFF"/>
                <w:sz w:val="20"/>
                <w:szCs w:val="20"/>
              </w:rPr>
              <w:t>Comments</w:t>
            </w:r>
          </w:p>
        </w:tc>
      </w:tr>
      <w:tr w:rsidR="004834F2" w:rsidRPr="004834F2" w:rsidTr="002E1BE6">
        <w:trPr>
          <w:cantSplit/>
          <w:tblHeader/>
        </w:trPr>
        <w:tc>
          <w:tcPr>
            <w:tcW w:w="0" w:type="auto"/>
            <w:vMerge/>
            <w:tcBorders>
              <w:bottom w:val="single" w:sz="4" w:space="0" w:color="auto"/>
              <w:right w:val="single" w:sz="6" w:space="0" w:color="EFEFEF"/>
            </w:tcBorders>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p>
        </w:tc>
        <w:tc>
          <w:tcPr>
            <w:tcW w:w="0" w:type="auto"/>
            <w:tcBorders>
              <w:top w:val="single" w:sz="6" w:space="0" w:color="EFEFEF"/>
              <w:bottom w:val="single" w:sz="4" w:space="0" w:color="auto"/>
              <w:right w:val="single" w:sz="6" w:space="0" w:color="EFEFEF"/>
            </w:tcBorders>
            <w:shd w:val="clear" w:color="auto" w:fill="E0E0E0"/>
            <w:hideMark/>
          </w:tcPr>
          <w:p w:rsidR="004834F2" w:rsidRPr="004834F2" w:rsidRDefault="004834F2" w:rsidP="004834F2">
            <w:pPr>
              <w:spacing w:line="480" w:lineRule="auto"/>
              <w:rPr>
                <w:rFonts w:ascii="Arial Narrow" w:eastAsia="DengXian" w:hAnsi="Arial Narrow" w:cs="Times New Roman"/>
                <w:b/>
                <w:bCs/>
                <w:sz w:val="20"/>
                <w:szCs w:val="20"/>
              </w:rPr>
            </w:pPr>
            <w:r w:rsidRPr="004834F2">
              <w:rPr>
                <w:rFonts w:ascii="Arial Narrow" w:eastAsia="DengXian" w:hAnsi="Arial Narrow" w:cs="Times New Roman"/>
                <w:b/>
                <w:bCs/>
                <w:sz w:val="20"/>
                <w:szCs w:val="20"/>
              </w:rPr>
              <w:t>Risk with standard treatment</w:t>
            </w:r>
          </w:p>
        </w:tc>
        <w:tc>
          <w:tcPr>
            <w:tcW w:w="0" w:type="auto"/>
            <w:tcBorders>
              <w:top w:val="single" w:sz="6" w:space="0" w:color="EFEFEF"/>
              <w:bottom w:val="single" w:sz="4" w:space="0" w:color="auto"/>
              <w:right w:val="single" w:sz="6" w:space="0" w:color="EFEFEF"/>
            </w:tcBorders>
            <w:shd w:val="clear" w:color="auto" w:fill="E0E0E0"/>
            <w:hideMark/>
          </w:tcPr>
          <w:p w:rsidR="004834F2" w:rsidRPr="004834F2" w:rsidRDefault="004834F2" w:rsidP="004834F2">
            <w:pPr>
              <w:spacing w:line="480" w:lineRule="auto"/>
              <w:rPr>
                <w:rFonts w:ascii="Arial Narrow" w:eastAsia="DengXian" w:hAnsi="Arial Narrow" w:cs="Times New Roman"/>
                <w:b/>
                <w:bCs/>
                <w:sz w:val="20"/>
                <w:szCs w:val="20"/>
              </w:rPr>
            </w:pPr>
            <w:r w:rsidRPr="004834F2">
              <w:rPr>
                <w:rFonts w:ascii="Arial Narrow" w:eastAsia="DengXian" w:hAnsi="Arial Narrow" w:cs="Times New Roman"/>
                <w:b/>
                <w:bCs/>
                <w:sz w:val="20"/>
                <w:szCs w:val="20"/>
              </w:rPr>
              <w:t xml:space="preserve">Risk with </w:t>
            </w:r>
            <w:proofErr w:type="spellStart"/>
            <w:r w:rsidRPr="004834F2">
              <w:rPr>
                <w:rFonts w:ascii="Arial Narrow" w:eastAsia="DengXian" w:hAnsi="Arial Narrow" w:cs="Times New Roman"/>
                <w:b/>
                <w:bCs/>
                <w:sz w:val="20"/>
                <w:szCs w:val="20"/>
              </w:rPr>
              <w:t>Hydroxychloroquine</w:t>
            </w:r>
            <w:proofErr w:type="spellEnd"/>
          </w:p>
        </w:tc>
        <w:tc>
          <w:tcPr>
            <w:tcW w:w="0" w:type="auto"/>
            <w:vMerge/>
            <w:tcBorders>
              <w:top w:val="single" w:sz="6" w:space="0" w:color="EFEFEF"/>
              <w:bottom w:val="single" w:sz="4" w:space="0" w:color="auto"/>
              <w:right w:val="single" w:sz="6" w:space="0" w:color="EFEFEF"/>
            </w:tcBorders>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p>
        </w:tc>
        <w:tc>
          <w:tcPr>
            <w:tcW w:w="0" w:type="auto"/>
            <w:vMerge/>
            <w:tcBorders>
              <w:top w:val="single" w:sz="6" w:space="0" w:color="EFEFEF"/>
              <w:bottom w:val="single" w:sz="4" w:space="0" w:color="auto"/>
              <w:right w:val="single" w:sz="6" w:space="0" w:color="EFEFEF"/>
            </w:tcBorders>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p>
        </w:tc>
        <w:tc>
          <w:tcPr>
            <w:tcW w:w="0" w:type="auto"/>
            <w:vMerge/>
            <w:tcBorders>
              <w:top w:val="single" w:sz="6" w:space="0" w:color="EFEFEF"/>
              <w:bottom w:val="single" w:sz="4" w:space="0" w:color="auto"/>
              <w:right w:val="single" w:sz="6" w:space="0" w:color="EFEFEF"/>
            </w:tcBorders>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p>
        </w:tc>
        <w:tc>
          <w:tcPr>
            <w:tcW w:w="0" w:type="auto"/>
            <w:vMerge/>
            <w:tcBorders>
              <w:top w:val="single" w:sz="6" w:space="0" w:color="EFEFEF"/>
              <w:bottom w:val="single" w:sz="4" w:space="0" w:color="auto"/>
              <w:right w:val="single" w:sz="6" w:space="0" w:color="EFEFEF"/>
            </w:tcBorders>
            <w:vAlign w:val="center"/>
            <w:hideMark/>
          </w:tcPr>
          <w:p w:rsidR="004834F2" w:rsidRPr="004834F2" w:rsidRDefault="004834F2" w:rsidP="004834F2">
            <w:pPr>
              <w:spacing w:line="480" w:lineRule="auto"/>
              <w:rPr>
                <w:rFonts w:ascii="Arial Narrow" w:eastAsia="DengXian" w:hAnsi="Arial Narrow" w:cs="Times New Roman"/>
                <w:color w:val="FFFFFF"/>
                <w:sz w:val="20"/>
                <w:szCs w:val="20"/>
              </w:rPr>
            </w:pPr>
          </w:p>
        </w:tc>
      </w:tr>
      <w:tr w:rsidR="004834F2" w:rsidRPr="004834F2" w:rsidTr="002E1BE6">
        <w:trPr>
          <w:cantSplit/>
        </w:trPr>
        <w:tc>
          <w:tcPr>
            <w:tcW w:w="0" w:type="auto"/>
            <w:tcBorders>
              <w:top w:val="single" w:sz="4" w:space="0" w:color="auto"/>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Duration of fever resolution </w:t>
            </w:r>
          </w:p>
        </w:tc>
        <w:tc>
          <w:tcPr>
            <w:tcW w:w="600" w:type="pct"/>
            <w:tcBorders>
              <w:top w:val="single" w:sz="4" w:space="0" w:color="auto"/>
              <w:left w:val="nil"/>
              <w:right w:val="nil"/>
            </w:tcBorders>
            <w:shd w:val="clear" w:color="auto" w:fill="EBEBEB"/>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The mean duration of fever resolution was </w:t>
            </w:r>
            <w:r w:rsidRPr="004834F2">
              <w:rPr>
                <w:rFonts w:ascii="Arial Narrow" w:eastAsia="Times New Roman" w:hAnsi="Arial Narrow" w:cs="Times New Roman"/>
                <w:b/>
                <w:bCs/>
                <w:sz w:val="20"/>
                <w:szCs w:val="20"/>
              </w:rPr>
              <w:t>3.2</w:t>
            </w:r>
            <w:r w:rsidRPr="004834F2">
              <w:rPr>
                <w:rFonts w:ascii="Arial Narrow" w:eastAsia="Times New Roman" w:hAnsi="Arial Narrow" w:cs="Times New Roman"/>
                <w:sz w:val="20"/>
                <w:szCs w:val="20"/>
              </w:rPr>
              <w:t xml:space="preserve"> days </w:t>
            </w:r>
          </w:p>
        </w:tc>
        <w:tc>
          <w:tcPr>
            <w:tcW w:w="600" w:type="pct"/>
            <w:tcBorders>
              <w:top w:val="single" w:sz="4" w:space="0" w:color="auto"/>
              <w:left w:val="nil"/>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MD </w:t>
            </w:r>
            <w:r w:rsidRPr="004834F2">
              <w:rPr>
                <w:rFonts w:ascii="Arial Narrow" w:eastAsia="Times New Roman" w:hAnsi="Arial Narrow" w:cs="Times New Roman"/>
                <w:b/>
                <w:bCs/>
                <w:sz w:val="20"/>
                <w:szCs w:val="20"/>
              </w:rPr>
              <w:t>1 days lower</w:t>
            </w:r>
            <w:r w:rsidRPr="004834F2">
              <w:rPr>
                <w:rFonts w:ascii="Arial Narrow" w:eastAsia="Times New Roman" w:hAnsi="Arial Narrow" w:cs="Times New Roman"/>
                <w:sz w:val="20"/>
                <w:szCs w:val="20"/>
              </w:rPr>
              <w:br/>
              <w:t xml:space="preserve">(1.48 lower to 0.52 lower) </w:t>
            </w:r>
          </w:p>
        </w:tc>
        <w:tc>
          <w:tcPr>
            <w:tcW w:w="600" w:type="pct"/>
            <w:tcBorders>
              <w:top w:val="single" w:sz="4" w:space="0" w:color="auto"/>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 </w:t>
            </w:r>
          </w:p>
        </w:tc>
        <w:tc>
          <w:tcPr>
            <w:tcW w:w="600" w:type="pct"/>
            <w:tcBorders>
              <w:top w:val="single" w:sz="4" w:space="0" w:color="auto"/>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62</w:t>
            </w:r>
            <w:r w:rsidRPr="004834F2">
              <w:rPr>
                <w:rFonts w:ascii="Arial Narrow" w:eastAsia="Times New Roman" w:hAnsi="Arial Narrow" w:cs="Times New Roman"/>
                <w:sz w:val="20"/>
                <w:szCs w:val="20"/>
              </w:rPr>
              <w:br/>
              <w:t xml:space="preserve">(1 RCT) </w:t>
            </w:r>
          </w:p>
        </w:tc>
        <w:tc>
          <w:tcPr>
            <w:tcW w:w="1125" w:type="dxa"/>
            <w:tcBorders>
              <w:top w:val="single" w:sz="4" w:space="0" w:color="auto"/>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 xml:space="preserve">MODERATE </w:t>
            </w:r>
            <w:r w:rsidRPr="004834F2">
              <w:rPr>
                <w:rFonts w:ascii="Arial Narrow" w:eastAsia="Times New Roman" w:hAnsi="Arial Narrow" w:cs="Times New Roman"/>
                <w:sz w:val="20"/>
                <w:szCs w:val="20"/>
                <w:vertAlign w:val="superscript"/>
              </w:rPr>
              <w:t>a</w:t>
            </w:r>
          </w:p>
        </w:tc>
        <w:tc>
          <w:tcPr>
            <w:tcW w:w="1300" w:type="pct"/>
            <w:tcBorders>
              <w:top w:val="single" w:sz="4" w:space="0" w:color="auto"/>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For all the outcomes listed here, there are many on-going trials, but the suspicion of trials that are completed but not published is very small in view of the current situation.</w:t>
            </w:r>
          </w:p>
        </w:tc>
      </w:tr>
      <w:tr w:rsidR="004834F2" w:rsidRPr="004834F2" w:rsidTr="002E1BE6">
        <w:trPr>
          <w:cantSplit/>
        </w:trPr>
        <w:tc>
          <w:tcPr>
            <w:tcW w:w="0" w:type="auto"/>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Duration of cough resolution </w:t>
            </w:r>
          </w:p>
        </w:tc>
        <w:tc>
          <w:tcPr>
            <w:tcW w:w="600" w:type="pct"/>
            <w:tcBorders>
              <w:left w:val="nil"/>
              <w:right w:val="nil"/>
            </w:tcBorders>
            <w:shd w:val="clear" w:color="auto" w:fill="EBEBEB"/>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The mean duration of cough resolution was </w:t>
            </w:r>
            <w:r w:rsidRPr="004834F2">
              <w:rPr>
                <w:rFonts w:ascii="Arial Narrow" w:eastAsia="Times New Roman" w:hAnsi="Arial Narrow" w:cs="Times New Roman"/>
                <w:b/>
                <w:bCs/>
                <w:sz w:val="20"/>
                <w:szCs w:val="20"/>
              </w:rPr>
              <w:t>3.1</w:t>
            </w:r>
            <w:r w:rsidRPr="004834F2">
              <w:rPr>
                <w:rFonts w:ascii="Arial Narrow" w:eastAsia="Times New Roman" w:hAnsi="Arial Narrow" w:cs="Times New Roman"/>
                <w:sz w:val="20"/>
                <w:szCs w:val="20"/>
              </w:rPr>
              <w:t xml:space="preserve"> days </w:t>
            </w:r>
          </w:p>
        </w:tc>
        <w:tc>
          <w:tcPr>
            <w:tcW w:w="600" w:type="pct"/>
            <w:tcBorders>
              <w:left w:val="nil"/>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MD </w:t>
            </w:r>
            <w:r w:rsidRPr="004834F2">
              <w:rPr>
                <w:rFonts w:ascii="Arial Narrow" w:eastAsia="Times New Roman" w:hAnsi="Arial Narrow" w:cs="Times New Roman"/>
                <w:b/>
                <w:bCs/>
                <w:sz w:val="20"/>
                <w:szCs w:val="20"/>
              </w:rPr>
              <w:t>1.1 days lower</w:t>
            </w:r>
            <w:r w:rsidRPr="004834F2">
              <w:rPr>
                <w:rFonts w:ascii="Arial Narrow" w:eastAsia="Times New Roman" w:hAnsi="Arial Narrow" w:cs="Times New Roman"/>
                <w:sz w:val="20"/>
                <w:szCs w:val="20"/>
              </w:rPr>
              <w:br/>
              <w:t xml:space="preserve">(1.63 lower to 0.57 lower)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62</w:t>
            </w:r>
            <w:r w:rsidRPr="004834F2">
              <w:rPr>
                <w:rFonts w:ascii="Arial Narrow" w:eastAsia="Times New Roman" w:hAnsi="Arial Narrow" w:cs="Times New Roman"/>
                <w:sz w:val="20"/>
                <w:szCs w:val="20"/>
              </w:rPr>
              <w:br/>
              <w:t xml:space="preserve">(1 RCT) </w:t>
            </w:r>
          </w:p>
        </w:tc>
        <w:tc>
          <w:tcPr>
            <w:tcW w:w="1125" w:type="dxa"/>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 xml:space="preserve">MODERATE </w:t>
            </w:r>
            <w:r w:rsidRPr="004834F2">
              <w:rPr>
                <w:rFonts w:ascii="Arial Narrow" w:eastAsia="Times New Roman" w:hAnsi="Arial Narrow" w:cs="Times New Roman"/>
                <w:sz w:val="20"/>
                <w:szCs w:val="20"/>
                <w:vertAlign w:val="superscript"/>
              </w:rPr>
              <w:t>a</w:t>
            </w:r>
          </w:p>
        </w:tc>
        <w:tc>
          <w:tcPr>
            <w:tcW w:w="13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p>
        </w:tc>
      </w:tr>
      <w:tr w:rsidR="004834F2" w:rsidRPr="004834F2" w:rsidTr="002E1BE6">
        <w:trPr>
          <w:cantSplit/>
        </w:trPr>
        <w:tc>
          <w:tcPr>
            <w:tcW w:w="0" w:type="auto"/>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lastRenderedPageBreak/>
              <w:t xml:space="preserve">Number of patients who progressed to severe illness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129 per 1,000 </w:t>
            </w:r>
          </w:p>
        </w:tc>
        <w:tc>
          <w:tcPr>
            <w:tcW w:w="600" w:type="pct"/>
            <w:tcBorders>
              <w:left w:val="nil"/>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14 per 1,000</w:t>
            </w:r>
            <w:r w:rsidRPr="004834F2">
              <w:rPr>
                <w:rFonts w:ascii="Arial Narrow" w:eastAsia="Times New Roman" w:hAnsi="Arial Narrow" w:cs="Times New Roman"/>
                <w:sz w:val="20"/>
                <w:szCs w:val="20"/>
              </w:rPr>
              <w:br/>
              <w:t xml:space="preserve">(1 to 255)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RR 0.11</w:t>
            </w:r>
            <w:r w:rsidRPr="004834F2">
              <w:rPr>
                <w:rFonts w:ascii="Arial Narrow" w:eastAsia="Times New Roman" w:hAnsi="Arial Narrow" w:cs="Times New Roman"/>
                <w:sz w:val="20"/>
                <w:szCs w:val="20"/>
              </w:rPr>
              <w:br/>
              <w:t xml:space="preserve">(0.01 to 1.98)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62</w:t>
            </w:r>
            <w:r w:rsidRPr="004834F2">
              <w:rPr>
                <w:rFonts w:ascii="Arial Narrow" w:eastAsia="Times New Roman" w:hAnsi="Arial Narrow" w:cs="Times New Roman"/>
                <w:sz w:val="20"/>
                <w:szCs w:val="20"/>
              </w:rPr>
              <w:br/>
              <w:t xml:space="preserve">(1 RCT) </w:t>
            </w:r>
          </w:p>
        </w:tc>
        <w:tc>
          <w:tcPr>
            <w:tcW w:w="1125" w:type="dxa"/>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 xml:space="preserve">MODERATE </w:t>
            </w:r>
            <w:r w:rsidRPr="004834F2">
              <w:rPr>
                <w:rFonts w:ascii="Arial Narrow" w:eastAsia="Times New Roman" w:hAnsi="Arial Narrow" w:cs="Times New Roman"/>
                <w:sz w:val="20"/>
                <w:szCs w:val="20"/>
                <w:vertAlign w:val="superscript"/>
              </w:rPr>
              <w:t>b</w:t>
            </w:r>
          </w:p>
        </w:tc>
        <w:tc>
          <w:tcPr>
            <w:tcW w:w="13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p>
        </w:tc>
      </w:tr>
      <w:tr w:rsidR="004834F2" w:rsidRPr="004834F2" w:rsidTr="002E1BE6">
        <w:trPr>
          <w:cantSplit/>
        </w:trPr>
        <w:tc>
          <w:tcPr>
            <w:tcW w:w="0" w:type="auto"/>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Number of patients with adverse effects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0 per 1,000 </w:t>
            </w:r>
          </w:p>
        </w:tc>
        <w:tc>
          <w:tcPr>
            <w:tcW w:w="600" w:type="pct"/>
            <w:tcBorders>
              <w:left w:val="nil"/>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0 per 1,000</w:t>
            </w:r>
            <w:r w:rsidRPr="004834F2">
              <w:rPr>
                <w:rFonts w:ascii="Arial Narrow" w:eastAsia="Times New Roman" w:hAnsi="Arial Narrow" w:cs="Times New Roman"/>
                <w:sz w:val="20"/>
                <w:szCs w:val="20"/>
              </w:rPr>
              <w:br/>
              <w:t xml:space="preserve">(0 to 0)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R</w:t>
            </w:r>
            <w:bookmarkStart w:id="0" w:name="_GoBack"/>
            <w:bookmarkEnd w:id="0"/>
            <w:r w:rsidRPr="004834F2">
              <w:rPr>
                <w:rFonts w:ascii="Arial Narrow" w:eastAsia="Times New Roman" w:hAnsi="Arial Narrow" w:cs="Times New Roman"/>
                <w:b/>
                <w:bCs/>
                <w:sz w:val="20"/>
                <w:szCs w:val="20"/>
              </w:rPr>
              <w:t>R 5.00</w:t>
            </w:r>
            <w:r w:rsidRPr="004834F2">
              <w:rPr>
                <w:rFonts w:ascii="Arial Narrow" w:eastAsia="Times New Roman" w:hAnsi="Arial Narrow" w:cs="Times New Roman"/>
                <w:sz w:val="20"/>
                <w:szCs w:val="20"/>
              </w:rPr>
              <w:br/>
              <w:t xml:space="preserve">(0.25 to 100.08)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62</w:t>
            </w:r>
            <w:r w:rsidRPr="004834F2">
              <w:rPr>
                <w:rFonts w:ascii="Arial Narrow" w:eastAsia="Times New Roman" w:hAnsi="Arial Narrow" w:cs="Times New Roman"/>
                <w:sz w:val="20"/>
                <w:szCs w:val="20"/>
              </w:rPr>
              <w:br/>
              <w:t xml:space="preserve">(1 RCT) </w:t>
            </w:r>
          </w:p>
        </w:tc>
        <w:tc>
          <w:tcPr>
            <w:tcW w:w="1125" w:type="dxa"/>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LOW</w:t>
            </w:r>
            <w:r w:rsidRPr="004834F2">
              <w:rPr>
                <w:rFonts w:ascii="Arial Narrow" w:eastAsia="Times New Roman" w:hAnsi="Arial Narrow" w:cs="Times New Roman"/>
                <w:sz w:val="20"/>
                <w:szCs w:val="20"/>
                <w:vertAlign w:val="superscript"/>
              </w:rPr>
              <w:t xml:space="preserve"> c</w:t>
            </w:r>
          </w:p>
        </w:tc>
        <w:tc>
          <w:tcPr>
            <w:tcW w:w="13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p>
        </w:tc>
      </w:tr>
      <w:tr w:rsidR="004834F2" w:rsidRPr="004834F2" w:rsidTr="002E1BE6">
        <w:trPr>
          <w:cantSplit/>
        </w:trPr>
        <w:tc>
          <w:tcPr>
            <w:tcW w:w="0" w:type="auto"/>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Number of patients with improved chest CT appearance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548 per 1,000 </w:t>
            </w:r>
          </w:p>
        </w:tc>
        <w:tc>
          <w:tcPr>
            <w:tcW w:w="600" w:type="pct"/>
            <w:tcBorders>
              <w:left w:val="nil"/>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806 per 1,000</w:t>
            </w:r>
            <w:r w:rsidRPr="004834F2">
              <w:rPr>
                <w:rFonts w:ascii="Arial Narrow" w:eastAsia="Times New Roman" w:hAnsi="Arial Narrow" w:cs="Times New Roman"/>
                <w:sz w:val="20"/>
                <w:szCs w:val="20"/>
              </w:rPr>
              <w:br/>
              <w:t xml:space="preserve">(559 to 1,000)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RR 1.47</w:t>
            </w:r>
            <w:r w:rsidRPr="004834F2">
              <w:rPr>
                <w:rFonts w:ascii="Arial Narrow" w:eastAsia="Times New Roman" w:hAnsi="Arial Narrow" w:cs="Times New Roman"/>
                <w:sz w:val="20"/>
                <w:szCs w:val="20"/>
              </w:rPr>
              <w:br/>
              <w:t xml:space="preserve">(1.02 to 2.11) </w:t>
            </w:r>
          </w:p>
        </w:tc>
        <w:tc>
          <w:tcPr>
            <w:tcW w:w="6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62</w:t>
            </w:r>
            <w:r w:rsidRPr="004834F2">
              <w:rPr>
                <w:rFonts w:ascii="Arial Narrow" w:eastAsia="Times New Roman" w:hAnsi="Arial Narrow" w:cs="Times New Roman"/>
                <w:sz w:val="20"/>
                <w:szCs w:val="20"/>
              </w:rPr>
              <w:br/>
              <w:t xml:space="preserve">(1 RCT) </w:t>
            </w:r>
          </w:p>
        </w:tc>
        <w:tc>
          <w:tcPr>
            <w:tcW w:w="1125" w:type="dxa"/>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MODERATE</w:t>
            </w:r>
            <w:r w:rsidRPr="004834F2">
              <w:rPr>
                <w:rFonts w:ascii="Arial Narrow" w:eastAsia="Times New Roman" w:hAnsi="Arial Narrow" w:cs="Times New Roman"/>
                <w:sz w:val="20"/>
                <w:szCs w:val="20"/>
                <w:vertAlign w:val="superscript"/>
              </w:rPr>
              <w:t xml:space="preserve"> d</w:t>
            </w:r>
          </w:p>
        </w:tc>
        <w:tc>
          <w:tcPr>
            <w:tcW w:w="1300" w:type="pct"/>
            <w:tcBorders>
              <w:left w:val="nil"/>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p>
        </w:tc>
      </w:tr>
      <w:tr w:rsidR="004834F2" w:rsidRPr="004834F2" w:rsidTr="002E1BE6">
        <w:trPr>
          <w:cantSplit/>
        </w:trPr>
        <w:tc>
          <w:tcPr>
            <w:tcW w:w="0" w:type="auto"/>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lastRenderedPageBreak/>
              <w:t xml:space="preserve">Number of patients with negative viral load on day 6 </w:t>
            </w:r>
          </w:p>
        </w:tc>
        <w:tc>
          <w:tcPr>
            <w:tcW w:w="600" w:type="pct"/>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 xml:space="preserve">125 per 1,000 </w:t>
            </w:r>
          </w:p>
        </w:tc>
        <w:tc>
          <w:tcPr>
            <w:tcW w:w="600" w:type="pct"/>
            <w:tcBorders>
              <w:left w:val="nil"/>
              <w:bottom w:val="single" w:sz="6" w:space="0" w:color="000000"/>
              <w:right w:val="nil"/>
            </w:tcBorders>
            <w:shd w:val="clear" w:color="auto" w:fill="EBEBEB"/>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700 per 1,000</w:t>
            </w:r>
            <w:r w:rsidRPr="004834F2">
              <w:rPr>
                <w:rFonts w:ascii="Arial Narrow" w:eastAsia="Times New Roman" w:hAnsi="Arial Narrow" w:cs="Times New Roman"/>
                <w:sz w:val="20"/>
                <w:szCs w:val="20"/>
              </w:rPr>
              <w:br/>
              <w:t xml:space="preserve">(185 to 1,000) </w:t>
            </w:r>
          </w:p>
        </w:tc>
        <w:tc>
          <w:tcPr>
            <w:tcW w:w="600" w:type="pct"/>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t>RR 5.60</w:t>
            </w:r>
            <w:r w:rsidRPr="004834F2">
              <w:rPr>
                <w:rFonts w:ascii="Arial Narrow" w:eastAsia="Times New Roman" w:hAnsi="Arial Narrow" w:cs="Times New Roman"/>
                <w:sz w:val="20"/>
                <w:szCs w:val="20"/>
              </w:rPr>
              <w:br/>
              <w:t xml:space="preserve">(1.48 to 21.13) </w:t>
            </w:r>
          </w:p>
        </w:tc>
        <w:tc>
          <w:tcPr>
            <w:tcW w:w="600" w:type="pct"/>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36</w:t>
            </w:r>
            <w:r w:rsidRPr="004834F2">
              <w:rPr>
                <w:rFonts w:ascii="Arial Narrow" w:eastAsia="Times New Roman" w:hAnsi="Arial Narrow" w:cs="Times New Roman"/>
                <w:sz w:val="20"/>
                <w:szCs w:val="20"/>
              </w:rPr>
              <w:br/>
              <w:t xml:space="preserve">(1 observational study) </w:t>
            </w:r>
          </w:p>
        </w:tc>
        <w:tc>
          <w:tcPr>
            <w:tcW w:w="1125" w:type="dxa"/>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Cambria Math" w:eastAsia="Times New Roman" w:hAnsi="Cambria Math" w:cs="Cambria Math"/>
                <w:sz w:val="20"/>
                <w:szCs w:val="20"/>
              </w:rPr>
              <w:t>⨁◯◯◯</w:t>
            </w:r>
            <w:r w:rsidRPr="004834F2">
              <w:rPr>
                <w:rFonts w:ascii="Arial Narrow" w:eastAsia="Times New Roman" w:hAnsi="Arial Narrow" w:cs="Times New Roman"/>
                <w:sz w:val="20"/>
                <w:szCs w:val="20"/>
              </w:rPr>
              <w:br/>
              <w:t xml:space="preserve">VERY LOW </w:t>
            </w:r>
            <w:proofErr w:type="spellStart"/>
            <w:r w:rsidRPr="004834F2">
              <w:rPr>
                <w:rFonts w:ascii="Arial Narrow" w:eastAsia="Times New Roman" w:hAnsi="Arial Narrow" w:cs="Times New Roman"/>
                <w:sz w:val="20"/>
                <w:szCs w:val="20"/>
                <w:vertAlign w:val="superscript"/>
              </w:rPr>
              <w:t>e,f,g</w:t>
            </w:r>
            <w:proofErr w:type="spellEnd"/>
          </w:p>
        </w:tc>
        <w:tc>
          <w:tcPr>
            <w:tcW w:w="1300" w:type="pct"/>
            <w:tcBorders>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p>
        </w:tc>
      </w:tr>
      <w:tr w:rsidR="004834F2" w:rsidRPr="004834F2" w:rsidTr="009E4134">
        <w:trPr>
          <w:cantSplit/>
        </w:trPr>
        <w:tc>
          <w:tcPr>
            <w:tcW w:w="0" w:type="auto"/>
            <w:gridSpan w:val="7"/>
            <w:tcBorders>
              <w:top w:val="single" w:sz="6" w:space="0" w:color="000000"/>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sz w:val="20"/>
                <w:szCs w:val="20"/>
              </w:rPr>
              <w:t>*</w:t>
            </w:r>
            <w:r w:rsidRPr="004834F2">
              <w:rPr>
                <w:rFonts w:ascii="Arial Narrow" w:eastAsia="Times New Roman" w:hAnsi="Arial Narrow" w:cs="Times New Roman"/>
                <w:b/>
                <w:bCs/>
                <w:sz w:val="20"/>
                <w:szCs w:val="20"/>
              </w:rPr>
              <w:t>The risk in the intervention group</w:t>
            </w:r>
            <w:r w:rsidRPr="004834F2">
              <w:rPr>
                <w:rFonts w:ascii="Arial Narrow" w:eastAsia="Times New Roman" w:hAnsi="Arial Narrow" w:cs="Times New Roman"/>
                <w:sz w:val="20"/>
                <w:szCs w:val="20"/>
              </w:rPr>
              <w:t xml:space="preserve"> (and its 95% confidence interval) is based on the assumed risk in the comparison group and the </w:t>
            </w:r>
            <w:r w:rsidRPr="004834F2">
              <w:rPr>
                <w:rFonts w:ascii="Arial Narrow" w:eastAsia="Times New Roman" w:hAnsi="Arial Narrow" w:cs="Times New Roman"/>
                <w:b/>
                <w:bCs/>
                <w:sz w:val="20"/>
                <w:szCs w:val="20"/>
              </w:rPr>
              <w:t>relative effect</w:t>
            </w:r>
            <w:r w:rsidRPr="004834F2">
              <w:rPr>
                <w:rFonts w:ascii="Arial Narrow" w:eastAsia="Times New Roman" w:hAnsi="Arial Narrow" w:cs="Times New Roman"/>
                <w:sz w:val="20"/>
                <w:szCs w:val="20"/>
              </w:rPr>
              <w:t xml:space="preserve"> of the intervention (and its 95% CI). </w:t>
            </w:r>
            <w:r w:rsidRPr="004834F2">
              <w:rPr>
                <w:rFonts w:ascii="Arial Narrow" w:eastAsia="Times New Roman" w:hAnsi="Arial Narrow" w:cs="Times New Roman"/>
                <w:sz w:val="20"/>
                <w:szCs w:val="20"/>
              </w:rPr>
              <w:br/>
            </w:r>
            <w:r w:rsidRPr="004834F2">
              <w:rPr>
                <w:rFonts w:ascii="Arial Narrow" w:eastAsia="Times New Roman" w:hAnsi="Arial Narrow" w:cs="Times New Roman"/>
                <w:sz w:val="20"/>
                <w:szCs w:val="20"/>
              </w:rPr>
              <w:br/>
            </w:r>
            <w:r w:rsidRPr="004834F2">
              <w:rPr>
                <w:rFonts w:ascii="Arial Narrow" w:eastAsia="Times New Roman" w:hAnsi="Arial Narrow" w:cs="Times New Roman"/>
                <w:b/>
                <w:bCs/>
                <w:sz w:val="20"/>
                <w:szCs w:val="20"/>
              </w:rPr>
              <w:t>CI:</w:t>
            </w:r>
            <w:r w:rsidRPr="004834F2">
              <w:rPr>
                <w:rFonts w:ascii="Arial Narrow" w:eastAsia="Times New Roman" w:hAnsi="Arial Narrow" w:cs="Times New Roman"/>
                <w:sz w:val="20"/>
                <w:szCs w:val="20"/>
              </w:rPr>
              <w:t xml:space="preserve"> Confidence interval; </w:t>
            </w:r>
            <w:r w:rsidRPr="004834F2">
              <w:rPr>
                <w:rFonts w:ascii="Arial Narrow" w:eastAsia="Times New Roman" w:hAnsi="Arial Narrow" w:cs="Times New Roman"/>
                <w:b/>
                <w:bCs/>
                <w:sz w:val="20"/>
                <w:szCs w:val="20"/>
              </w:rPr>
              <w:t>MD:</w:t>
            </w:r>
            <w:r w:rsidRPr="004834F2">
              <w:rPr>
                <w:rFonts w:ascii="Arial Narrow" w:eastAsia="Times New Roman" w:hAnsi="Arial Narrow" w:cs="Times New Roman"/>
                <w:sz w:val="20"/>
                <w:szCs w:val="20"/>
              </w:rPr>
              <w:t xml:space="preserve"> Mean difference; </w:t>
            </w:r>
            <w:r w:rsidRPr="004834F2">
              <w:rPr>
                <w:rFonts w:ascii="Arial Narrow" w:eastAsia="Times New Roman" w:hAnsi="Arial Narrow" w:cs="Times New Roman"/>
                <w:b/>
                <w:bCs/>
                <w:sz w:val="20"/>
                <w:szCs w:val="20"/>
              </w:rPr>
              <w:t>RR:</w:t>
            </w:r>
            <w:r w:rsidRPr="004834F2">
              <w:rPr>
                <w:rFonts w:ascii="Arial Narrow" w:eastAsia="Times New Roman" w:hAnsi="Arial Narrow" w:cs="Times New Roman"/>
                <w:sz w:val="20"/>
                <w:szCs w:val="20"/>
              </w:rPr>
              <w:t xml:space="preserve"> Risk ratio </w:t>
            </w:r>
          </w:p>
        </w:tc>
      </w:tr>
      <w:tr w:rsidR="004834F2" w:rsidRPr="004834F2" w:rsidTr="009E4134">
        <w:trPr>
          <w:cantSplit/>
        </w:trPr>
        <w:tc>
          <w:tcPr>
            <w:tcW w:w="0" w:type="auto"/>
            <w:gridSpan w:val="7"/>
            <w:tcBorders>
              <w:top w:val="single" w:sz="6" w:space="0" w:color="000000"/>
              <w:left w:val="nil"/>
              <w:bottom w:val="single" w:sz="6" w:space="0" w:color="000000"/>
              <w:right w:val="nil"/>
            </w:tcBorders>
            <w:vAlign w:val="center"/>
            <w:hideMark/>
          </w:tcPr>
          <w:p w:rsidR="004834F2" w:rsidRPr="004834F2" w:rsidRDefault="004834F2" w:rsidP="004834F2">
            <w:pPr>
              <w:spacing w:line="480" w:lineRule="auto"/>
              <w:rPr>
                <w:rFonts w:ascii="Arial Narrow" w:eastAsia="Times New Roman" w:hAnsi="Arial Narrow" w:cs="Times New Roman"/>
                <w:sz w:val="20"/>
                <w:szCs w:val="20"/>
              </w:rPr>
            </w:pPr>
            <w:r w:rsidRPr="004834F2">
              <w:rPr>
                <w:rFonts w:ascii="Arial Narrow" w:eastAsia="Times New Roman" w:hAnsi="Arial Narrow" w:cs="Times New Roman"/>
                <w:b/>
                <w:bCs/>
                <w:sz w:val="20"/>
                <w:szCs w:val="20"/>
              </w:rPr>
              <w:lastRenderedPageBreak/>
              <w:t>GRADE Working Group grades of evidence</w:t>
            </w:r>
            <w:r w:rsidRPr="004834F2">
              <w:rPr>
                <w:rFonts w:ascii="Arial Narrow" w:eastAsia="Times New Roman" w:hAnsi="Arial Narrow" w:cs="Times New Roman"/>
                <w:sz w:val="20"/>
                <w:szCs w:val="20"/>
              </w:rPr>
              <w:br/>
            </w:r>
            <w:r w:rsidRPr="004834F2">
              <w:rPr>
                <w:rFonts w:ascii="Arial Narrow" w:eastAsia="Times New Roman" w:hAnsi="Arial Narrow" w:cs="Times New Roman"/>
                <w:b/>
                <w:bCs/>
                <w:sz w:val="20"/>
                <w:szCs w:val="20"/>
              </w:rPr>
              <w:t>High certainty:</w:t>
            </w:r>
            <w:r w:rsidRPr="004834F2">
              <w:rPr>
                <w:rFonts w:ascii="Arial Narrow" w:eastAsia="Times New Roman" w:hAnsi="Arial Narrow" w:cs="Times New Roman"/>
                <w:sz w:val="20"/>
                <w:szCs w:val="20"/>
              </w:rPr>
              <w:t xml:space="preserve"> We are very confident that the true effect lies close to that of the estimate of the effect</w:t>
            </w:r>
            <w:r w:rsidRPr="004834F2">
              <w:rPr>
                <w:rFonts w:ascii="Arial Narrow" w:eastAsia="Times New Roman" w:hAnsi="Arial Narrow" w:cs="Times New Roman"/>
                <w:sz w:val="20"/>
                <w:szCs w:val="20"/>
              </w:rPr>
              <w:br/>
            </w:r>
            <w:r w:rsidRPr="004834F2">
              <w:rPr>
                <w:rFonts w:ascii="Arial Narrow" w:eastAsia="Times New Roman" w:hAnsi="Arial Narrow" w:cs="Times New Roman"/>
                <w:b/>
                <w:bCs/>
                <w:sz w:val="20"/>
                <w:szCs w:val="20"/>
              </w:rPr>
              <w:t>Moderate certainty:</w:t>
            </w:r>
            <w:r w:rsidRPr="004834F2">
              <w:rPr>
                <w:rFonts w:ascii="Arial Narrow" w:eastAsia="Times New Roman" w:hAnsi="Arial Narrow" w:cs="Times New Roman"/>
                <w:sz w:val="20"/>
                <w:szCs w:val="20"/>
              </w:rPr>
              <w:t xml:space="preserve"> We are moderately confident in the effect estimate: The true effect is likely to be close to the estimate of the effect, but there is a possibility that it is substantially different</w:t>
            </w:r>
            <w:r w:rsidRPr="004834F2">
              <w:rPr>
                <w:rFonts w:ascii="Arial Narrow" w:eastAsia="Times New Roman" w:hAnsi="Arial Narrow" w:cs="Times New Roman"/>
                <w:sz w:val="20"/>
                <w:szCs w:val="20"/>
              </w:rPr>
              <w:br/>
            </w:r>
            <w:r w:rsidRPr="004834F2">
              <w:rPr>
                <w:rFonts w:ascii="Arial Narrow" w:eastAsia="Times New Roman" w:hAnsi="Arial Narrow" w:cs="Times New Roman"/>
                <w:b/>
                <w:bCs/>
                <w:sz w:val="20"/>
                <w:szCs w:val="20"/>
              </w:rPr>
              <w:t>Low certainty:</w:t>
            </w:r>
            <w:r w:rsidRPr="004834F2">
              <w:rPr>
                <w:rFonts w:ascii="Arial Narrow" w:eastAsia="Times New Roman" w:hAnsi="Arial Narrow" w:cs="Times New Roman"/>
                <w:sz w:val="20"/>
                <w:szCs w:val="20"/>
              </w:rPr>
              <w:t xml:space="preserve"> Our confidence in the effect estimate is limited: The true effect may be substantially different from the estimate of the effect</w:t>
            </w:r>
            <w:r w:rsidRPr="004834F2">
              <w:rPr>
                <w:rFonts w:ascii="Arial Narrow" w:eastAsia="Times New Roman" w:hAnsi="Arial Narrow" w:cs="Times New Roman"/>
                <w:sz w:val="20"/>
                <w:szCs w:val="20"/>
              </w:rPr>
              <w:br/>
            </w:r>
            <w:r w:rsidRPr="004834F2">
              <w:rPr>
                <w:rFonts w:ascii="Arial Narrow" w:eastAsia="Times New Roman" w:hAnsi="Arial Narrow" w:cs="Times New Roman"/>
                <w:b/>
                <w:bCs/>
                <w:sz w:val="20"/>
                <w:szCs w:val="20"/>
              </w:rPr>
              <w:t>Very low certainty:</w:t>
            </w:r>
            <w:r w:rsidRPr="004834F2">
              <w:rPr>
                <w:rFonts w:ascii="Arial Narrow" w:eastAsia="Times New Roman" w:hAnsi="Arial Narrow" w:cs="Times New Roman"/>
                <w:sz w:val="20"/>
                <w:szCs w:val="20"/>
              </w:rPr>
              <w:t xml:space="preserve"> We have very little confidence in the effect estimate: The true effect is likely to be substantially different from the estimate of effect </w:t>
            </w:r>
          </w:p>
        </w:tc>
      </w:tr>
    </w:tbl>
    <w:p w:rsidR="00EB6EAD" w:rsidRDefault="00EB6EAD" w:rsidP="00EB6EAD">
      <w:pPr>
        <w:spacing w:line="480" w:lineRule="auto"/>
        <w:jc w:val="left"/>
        <w:rPr>
          <w:rFonts w:ascii="Times New Roman" w:hAnsi="Times New Roman" w:cs="Times New Roman"/>
          <w:sz w:val="24"/>
          <w:szCs w:val="24"/>
        </w:rPr>
      </w:pPr>
    </w:p>
    <w:p w:rsidR="004834F2" w:rsidRDefault="004834F2" w:rsidP="00EB6EAD">
      <w:pPr>
        <w:spacing w:line="480" w:lineRule="auto"/>
        <w:jc w:val="left"/>
        <w:rPr>
          <w:rFonts w:ascii="Times New Roman" w:hAnsi="Times New Roman" w:cs="Times New Roman"/>
          <w:sz w:val="24"/>
          <w:szCs w:val="24"/>
        </w:rPr>
      </w:pPr>
    </w:p>
    <w:p w:rsidR="004834F2" w:rsidRDefault="004834F2" w:rsidP="004834F2">
      <w:pPr>
        <w:spacing w:before="100" w:beforeAutospacing="1" w:after="100" w:afterAutospacing="1" w:line="480" w:lineRule="auto"/>
        <w:jc w:val="both"/>
        <w:outlineLvl w:val="3"/>
        <w:rPr>
          <w:rFonts w:ascii="Times New Roman" w:eastAsia="Times New Roman" w:hAnsi="Times New Roman" w:cs="Times New Roman"/>
          <w:b/>
          <w:bCs/>
          <w:color w:val="000000"/>
          <w:sz w:val="24"/>
          <w:szCs w:val="24"/>
          <w:lang w:val="en"/>
        </w:rPr>
      </w:pPr>
    </w:p>
    <w:p w:rsidR="004834F2" w:rsidRDefault="004834F2" w:rsidP="004834F2">
      <w:pPr>
        <w:spacing w:before="100" w:beforeAutospacing="1" w:after="100" w:afterAutospacing="1" w:line="480" w:lineRule="auto"/>
        <w:jc w:val="both"/>
        <w:outlineLvl w:val="3"/>
        <w:rPr>
          <w:rFonts w:ascii="Times New Roman" w:eastAsia="Times New Roman" w:hAnsi="Times New Roman" w:cs="Times New Roman"/>
          <w:b/>
          <w:bCs/>
          <w:color w:val="000000"/>
          <w:sz w:val="24"/>
          <w:szCs w:val="24"/>
          <w:lang w:val="en"/>
        </w:rPr>
      </w:pPr>
    </w:p>
    <w:p w:rsidR="004834F2" w:rsidRDefault="004834F2" w:rsidP="004834F2">
      <w:pPr>
        <w:spacing w:before="100" w:beforeAutospacing="1" w:after="100" w:afterAutospacing="1" w:line="480" w:lineRule="auto"/>
        <w:jc w:val="both"/>
        <w:outlineLvl w:val="3"/>
        <w:rPr>
          <w:rFonts w:ascii="Times New Roman" w:eastAsia="Times New Roman" w:hAnsi="Times New Roman" w:cs="Times New Roman"/>
          <w:b/>
          <w:bCs/>
          <w:color w:val="000000"/>
          <w:sz w:val="24"/>
          <w:szCs w:val="24"/>
          <w:lang w:val="en"/>
        </w:rPr>
      </w:pPr>
    </w:p>
    <w:p w:rsidR="004834F2" w:rsidRDefault="004834F2" w:rsidP="004834F2">
      <w:pPr>
        <w:spacing w:before="100" w:beforeAutospacing="1" w:after="100" w:afterAutospacing="1" w:line="480" w:lineRule="auto"/>
        <w:jc w:val="both"/>
        <w:outlineLvl w:val="3"/>
        <w:rPr>
          <w:rFonts w:ascii="Times New Roman" w:eastAsia="Times New Roman" w:hAnsi="Times New Roman" w:cs="Times New Roman"/>
          <w:b/>
          <w:bCs/>
          <w:color w:val="000000"/>
          <w:sz w:val="24"/>
          <w:szCs w:val="24"/>
          <w:lang w:val="en"/>
        </w:rPr>
      </w:pPr>
    </w:p>
    <w:p w:rsidR="004834F2" w:rsidRPr="004834F2" w:rsidRDefault="004834F2" w:rsidP="004834F2">
      <w:pPr>
        <w:spacing w:before="100" w:beforeAutospacing="1" w:after="100" w:afterAutospacing="1" w:line="480" w:lineRule="auto"/>
        <w:jc w:val="both"/>
        <w:outlineLvl w:val="3"/>
        <w:rPr>
          <w:rFonts w:ascii="Times New Roman" w:eastAsia="Times New Roman" w:hAnsi="Times New Roman" w:cs="Times New Roman"/>
          <w:b/>
          <w:bCs/>
          <w:color w:val="000000"/>
          <w:sz w:val="24"/>
          <w:szCs w:val="24"/>
          <w:lang w:val="en"/>
        </w:rPr>
      </w:pPr>
      <w:r w:rsidRPr="004834F2">
        <w:rPr>
          <w:rFonts w:ascii="Times New Roman" w:eastAsia="Times New Roman" w:hAnsi="Times New Roman" w:cs="Times New Roman"/>
          <w:b/>
          <w:bCs/>
          <w:color w:val="000000"/>
          <w:sz w:val="24"/>
          <w:szCs w:val="24"/>
          <w:lang w:val="en"/>
        </w:rPr>
        <w:lastRenderedPageBreak/>
        <w:t>Explanations</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 xml:space="preserve">Single study with small sample, and the confidence interval for this outcome ranges from half a day to one and a half day shorter, which would represent different categories of importance for patients, health care providers and health care resource decision makers in view of the global magnitude of the problem. </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 xml:space="preserve">Single study with small sample, and the confidence interval for this outcome ranges from a large decrease to a moderately large increase in risk. </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 xml:space="preserve">Single study with small sample, and the confidence interval for this outcome ranges from a large decrease to a very large increase in risk. </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 xml:space="preserve">Single study with small sample, and the confidence interval for this outcome ranges from a slightly higher possibility of improvement to a substantially higher possibility of improvement. </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This is a non-</w:t>
      </w:r>
      <w:r w:rsidRPr="004834F2">
        <w:rPr>
          <w:rFonts w:ascii="Times New Roman" w:eastAsia="Times New Roman" w:hAnsi="Times New Roman" w:cs="Times New Roman"/>
          <w:color w:val="000000"/>
          <w:sz w:val="24"/>
          <w:szCs w:val="24"/>
          <w:lang w:val="en"/>
        </w:rPr>
        <w:t>randomized</w:t>
      </w:r>
      <w:r w:rsidRPr="004834F2">
        <w:rPr>
          <w:rFonts w:ascii="Times New Roman" w:eastAsia="Times New Roman" w:hAnsi="Times New Roman" w:cs="Times New Roman"/>
          <w:color w:val="000000"/>
          <w:sz w:val="24"/>
          <w:szCs w:val="24"/>
          <w:lang w:val="en"/>
        </w:rPr>
        <w:t xml:space="preserve"> comparative trial. Within the limitation of the trial design, there are issues identified that have raised further concern on the risk of bias, as detailed in the risk of bias assessment. </w:t>
      </w:r>
    </w:p>
    <w:p w:rsidR="004834F2" w:rsidRPr="004834F2" w:rsidRDefault="004834F2" w:rsidP="004834F2">
      <w:pPr>
        <w:pStyle w:val="ListParagraph"/>
        <w:numPr>
          <w:ilvl w:val="0"/>
          <w:numId w:val="1"/>
        </w:numPr>
        <w:spacing w:line="480" w:lineRule="auto"/>
        <w:jc w:val="both"/>
        <w:rPr>
          <w:rFonts w:ascii="Times New Roman" w:eastAsia="Times New Roman" w:hAnsi="Times New Roman" w:cs="Times New Roman"/>
          <w:color w:val="000000"/>
          <w:sz w:val="24"/>
          <w:szCs w:val="24"/>
          <w:lang w:val="en"/>
        </w:rPr>
      </w:pPr>
      <w:r w:rsidRPr="004834F2">
        <w:rPr>
          <w:rFonts w:ascii="Times New Roman" w:eastAsia="Times New Roman" w:hAnsi="Times New Roman" w:cs="Times New Roman"/>
          <w:color w:val="000000"/>
          <w:sz w:val="24"/>
          <w:szCs w:val="24"/>
          <w:lang w:val="en"/>
        </w:rPr>
        <w:t xml:space="preserve">Viral status does not explain all the clinical status of the patient, in many at least part of the factors that contributed to the clinical picture is the body's reaction to the virus in the way of inflammation and immune reaction. </w:t>
      </w:r>
    </w:p>
    <w:p w:rsidR="004834F2" w:rsidRPr="004834F2" w:rsidRDefault="004834F2" w:rsidP="004834F2">
      <w:pPr>
        <w:pStyle w:val="ListParagraph"/>
        <w:numPr>
          <w:ilvl w:val="0"/>
          <w:numId w:val="1"/>
        </w:numPr>
        <w:spacing w:line="480" w:lineRule="auto"/>
        <w:jc w:val="both"/>
        <w:rPr>
          <w:rFonts w:ascii="Times New Roman" w:hAnsi="Times New Roman" w:cs="Times New Roman"/>
          <w:sz w:val="24"/>
          <w:szCs w:val="24"/>
        </w:rPr>
      </w:pPr>
      <w:r w:rsidRPr="004834F2">
        <w:rPr>
          <w:rFonts w:ascii="Times New Roman" w:eastAsia="Times New Roman" w:hAnsi="Times New Roman" w:cs="Times New Roman"/>
          <w:color w:val="000000"/>
          <w:sz w:val="24"/>
          <w:szCs w:val="24"/>
          <w:lang w:val="en"/>
        </w:rPr>
        <w:t>Single study with small sample, and the confidence interval ranged from a modestly higher chance to a markedly higher chance of viral clearance.</w:t>
      </w:r>
    </w:p>
    <w:sectPr w:rsidR="004834F2" w:rsidRPr="004834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184BB7"/>
    <w:multiLevelType w:val="hybridMultilevel"/>
    <w:tmpl w:val="BC14042C"/>
    <w:lvl w:ilvl="0" w:tplc="44090019">
      <w:start w:val="1"/>
      <w:numFmt w:val="lowerLetter"/>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EAD"/>
    <w:rsid w:val="002E1BE6"/>
    <w:rsid w:val="004834F2"/>
    <w:rsid w:val="00D46880"/>
    <w:rsid w:val="00EB6EA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70706A-6FC5-4C22-8907-A69CE6E1B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MY"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 Soleha Mohd Dali</dc:creator>
  <cp:keywords/>
  <dc:description/>
  <cp:lastModifiedBy>Nor Soleha Mohd Dali</cp:lastModifiedBy>
  <cp:revision>3</cp:revision>
  <dcterms:created xsi:type="dcterms:W3CDTF">2020-04-13T07:27:00Z</dcterms:created>
  <dcterms:modified xsi:type="dcterms:W3CDTF">2020-04-13T07:38:00Z</dcterms:modified>
</cp:coreProperties>
</file>