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880" w:rsidRDefault="00272429" w:rsidP="0027242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</w:t>
      </w:r>
    </w:p>
    <w:p w:rsidR="00272429" w:rsidRPr="00272429" w:rsidRDefault="00272429" w:rsidP="00272429">
      <w:pPr>
        <w:jc w:val="both"/>
        <w:rPr>
          <w:rFonts w:ascii="Times New Roman" w:hAnsi="Times New Roman" w:cs="Times New Roman"/>
          <w:sz w:val="24"/>
          <w:szCs w:val="24"/>
        </w:rPr>
      </w:pPr>
      <w:r w:rsidRPr="00272429">
        <w:rPr>
          <w:rFonts w:ascii="Times New Roman" w:hAnsi="Times New Roman" w:cs="Times New Roman"/>
          <w:sz w:val="24"/>
          <w:szCs w:val="24"/>
        </w:rPr>
        <w:t>Risk of bias assessment: ROBINS-I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Gautret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et al., 2020)</w:t>
      </w:r>
    </w:p>
    <w:p w:rsidR="00272429" w:rsidRPr="00272429" w:rsidRDefault="00272429" w:rsidP="0027242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3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598"/>
        <w:gridCol w:w="5619"/>
        <w:gridCol w:w="3260"/>
      </w:tblGrid>
      <w:tr w:rsidR="00272429" w:rsidRPr="00272429" w:rsidTr="0013391A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>Bias domain</w:t>
            </w:r>
          </w:p>
        </w:tc>
        <w:tc>
          <w:tcPr>
            <w:tcW w:w="2598" w:type="dxa"/>
            <w:tcBorders>
              <w:top w:val="single" w:sz="4" w:space="0" w:color="auto"/>
              <w:bottom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>Item number</w:t>
            </w:r>
          </w:p>
        </w:tc>
        <w:tc>
          <w:tcPr>
            <w:tcW w:w="5619" w:type="dxa"/>
            <w:tcBorders>
              <w:top w:val="single" w:sz="4" w:space="0" w:color="auto"/>
              <w:bottom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>Remarks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</w:tr>
      <w:tr w:rsidR="00272429" w:rsidRPr="00272429" w:rsidTr="0013391A">
        <w:tc>
          <w:tcPr>
            <w:tcW w:w="2835" w:type="dxa"/>
            <w:tcBorders>
              <w:top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Bias due to confounding </w:t>
            </w:r>
          </w:p>
        </w:tc>
        <w:tc>
          <w:tcPr>
            <w:tcW w:w="2598" w:type="dxa"/>
            <w:tcBorders>
              <w:top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619" w:type="dxa"/>
            <w:tcBorders>
              <w:top w:val="single" w:sz="4" w:space="0" w:color="auto"/>
            </w:tcBorders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7166848"/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UNPREDICTABLE</w:t>
            </w:r>
          </w:p>
        </w:tc>
      </w:tr>
      <w:bookmarkEnd w:id="0"/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Bias in selection of participants into the study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7166953"/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Bias in classification of</w:t>
            </w:r>
          </w:p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interventions 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The 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easons for those who received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to be enrolled into the study unclear (particularly if there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any patient who received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but not enrolled and the basis of exclusion. This became a concern in view of the trial stopped shortly before the target no of participants of 42 was reached (36 participants).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All patients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the same center received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. However, it was unclear if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all patients positive for COVID-19 received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,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some patients were not given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for certain reasons (other than refusal) and therefore not 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rolled. Patients who refused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were placed in control group. 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37167075"/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FAVOURS INTERVENTION</w:t>
            </w:r>
          </w:p>
        </w:tc>
      </w:tr>
      <w:bookmarkEnd w:id="2"/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Bias due to deviations from intended interventions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NO INFORMATION on those who deviated from protocol other 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than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those who refused HCQ.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Some received azithromycin due to concern with secondary infections, basis unclear. Monitoring between those who received HCQ only, HCQ + azithromycin, and 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those in the control group who received “usual care” were likely different as control cases mostly came from a different institution.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37167196"/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FAVOURS INTERVENTION.</w:t>
            </w:r>
          </w:p>
        </w:tc>
      </w:tr>
      <w:bookmarkEnd w:id="3"/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Bias due to missing data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6 out of 26 in intervention group did not complete intervention and were not included in analysis.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all 6 patients in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group that were excluded from analysis were added with worst case scenario (i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e. All assume positive) the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ffect estimate still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favours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group but would 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 smaller magnitude (from RR of 5.4 to RR 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of 4.6)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37167294"/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Unpredictable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Bias in measurement of outcomes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Two groups had their outcomes report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 in different frequencies. HCQ</w:t>
            </w: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group had viral sample daily, while control group every alternate day. The day when control group had missing data, the latest results were carried forward.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Objective measurement of viral status.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SERIOUS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Possibly </w:t>
            </w:r>
            <w:proofErr w:type="spellStart"/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favours</w:t>
            </w:r>
            <w:proofErr w:type="spellEnd"/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 intervention.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Bias in selection of the reported results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Unclear whether the authors selected the best subgroup of patients for intervention group and worst subgroup for control, although it appeared unlikely.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8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Overall ROB judgment</w:t>
            </w: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sz w:val="24"/>
                <w:szCs w:val="24"/>
              </w:rPr>
              <w:t xml:space="preserve">Predicted direction of bias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429" w:rsidRPr="00272429" w:rsidTr="0013391A">
        <w:tc>
          <w:tcPr>
            <w:tcW w:w="2835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Overall ROB </w:t>
            </w:r>
          </w:p>
        </w:tc>
        <w:tc>
          <w:tcPr>
            <w:tcW w:w="2598" w:type="dxa"/>
          </w:tcPr>
          <w:p w:rsidR="00272429" w:rsidRPr="00272429" w:rsidRDefault="00272429" w:rsidP="00272429">
            <w:pPr>
              <w:pStyle w:val="ListParagraph"/>
              <w:spacing w:line="480" w:lineRule="auto"/>
              <w:ind w:left="14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19" w:type="dxa"/>
          </w:tcPr>
          <w:p w:rsidR="00272429" w:rsidRPr="00272429" w:rsidRDefault="00272429" w:rsidP="0027242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STUDY HAS SOME IMPORTANT PROBLEMS, AND WAS JUDGED TO BE AT SERIOUS RISK OF BIAS IN 3 domains, moderate </w:t>
            </w: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risk of bias in 2 domains, and low risk of bias in 2 domains. </w:t>
            </w:r>
          </w:p>
        </w:tc>
        <w:tc>
          <w:tcPr>
            <w:tcW w:w="3260" w:type="dxa"/>
          </w:tcPr>
          <w:p w:rsidR="00272429" w:rsidRPr="00272429" w:rsidRDefault="00272429" w:rsidP="0027242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24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SERIOUS ROB</w:t>
            </w:r>
          </w:p>
        </w:tc>
      </w:tr>
    </w:tbl>
    <w:p w:rsidR="00272429" w:rsidRPr="00EF7BF5" w:rsidRDefault="00272429" w:rsidP="0027242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Y - Yes; N - No; ROB – Risk of bias; PN</w:t>
      </w:r>
      <w:r w:rsidR="00EF7BF5" w:rsidRPr="00EF7BF5">
        <w:rPr>
          <w:rFonts w:ascii="Times New Roman" w:hAnsi="Times New Roman" w:cs="Times New Roman"/>
          <w:sz w:val="24"/>
          <w:szCs w:val="24"/>
          <w:vertAlign w:val="superscript"/>
        </w:rPr>
        <w:t xml:space="preserve"> – Proba</w:t>
      </w:r>
      <w:bookmarkStart w:id="5" w:name="_GoBack"/>
      <w:bookmarkEnd w:id="5"/>
      <w:r w:rsidR="00EF7BF5" w:rsidRPr="00EF7BF5">
        <w:rPr>
          <w:rFonts w:ascii="Times New Roman" w:hAnsi="Times New Roman" w:cs="Times New Roman"/>
          <w:sz w:val="24"/>
          <w:szCs w:val="24"/>
          <w:vertAlign w:val="superscript"/>
        </w:rPr>
        <w:t>bly no</w:t>
      </w:r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t>; PY</w:t>
      </w:r>
      <w:r w:rsidR="00EF7BF5" w:rsidRPr="00EF7BF5">
        <w:rPr>
          <w:rFonts w:ascii="Times New Roman" w:hAnsi="Times New Roman" w:cs="Times New Roman"/>
          <w:sz w:val="24"/>
          <w:szCs w:val="24"/>
          <w:vertAlign w:val="superscript"/>
        </w:rPr>
        <w:t xml:space="preserve"> – Probably yes</w:t>
      </w:r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t xml:space="preserve">, HCQ - </w:t>
      </w:r>
      <w:proofErr w:type="spellStart"/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t>Hydroxychloroquine</w:t>
      </w:r>
      <w:proofErr w:type="spellEnd"/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t>; NI</w:t>
      </w:r>
      <w:r w:rsidR="00EF7BF5" w:rsidRPr="00EF7BF5">
        <w:rPr>
          <w:rFonts w:ascii="Times New Roman" w:hAnsi="Times New Roman" w:cs="Times New Roman"/>
          <w:sz w:val="24"/>
          <w:szCs w:val="24"/>
          <w:vertAlign w:val="superscript"/>
        </w:rPr>
        <w:t xml:space="preserve"> – No information</w:t>
      </w:r>
      <w:r w:rsidRPr="00EF7BF5">
        <w:rPr>
          <w:rFonts w:ascii="Times New Roman" w:hAnsi="Times New Roman" w:cs="Times New Roman"/>
          <w:sz w:val="24"/>
          <w:szCs w:val="24"/>
          <w:vertAlign w:val="superscript"/>
        </w:rPr>
        <w:t>; RR – R</w:t>
      </w:r>
      <w:r w:rsidR="00EF7BF5" w:rsidRPr="00EF7BF5">
        <w:rPr>
          <w:rFonts w:ascii="Times New Roman" w:hAnsi="Times New Roman" w:cs="Times New Roman"/>
          <w:sz w:val="24"/>
          <w:szCs w:val="24"/>
          <w:vertAlign w:val="superscript"/>
        </w:rPr>
        <w:t>elative risk</w:t>
      </w:r>
    </w:p>
    <w:sectPr w:rsidR="00272429" w:rsidRPr="00EF7BF5" w:rsidSect="0027242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429"/>
    <w:rsid w:val="0013391A"/>
    <w:rsid w:val="00272429"/>
    <w:rsid w:val="00D46880"/>
    <w:rsid w:val="00EF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D901B2-9871-4CA0-A35B-F59A74227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2429"/>
    <w:pPr>
      <w:jc w:val="left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2429"/>
    <w:pPr>
      <w:spacing w:after="160" w:line="259" w:lineRule="auto"/>
      <w:ind w:left="720"/>
      <w:contextualSpacing/>
      <w:jc w:val="left"/>
    </w:pPr>
    <w:rPr>
      <w:rFonts w:eastAsiaTheme="minorEastAsia"/>
      <w:lang w:val="en-MY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 Soleha Mohd Dali</dc:creator>
  <cp:keywords/>
  <dc:description/>
  <cp:lastModifiedBy>Nor Soleha Mohd Dali</cp:lastModifiedBy>
  <cp:revision>3</cp:revision>
  <dcterms:created xsi:type="dcterms:W3CDTF">2020-04-13T07:16:00Z</dcterms:created>
  <dcterms:modified xsi:type="dcterms:W3CDTF">2020-04-13T07:59:00Z</dcterms:modified>
</cp:coreProperties>
</file>