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  <w:t>Supplementary</w:t>
      </w:r>
      <w:r>
        <w:rPr>
          <w:rFonts w:hint="eastAsia" w:ascii="Times New Roman" w:hAnsi="Times New Roman" w:eastAsia="宋体" w:cs="Times New Roman"/>
          <w:b w:val="0"/>
          <w:bCs w:val="0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  <w:t xml:space="preserve"> figure</w:t>
      </w:r>
    </w:p>
    <w:p>
      <w:pPr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3303905" cy="3082925"/>
            <wp:effectExtent l="0" t="0" r="10795" b="3175"/>
            <wp:docPr id="18" name="图片 18" descr="2级肺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级肺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 w:eastAsia="宋体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2"/>
          <w:szCs w:val="22"/>
          <w:lang w:val="en-US" w:eastAsia="zh-CN"/>
        </w:rPr>
        <w:t xml:space="preserve">Based on the results of the ROC analysis, change in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2"/>
          <w:szCs w:val="22"/>
          <w:lang w:val="en-US" w:eastAsia="zh-CN"/>
        </w:rPr>
        <w:t>l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2"/>
          <w:szCs w:val="22"/>
          <w:lang w:val="en-US" w:eastAsia="zh-CN"/>
        </w:rPr>
        <w:t>ymphocyte counts before and after radiotherapy was somewhat predictive of grade 2 radiation pneumonitis, but the overall predictive value was faint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2"/>
          <w:szCs w:val="22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000000"/>
    <w:rsid w:val="1038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2023-02-04T08:11:21Z</dcterms:created>
  <dc:creator>12107</dc:creator>
  <cp:lastModifiedBy>鸢尾</cp:lastModifiedBy>
  <dcterms:modified xsi:type="dcterms:W3CDTF">2023-02-04T08:14:39Z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EDA3FD6710D94B7089D3A3E26FA1EEE8</vt:lpwstr>
  </property>
</Properties>
</file>