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70A2C" w14:textId="77777777" w:rsidR="004178B4" w:rsidRPr="004178B4" w:rsidRDefault="004178B4" w:rsidP="004178B4">
      <w:pPr>
        <w:pStyle w:val="NormalWeb"/>
        <w:spacing w:after="360"/>
        <w:jc w:val="center"/>
        <w:rPr>
          <w:b/>
          <w:bCs/>
          <w:color w:val="000000"/>
          <w:sz w:val="32"/>
          <w:szCs w:val="32"/>
        </w:rPr>
      </w:pPr>
      <w:bookmarkStart w:id="0" w:name="_Hlk126326828"/>
      <w:r w:rsidRPr="004178B4">
        <w:rPr>
          <w:b/>
          <w:bCs/>
          <w:color w:val="000000"/>
          <w:sz w:val="32"/>
          <w:szCs w:val="32"/>
        </w:rPr>
        <w:t>Appendix 1</w:t>
      </w:r>
    </w:p>
    <w:p w14:paraId="3FC5439C" w14:textId="3CF3656E" w:rsidR="004A2B8C" w:rsidRPr="00B41905" w:rsidRDefault="004A2B8C" w:rsidP="004A2B8C">
      <w:pPr>
        <w:pStyle w:val="NormalWeb"/>
        <w:spacing w:after="360"/>
        <w:rPr>
          <w:sz w:val="20"/>
          <w:szCs w:val="20"/>
        </w:rPr>
      </w:pPr>
      <w:r w:rsidRPr="00B41905">
        <w:rPr>
          <w:rStyle w:val="Strong"/>
          <w:sz w:val="20"/>
          <w:szCs w:val="20"/>
        </w:rPr>
        <w:t>Title</w:t>
      </w:r>
      <w:r w:rsidRPr="00B41905">
        <w:rPr>
          <w:sz w:val="20"/>
          <w:szCs w:val="20"/>
        </w:rPr>
        <w:t xml:space="preserve"> - </w:t>
      </w:r>
      <w:bookmarkStart w:id="1" w:name="_Hlk126320400"/>
      <w:r w:rsidRPr="00B41905">
        <w:rPr>
          <w:sz w:val="20"/>
          <w:szCs w:val="20"/>
        </w:rPr>
        <w:t xml:space="preserve">DNA metabarcoding reveals the diet of the invasive fish </w:t>
      </w:r>
      <w:r w:rsidRPr="00B41905">
        <w:rPr>
          <w:i/>
          <w:iCs/>
          <w:sz w:val="20"/>
          <w:szCs w:val="20"/>
        </w:rPr>
        <w:t xml:space="preserve">Oreochromis </w:t>
      </w:r>
      <w:proofErr w:type="spellStart"/>
      <w:r w:rsidRPr="00B41905">
        <w:rPr>
          <w:i/>
          <w:iCs/>
          <w:sz w:val="20"/>
          <w:szCs w:val="20"/>
        </w:rPr>
        <w:t>mossambicus</w:t>
      </w:r>
      <w:proofErr w:type="spellEnd"/>
      <w:r w:rsidRPr="00B41905">
        <w:rPr>
          <w:i/>
          <w:iCs/>
          <w:sz w:val="20"/>
          <w:szCs w:val="20"/>
        </w:rPr>
        <w:t xml:space="preserve"> </w:t>
      </w:r>
      <w:r w:rsidRPr="00B41905">
        <w:rPr>
          <w:sz w:val="20"/>
          <w:szCs w:val="20"/>
        </w:rPr>
        <w:t>in mangroves of São Tomé Island (Gulf of Guinea)</w:t>
      </w:r>
      <w:bookmarkEnd w:id="1"/>
      <w:r>
        <w:rPr>
          <w:sz w:val="20"/>
          <w:szCs w:val="20"/>
        </w:rPr>
        <w:t>.</w:t>
      </w:r>
    </w:p>
    <w:p w14:paraId="0B51E857" w14:textId="77777777" w:rsidR="004A2B8C" w:rsidRPr="00B41905" w:rsidRDefault="004A2B8C" w:rsidP="004A2B8C">
      <w:pPr>
        <w:pStyle w:val="NormalWeb"/>
        <w:spacing w:beforeAutospacing="0" w:after="360" w:afterAutospacing="0"/>
        <w:rPr>
          <w:rStyle w:val="Strong"/>
          <w:sz w:val="20"/>
          <w:szCs w:val="20"/>
        </w:rPr>
      </w:pPr>
      <w:r w:rsidRPr="00B41905">
        <w:rPr>
          <w:rStyle w:val="Strong"/>
          <w:sz w:val="20"/>
          <w:szCs w:val="20"/>
        </w:rPr>
        <w:t>Nogueira, S.</w:t>
      </w:r>
      <w:r w:rsidRPr="00B41905">
        <w:rPr>
          <w:rStyle w:val="Strong"/>
          <w:sz w:val="20"/>
          <w:szCs w:val="20"/>
          <w:vertAlign w:val="superscript"/>
        </w:rPr>
        <w:t>1</w:t>
      </w:r>
      <w:r w:rsidRPr="00B41905">
        <w:rPr>
          <w:rStyle w:val="Strong"/>
          <w:sz w:val="20"/>
          <w:szCs w:val="20"/>
        </w:rPr>
        <w:t xml:space="preserve">*, </w:t>
      </w:r>
      <w:proofErr w:type="spellStart"/>
      <w:r w:rsidRPr="00B41905">
        <w:rPr>
          <w:rStyle w:val="Strong"/>
          <w:sz w:val="20"/>
          <w:szCs w:val="20"/>
        </w:rPr>
        <w:t>Curto</w:t>
      </w:r>
      <w:proofErr w:type="spellEnd"/>
      <w:r w:rsidRPr="00B41905">
        <w:rPr>
          <w:rStyle w:val="Strong"/>
          <w:sz w:val="20"/>
          <w:szCs w:val="20"/>
        </w:rPr>
        <w:t>, M.</w:t>
      </w:r>
      <w:r w:rsidRPr="00B41905">
        <w:rPr>
          <w:rStyle w:val="Strong"/>
          <w:sz w:val="20"/>
          <w:szCs w:val="20"/>
          <w:vertAlign w:val="superscript"/>
        </w:rPr>
        <w:t>1</w:t>
      </w:r>
      <w:r w:rsidRPr="00B41905">
        <w:rPr>
          <w:rStyle w:val="Strong"/>
          <w:sz w:val="20"/>
          <w:szCs w:val="20"/>
        </w:rPr>
        <w:t xml:space="preserve">, </w:t>
      </w:r>
      <w:proofErr w:type="spellStart"/>
      <w:r w:rsidRPr="00B41905">
        <w:rPr>
          <w:rStyle w:val="Strong"/>
          <w:sz w:val="20"/>
          <w:szCs w:val="20"/>
        </w:rPr>
        <w:t>Gkenas</w:t>
      </w:r>
      <w:proofErr w:type="spellEnd"/>
      <w:r w:rsidRPr="00B41905">
        <w:rPr>
          <w:rStyle w:val="Strong"/>
          <w:sz w:val="20"/>
          <w:szCs w:val="20"/>
        </w:rPr>
        <w:t>, C.</w:t>
      </w:r>
      <w:r w:rsidRPr="00B41905">
        <w:rPr>
          <w:rStyle w:val="Strong"/>
          <w:sz w:val="20"/>
          <w:szCs w:val="20"/>
          <w:vertAlign w:val="superscript"/>
        </w:rPr>
        <w:t>1</w:t>
      </w:r>
      <w:r w:rsidRPr="00B41905">
        <w:rPr>
          <w:rStyle w:val="Strong"/>
          <w:sz w:val="20"/>
          <w:szCs w:val="20"/>
        </w:rPr>
        <w:t>, Afonso, F.</w:t>
      </w:r>
      <w:r w:rsidRPr="00B41905">
        <w:rPr>
          <w:rStyle w:val="Strong"/>
          <w:sz w:val="20"/>
          <w:szCs w:val="20"/>
          <w:vertAlign w:val="superscript"/>
        </w:rPr>
        <w:t>1</w:t>
      </w:r>
      <w:r w:rsidRPr="00B41905">
        <w:rPr>
          <w:rStyle w:val="Strong"/>
          <w:sz w:val="20"/>
          <w:szCs w:val="20"/>
        </w:rPr>
        <w:t>, Dias, D.</w:t>
      </w:r>
      <w:r w:rsidRPr="00B41905">
        <w:rPr>
          <w:rStyle w:val="Strong"/>
          <w:sz w:val="20"/>
          <w:szCs w:val="20"/>
          <w:vertAlign w:val="superscript"/>
        </w:rPr>
        <w:t>1</w:t>
      </w:r>
      <w:r w:rsidRPr="00B41905">
        <w:rPr>
          <w:rStyle w:val="Strong"/>
          <w:sz w:val="20"/>
          <w:szCs w:val="20"/>
        </w:rPr>
        <w:t>, Heumüller</w:t>
      </w:r>
      <w:r w:rsidRPr="00B41905">
        <w:rPr>
          <w:rStyle w:val="Strong"/>
          <w:sz w:val="20"/>
          <w:szCs w:val="20"/>
          <w:vertAlign w:val="superscript"/>
        </w:rPr>
        <w:t>1</w:t>
      </w:r>
      <w:r w:rsidRPr="00B41905">
        <w:rPr>
          <w:rStyle w:val="Strong"/>
          <w:sz w:val="20"/>
          <w:szCs w:val="20"/>
        </w:rPr>
        <w:t>, J., Félix, P.M.</w:t>
      </w:r>
      <w:r w:rsidRPr="00B41905">
        <w:rPr>
          <w:rStyle w:val="Strong"/>
          <w:sz w:val="20"/>
          <w:szCs w:val="20"/>
          <w:vertAlign w:val="superscript"/>
        </w:rPr>
        <w:t>1</w:t>
      </w:r>
      <w:r w:rsidRPr="00B41905">
        <w:rPr>
          <w:rStyle w:val="Strong"/>
          <w:sz w:val="20"/>
          <w:szCs w:val="20"/>
        </w:rPr>
        <w:t>, de Lima, R.F.</w:t>
      </w:r>
      <w:r w:rsidRPr="00B41905">
        <w:rPr>
          <w:rStyle w:val="Strong"/>
          <w:sz w:val="20"/>
          <w:szCs w:val="20"/>
          <w:vertAlign w:val="superscript"/>
        </w:rPr>
        <w:t>2,3</w:t>
      </w:r>
      <w:r w:rsidRPr="00B41905">
        <w:rPr>
          <w:rStyle w:val="Strong"/>
          <w:sz w:val="20"/>
          <w:szCs w:val="20"/>
        </w:rPr>
        <w:t xml:space="preserve">, </w:t>
      </w:r>
      <w:proofErr w:type="spellStart"/>
      <w:r w:rsidRPr="00B41905">
        <w:rPr>
          <w:rStyle w:val="Strong"/>
          <w:sz w:val="20"/>
          <w:szCs w:val="20"/>
        </w:rPr>
        <w:t>Chaínho</w:t>
      </w:r>
      <w:proofErr w:type="spellEnd"/>
      <w:r w:rsidRPr="00B41905">
        <w:rPr>
          <w:rStyle w:val="Strong"/>
          <w:sz w:val="20"/>
          <w:szCs w:val="20"/>
        </w:rPr>
        <w:t>, P.</w:t>
      </w:r>
      <w:r w:rsidRPr="00B41905">
        <w:rPr>
          <w:rStyle w:val="Strong"/>
          <w:sz w:val="20"/>
          <w:szCs w:val="20"/>
          <w:vertAlign w:val="superscript"/>
        </w:rPr>
        <w:t>1,4</w:t>
      </w:r>
      <w:r w:rsidRPr="00B41905">
        <w:rPr>
          <w:rStyle w:val="Strong"/>
          <w:sz w:val="20"/>
          <w:szCs w:val="20"/>
        </w:rPr>
        <w:t>, Brito, A.C.</w:t>
      </w:r>
      <w:r w:rsidRPr="00B41905">
        <w:rPr>
          <w:rStyle w:val="Strong"/>
          <w:sz w:val="20"/>
          <w:szCs w:val="20"/>
          <w:vertAlign w:val="superscript"/>
        </w:rPr>
        <w:t>1,5</w:t>
      </w:r>
      <w:r w:rsidRPr="00B41905">
        <w:rPr>
          <w:rStyle w:val="Strong"/>
          <w:sz w:val="20"/>
          <w:szCs w:val="20"/>
        </w:rPr>
        <w:t>, Ribeiro, F</w:t>
      </w:r>
      <w:r w:rsidRPr="00B41905">
        <w:rPr>
          <w:rStyle w:val="Strong"/>
          <w:sz w:val="20"/>
          <w:szCs w:val="20"/>
          <w:vertAlign w:val="superscript"/>
        </w:rPr>
        <w:t>1</w:t>
      </w:r>
      <w:r w:rsidRPr="00B41905">
        <w:rPr>
          <w:rStyle w:val="Strong"/>
          <w:sz w:val="20"/>
          <w:szCs w:val="20"/>
        </w:rPr>
        <w:t xml:space="preserve">. </w:t>
      </w:r>
    </w:p>
    <w:p w14:paraId="604B0980" w14:textId="77777777" w:rsidR="004A2B8C" w:rsidRPr="00B41905" w:rsidRDefault="004A2B8C" w:rsidP="004A2B8C">
      <w:pPr>
        <w:pStyle w:val="NormalWeb"/>
        <w:spacing w:beforeAutospacing="0" w:after="0" w:afterAutospacing="0"/>
        <w:rPr>
          <w:rStyle w:val="Strong"/>
          <w:b w:val="0"/>
          <w:bCs w:val="0"/>
          <w:sz w:val="20"/>
          <w:szCs w:val="20"/>
        </w:rPr>
      </w:pPr>
      <w:r w:rsidRPr="00B41905">
        <w:rPr>
          <w:rStyle w:val="Strong"/>
          <w:sz w:val="20"/>
          <w:szCs w:val="20"/>
          <w:vertAlign w:val="superscript"/>
        </w:rPr>
        <w:t>1</w:t>
      </w:r>
      <w:r w:rsidRPr="00B41905">
        <w:rPr>
          <w:rStyle w:val="Strong"/>
          <w:sz w:val="20"/>
          <w:szCs w:val="20"/>
        </w:rPr>
        <w:t xml:space="preserve"> MARE - Marine and Environmental Sciences Centre/ARNET - Aquatic Research Network, Faculty of Sciences, University of Lisbon, Portugal.</w:t>
      </w:r>
    </w:p>
    <w:p w14:paraId="39B860AC" w14:textId="77777777" w:rsidR="004A2B8C" w:rsidRPr="00B41905" w:rsidRDefault="004A2B8C" w:rsidP="004A2B8C">
      <w:pPr>
        <w:pStyle w:val="NormalWeb"/>
        <w:spacing w:beforeAutospacing="0" w:after="0" w:afterAutospacing="0"/>
        <w:rPr>
          <w:rStyle w:val="Strong"/>
          <w:b w:val="0"/>
          <w:bCs w:val="0"/>
          <w:sz w:val="20"/>
          <w:szCs w:val="20"/>
        </w:rPr>
      </w:pPr>
      <w:r w:rsidRPr="00B41905">
        <w:rPr>
          <w:rStyle w:val="Strong"/>
          <w:sz w:val="20"/>
          <w:szCs w:val="20"/>
          <w:vertAlign w:val="superscript"/>
        </w:rPr>
        <w:t xml:space="preserve">2 </w:t>
      </w:r>
      <w:r w:rsidRPr="00B41905">
        <w:rPr>
          <w:rStyle w:val="Strong"/>
          <w:sz w:val="20"/>
          <w:szCs w:val="20"/>
        </w:rPr>
        <w:t xml:space="preserve">cE3c - Centre for Ecology, Evolution and Environmental Changes, CHANGE - Global Change and Sustainability Institute, </w:t>
      </w:r>
      <w:r>
        <w:rPr>
          <w:rStyle w:val="Strong"/>
          <w:b w:val="0"/>
          <w:bCs w:val="0"/>
          <w:sz w:val="20"/>
          <w:szCs w:val="20"/>
        </w:rPr>
        <w:t xml:space="preserve">Animal Biology </w:t>
      </w:r>
      <w:r w:rsidRPr="00B41905">
        <w:rPr>
          <w:rStyle w:val="Strong"/>
          <w:b w:val="0"/>
          <w:bCs w:val="0"/>
          <w:sz w:val="20"/>
          <w:szCs w:val="20"/>
        </w:rPr>
        <w:t>Department</w:t>
      </w:r>
      <w:r w:rsidRPr="00B41905">
        <w:rPr>
          <w:rStyle w:val="Strong"/>
          <w:sz w:val="20"/>
          <w:szCs w:val="20"/>
        </w:rPr>
        <w:t>, Faculty of Sciences, University of Lisbon, Portugal.</w:t>
      </w:r>
    </w:p>
    <w:p w14:paraId="716172E9" w14:textId="77777777" w:rsidR="004A2B8C" w:rsidRPr="00B41905" w:rsidRDefault="004A2B8C" w:rsidP="004A2B8C">
      <w:pPr>
        <w:pStyle w:val="NormalWeb"/>
        <w:spacing w:beforeAutospacing="0" w:after="0" w:afterAutospacing="0"/>
        <w:rPr>
          <w:rStyle w:val="Strong"/>
          <w:b w:val="0"/>
          <w:bCs w:val="0"/>
          <w:sz w:val="20"/>
          <w:szCs w:val="20"/>
        </w:rPr>
      </w:pPr>
      <w:r w:rsidRPr="00B41905">
        <w:rPr>
          <w:rStyle w:val="Strong"/>
          <w:sz w:val="20"/>
          <w:szCs w:val="20"/>
          <w:vertAlign w:val="superscript"/>
        </w:rPr>
        <w:t>3</w:t>
      </w:r>
      <w:r w:rsidRPr="00B41905">
        <w:rPr>
          <w:rStyle w:val="Strong"/>
          <w:sz w:val="20"/>
          <w:szCs w:val="20"/>
        </w:rPr>
        <w:t xml:space="preserve"> GGBC - Gulf of Guinea Biodiversity Center, São Tomé, São </w:t>
      </w:r>
      <w:proofErr w:type="gramStart"/>
      <w:r w:rsidRPr="00B41905">
        <w:rPr>
          <w:rStyle w:val="Strong"/>
          <w:sz w:val="20"/>
          <w:szCs w:val="20"/>
        </w:rPr>
        <w:t>Tomé</w:t>
      </w:r>
      <w:proofErr w:type="gramEnd"/>
      <w:r w:rsidRPr="00B41905">
        <w:rPr>
          <w:rStyle w:val="Strong"/>
          <w:sz w:val="20"/>
          <w:szCs w:val="20"/>
        </w:rPr>
        <w:t xml:space="preserve"> and Príncipe.</w:t>
      </w:r>
    </w:p>
    <w:p w14:paraId="428238F9" w14:textId="77777777" w:rsidR="004A2B8C" w:rsidRPr="00B41905" w:rsidRDefault="004A2B8C" w:rsidP="004A2B8C">
      <w:pPr>
        <w:pStyle w:val="NormalWeb"/>
        <w:spacing w:beforeAutospacing="0" w:after="0" w:afterAutospacing="0"/>
        <w:rPr>
          <w:rStyle w:val="Strong"/>
          <w:b w:val="0"/>
          <w:bCs w:val="0"/>
          <w:sz w:val="20"/>
          <w:szCs w:val="20"/>
        </w:rPr>
      </w:pPr>
      <w:r w:rsidRPr="00B41905">
        <w:rPr>
          <w:rStyle w:val="Strong"/>
          <w:sz w:val="20"/>
          <w:szCs w:val="20"/>
          <w:vertAlign w:val="superscript"/>
        </w:rPr>
        <w:t>4</w:t>
      </w:r>
      <w:r w:rsidRPr="00B41905">
        <w:rPr>
          <w:rStyle w:val="Strong"/>
          <w:sz w:val="20"/>
          <w:szCs w:val="20"/>
        </w:rPr>
        <w:t xml:space="preserve"> Centre for Energy and Environment Research, Polytechnic Institute of Setúbal, Portugal.</w:t>
      </w:r>
    </w:p>
    <w:p w14:paraId="18D08AB1" w14:textId="77777777" w:rsidR="004A2B8C" w:rsidRPr="00B41905" w:rsidRDefault="004A2B8C" w:rsidP="004A2B8C">
      <w:pPr>
        <w:pStyle w:val="NormalWeb"/>
        <w:spacing w:beforeAutospacing="0" w:after="0" w:afterAutospacing="0"/>
        <w:rPr>
          <w:rStyle w:val="Strong"/>
          <w:b w:val="0"/>
          <w:bCs w:val="0"/>
          <w:sz w:val="20"/>
          <w:szCs w:val="20"/>
        </w:rPr>
      </w:pPr>
      <w:r w:rsidRPr="00B41905">
        <w:rPr>
          <w:rStyle w:val="Strong"/>
          <w:sz w:val="20"/>
          <w:szCs w:val="20"/>
          <w:vertAlign w:val="superscript"/>
        </w:rPr>
        <w:t>5</w:t>
      </w:r>
      <w:r w:rsidRPr="00B41905">
        <w:rPr>
          <w:rStyle w:val="Strong"/>
          <w:sz w:val="20"/>
          <w:szCs w:val="20"/>
        </w:rPr>
        <w:t xml:space="preserve"> Plant Biology Department, Faculty of Sciences, University of Lisbon, Portugal.</w:t>
      </w:r>
      <w:r w:rsidRPr="00B41905">
        <w:rPr>
          <w:rStyle w:val="Strong"/>
          <w:sz w:val="20"/>
          <w:szCs w:val="20"/>
          <w:vertAlign w:val="superscript"/>
        </w:rPr>
        <w:t xml:space="preserve"> </w:t>
      </w:r>
    </w:p>
    <w:p w14:paraId="6886C0A5" w14:textId="286A41B5" w:rsidR="005E61D7" w:rsidRDefault="005E61D7" w:rsidP="00AE6A12">
      <w:pPr>
        <w:pStyle w:val="NormalWeb"/>
        <w:tabs>
          <w:tab w:val="left" w:pos="2410"/>
        </w:tabs>
        <w:spacing w:beforeAutospacing="0" w:after="0" w:afterAutospacing="0" w:line="480" w:lineRule="auto"/>
        <w:jc w:val="both"/>
        <w:rPr>
          <w:color w:val="000000"/>
          <w:sz w:val="20"/>
          <w:szCs w:val="20"/>
        </w:rPr>
      </w:pPr>
    </w:p>
    <w:p w14:paraId="1422F5BB" w14:textId="77777777" w:rsidR="004178B4" w:rsidRPr="00B41905" w:rsidRDefault="004178B4" w:rsidP="004178B4">
      <w:pPr>
        <w:pStyle w:val="NormalWeb"/>
        <w:spacing w:beforeAutospacing="0" w:after="0" w:afterAutospacing="0"/>
        <w:rPr>
          <w:sz w:val="20"/>
          <w:szCs w:val="20"/>
        </w:rPr>
      </w:pPr>
      <w:r w:rsidRPr="00B41905">
        <w:rPr>
          <w:sz w:val="20"/>
          <w:szCs w:val="20"/>
        </w:rPr>
        <w:t>*Corresponding author:</w:t>
      </w:r>
      <w:r>
        <w:rPr>
          <w:sz w:val="20"/>
          <w:szCs w:val="20"/>
        </w:rPr>
        <w:t xml:space="preserve"> asnogueirac@gmail.com</w:t>
      </w:r>
    </w:p>
    <w:bookmarkEnd w:id="0"/>
    <w:p w14:paraId="0F679745" w14:textId="77777777" w:rsidR="004178B4" w:rsidRDefault="004178B4" w:rsidP="00AE6A12">
      <w:pPr>
        <w:pStyle w:val="NormalWeb"/>
        <w:tabs>
          <w:tab w:val="left" w:pos="2410"/>
        </w:tabs>
        <w:spacing w:beforeAutospacing="0" w:after="0" w:afterAutospacing="0" w:line="480" w:lineRule="auto"/>
        <w:jc w:val="both"/>
        <w:rPr>
          <w:color w:val="000000"/>
          <w:sz w:val="20"/>
          <w:szCs w:val="20"/>
        </w:rPr>
      </w:pPr>
    </w:p>
    <w:p w14:paraId="4B47CBA9" w14:textId="01819EBC" w:rsidR="007D1792" w:rsidRPr="004A2B8C" w:rsidRDefault="00943707" w:rsidP="00AE6A12">
      <w:pPr>
        <w:pStyle w:val="NormalWeb"/>
        <w:tabs>
          <w:tab w:val="left" w:pos="2410"/>
        </w:tabs>
        <w:spacing w:beforeAutospacing="0" w:after="0" w:afterAutospacing="0" w:line="480" w:lineRule="auto"/>
        <w:jc w:val="both"/>
        <w:rPr>
          <w:b/>
          <w:bCs/>
          <w:color w:val="000000"/>
          <w:sz w:val="20"/>
          <w:szCs w:val="20"/>
        </w:rPr>
      </w:pPr>
      <w:r w:rsidRPr="004A2B8C">
        <w:rPr>
          <w:b/>
          <w:bCs/>
          <w:color w:val="000000"/>
          <w:sz w:val="20"/>
          <w:szCs w:val="20"/>
        </w:rPr>
        <w:t>Complementary</w:t>
      </w:r>
      <w:r w:rsidR="00AE6A12" w:rsidRPr="004A2B8C">
        <w:rPr>
          <w:b/>
          <w:bCs/>
          <w:color w:val="000000"/>
          <w:sz w:val="20"/>
          <w:szCs w:val="20"/>
        </w:rPr>
        <w:t xml:space="preserve"> description of the methodology</w:t>
      </w:r>
      <w:r w:rsidR="00BF19C0" w:rsidRPr="004A2B8C">
        <w:rPr>
          <w:b/>
          <w:bCs/>
          <w:color w:val="000000"/>
          <w:sz w:val="20"/>
          <w:szCs w:val="20"/>
        </w:rPr>
        <w:t>.</w:t>
      </w:r>
    </w:p>
    <w:p w14:paraId="17675BD1" w14:textId="34C3F79B" w:rsidR="009857F2" w:rsidRDefault="009857F2" w:rsidP="00AE6A12">
      <w:pPr>
        <w:pStyle w:val="NormalWeb"/>
        <w:spacing w:beforeAutospacing="0" w:after="0" w:afterAutospacing="0" w:line="480" w:lineRule="auto"/>
        <w:ind w:firstLine="720"/>
      </w:pPr>
      <w:r>
        <w:rPr>
          <w:color w:val="000000"/>
          <w:sz w:val="20"/>
          <w:szCs w:val="20"/>
        </w:rPr>
        <w:t>Samples were collected in two mangroves (</w:t>
      </w:r>
      <w:proofErr w:type="spellStart"/>
      <w:r>
        <w:rPr>
          <w:color w:val="000000"/>
          <w:sz w:val="20"/>
          <w:szCs w:val="20"/>
        </w:rPr>
        <w:t>Malanza</w:t>
      </w:r>
      <w:proofErr w:type="spellEnd"/>
      <w:r>
        <w:rPr>
          <w:color w:val="000000"/>
          <w:sz w:val="20"/>
          <w:szCs w:val="20"/>
        </w:rPr>
        <w:t xml:space="preserve"> and Praia das </w:t>
      </w:r>
      <w:proofErr w:type="spellStart"/>
      <w:r>
        <w:rPr>
          <w:color w:val="000000"/>
          <w:sz w:val="20"/>
          <w:szCs w:val="20"/>
        </w:rPr>
        <w:t>Conchas</w:t>
      </w:r>
      <w:proofErr w:type="spellEnd"/>
      <w:r>
        <w:rPr>
          <w:color w:val="000000"/>
          <w:sz w:val="20"/>
          <w:szCs w:val="20"/>
        </w:rPr>
        <w:t xml:space="preserve">) of São Tomé Island (Democratic Republic of São Tomé and Principe, Gulf of Guinea, Central Africa) in 2020. The island has a tropical humid weather with two dry seasons throughout the year, rainfall reaches 7000 mm per year in the south, where </w:t>
      </w:r>
      <w:proofErr w:type="spellStart"/>
      <w:r>
        <w:rPr>
          <w:color w:val="000000"/>
          <w:sz w:val="20"/>
          <w:szCs w:val="20"/>
        </w:rPr>
        <w:t>Malanza</w:t>
      </w:r>
      <w:proofErr w:type="spellEnd"/>
      <w:r>
        <w:rPr>
          <w:color w:val="000000"/>
          <w:sz w:val="20"/>
          <w:szCs w:val="20"/>
        </w:rPr>
        <w:t xml:space="preserve"> is located but decreases </w:t>
      </w:r>
      <w:r w:rsidRPr="005E61D7">
        <w:rPr>
          <w:color w:val="000000"/>
          <w:sz w:val="20"/>
          <w:szCs w:val="20"/>
        </w:rPr>
        <w:t xml:space="preserve">towards north where we find Praia das </w:t>
      </w:r>
      <w:proofErr w:type="spellStart"/>
      <w:r w:rsidRPr="005E61D7">
        <w:rPr>
          <w:color w:val="000000"/>
          <w:sz w:val="20"/>
          <w:szCs w:val="20"/>
        </w:rPr>
        <w:t>Conchas</w:t>
      </w:r>
      <w:proofErr w:type="spellEnd"/>
      <w:r w:rsidRPr="005E61D7">
        <w:rPr>
          <w:color w:val="000000"/>
          <w:sz w:val="20"/>
          <w:szCs w:val="20"/>
        </w:rPr>
        <w:t xml:space="preserve">. The main characteristics of both mangroves are summarized in Félix et al. (2017). We collected 50 specimens of </w:t>
      </w:r>
      <w:r w:rsidRPr="005E61D7">
        <w:rPr>
          <w:i/>
          <w:iCs/>
          <w:color w:val="000000"/>
          <w:sz w:val="20"/>
          <w:szCs w:val="20"/>
        </w:rPr>
        <w:t xml:space="preserve">O. </w:t>
      </w:r>
      <w:proofErr w:type="spellStart"/>
      <w:r w:rsidRPr="005E61D7">
        <w:rPr>
          <w:i/>
          <w:iCs/>
          <w:color w:val="000000"/>
          <w:sz w:val="20"/>
          <w:szCs w:val="20"/>
        </w:rPr>
        <w:t>mossambicus</w:t>
      </w:r>
      <w:proofErr w:type="spellEnd"/>
      <w:r w:rsidRPr="005E61D7">
        <w:rPr>
          <w:color w:val="000000"/>
          <w:sz w:val="20"/>
          <w:szCs w:val="20"/>
        </w:rPr>
        <w:t xml:space="preserve"> using cast nets (mesh size 30mm). Upon capture, individuals</w:t>
      </w:r>
      <w:r>
        <w:rPr>
          <w:color w:val="000000"/>
          <w:sz w:val="20"/>
          <w:szCs w:val="20"/>
        </w:rPr>
        <w:t xml:space="preserve"> were treated with an anesthetic (clove oil) before measurements of body mass (±1g) and total length (±1mm). After measurement procedures, specimens were dissected to remove their digestive system which was then preserved in 96% alcohol until further processing.</w:t>
      </w:r>
    </w:p>
    <w:p w14:paraId="225F9BF6" w14:textId="77777777" w:rsidR="009857F2" w:rsidRDefault="009857F2" w:rsidP="00AE6A12">
      <w:pPr>
        <w:pStyle w:val="NormalWeb"/>
        <w:spacing w:beforeAutospacing="0" w:after="0" w:afterAutospacing="0" w:line="480" w:lineRule="auto"/>
        <w:ind w:firstLine="720"/>
        <w:rPr>
          <w:color w:val="000000"/>
          <w:sz w:val="20"/>
          <w:szCs w:val="20"/>
        </w:rPr>
      </w:pPr>
      <w:r>
        <w:rPr>
          <w:color w:val="000000"/>
          <w:sz w:val="20"/>
          <w:szCs w:val="20"/>
        </w:rPr>
        <w:t xml:space="preserve">The laboratory procedures up to PCR amplification were conducted at the Museum of Natural History and Science in Lisbon, Portugal. After carefully taking a subsample of each gut content, we drained all ethanol from the samples by centrifugation at 10,000 rpm for 5min followed by a 15min incubation at 55ºC to evaporate remaining ethanol. Before DNA extraction, samples were thoroughly grinded for 5min in a </w:t>
      </w:r>
      <w:proofErr w:type="spellStart"/>
      <w:r>
        <w:rPr>
          <w:color w:val="000000"/>
          <w:sz w:val="20"/>
          <w:szCs w:val="20"/>
        </w:rPr>
        <w:t>TissueLyser</w:t>
      </w:r>
      <w:proofErr w:type="spellEnd"/>
      <w:r>
        <w:rPr>
          <w:color w:val="000000"/>
          <w:sz w:val="20"/>
          <w:szCs w:val="20"/>
        </w:rPr>
        <w:t xml:space="preserve"> LT (Qiagen,</w:t>
      </w:r>
      <w:r>
        <w:rPr>
          <w:sz w:val="20"/>
          <w:szCs w:val="20"/>
        </w:rPr>
        <w:t xml:space="preserve"> </w:t>
      </w:r>
      <w:r>
        <w:rPr>
          <w:color w:val="000000"/>
          <w:sz w:val="20"/>
          <w:szCs w:val="20"/>
        </w:rPr>
        <w:t>Hilden, Germany) at 30 vibrations per min to break cell walls existing in some potential prey. DNA extraction was carried out using the E.Z.N.A. Tissue DNA Kit (Omega Bio-Tek,</w:t>
      </w:r>
      <w:r>
        <w:rPr>
          <w:sz w:val="20"/>
          <w:szCs w:val="20"/>
        </w:rPr>
        <w:t xml:space="preserve"> </w:t>
      </w:r>
      <w:r>
        <w:rPr>
          <w:color w:val="000000"/>
          <w:sz w:val="20"/>
          <w:szCs w:val="20"/>
        </w:rPr>
        <w:t>Norcross,</w:t>
      </w:r>
      <w:r>
        <w:rPr>
          <w:sz w:val="20"/>
          <w:szCs w:val="20"/>
        </w:rPr>
        <w:t xml:space="preserve"> </w:t>
      </w:r>
      <w:r>
        <w:rPr>
          <w:color w:val="000000"/>
          <w:sz w:val="20"/>
          <w:szCs w:val="20"/>
        </w:rPr>
        <w:t xml:space="preserve">GA, USA) according to the manufacturer's instructions (digestion step proceeded for 1h at 55ºC). All samples were stored at -20ºC until further processing. Negative controls were introduced at key steps of the methodology namely at the gut content preparation stage (wherein the </w:t>
      </w:r>
      <w:r>
        <w:rPr>
          <w:color w:val="000000"/>
          <w:sz w:val="20"/>
          <w:szCs w:val="20"/>
        </w:rPr>
        <w:lastRenderedPageBreak/>
        <w:t xml:space="preserve">surgical instruments used were soaked in Buffer TL) and at the beginning of DNA extraction protocol. All extractions were checked for quality and size by electrophoresis on a 2.5% agarose gel stained with </w:t>
      </w:r>
      <w:proofErr w:type="spellStart"/>
      <w:r>
        <w:rPr>
          <w:color w:val="000000"/>
          <w:sz w:val="20"/>
          <w:szCs w:val="20"/>
        </w:rPr>
        <w:t>GelRed</w:t>
      </w:r>
      <w:proofErr w:type="spellEnd"/>
      <w:r>
        <w:rPr>
          <w:color w:val="000000"/>
          <w:sz w:val="20"/>
          <w:szCs w:val="20"/>
        </w:rPr>
        <w:t xml:space="preserve"> (Thomas Scientific Swedesboro, NJ, USA). Both blanks showed no indication of contamination when ran on the agarose gels.</w:t>
      </w:r>
    </w:p>
    <w:p w14:paraId="6DA5B4FC" w14:textId="4196A485" w:rsidR="00BB516C" w:rsidRDefault="009857F2" w:rsidP="00AE6A12">
      <w:pPr>
        <w:pStyle w:val="NormalWeb"/>
        <w:spacing w:beforeAutospacing="0" w:after="0" w:afterAutospacing="0" w:line="480" w:lineRule="auto"/>
        <w:ind w:firstLine="720"/>
        <w:rPr>
          <w:color w:val="000000"/>
          <w:sz w:val="20"/>
          <w:szCs w:val="20"/>
        </w:rPr>
      </w:pPr>
      <w:r>
        <w:rPr>
          <w:color w:val="000000"/>
          <w:sz w:val="20"/>
          <w:szCs w:val="20"/>
        </w:rPr>
        <w:t xml:space="preserve">The metabarcoding assay was performed through the preparation of amplicon sequencing libraries based on a two PCR assay as described in Miya et al. (2015). We performed the amplification of two mitochondrial barcodes in separate PCR reactions. We targeted the 313 bp mitochondrial cytochrome c oxidase subunit I (COI) region with the primer pair of NexF_m1COIintF and NexR_jgHCO2198 </w:t>
      </w:r>
      <w:r>
        <w:fldChar w:fldCharType="begin"/>
      </w:r>
      <w:r>
        <w:instrText>ADDIN CSL_CITATION {"citationItems":[{"id":"ITEM-1","itemData":{"DOI":"10.1186/1742-9994-10-34","ISSN":"17429994","abstract":"Introduction: The PCR-based analysis of homologous genes has become one of the most powerful approaches for species detection and identification, particularly with the recent availability of Next Generation Sequencing platforms (NGS) making it possible to identify species composition from a broad range of environmental samples. Identifying species from these samples relies on the ability to match sequences with reference barcodes for taxonomic identification. Unfortunately, most studies of environmental samples have targeted ribosomal markers, despite the fact that the mitochondrial Cytochrome c Oxidase subunit I gene (COI) is by far the most widely available sequence region in public reference libraries. This is largely because the available versatile (\" universal\" ) COI primers target the 658 barcoding region, whose size is considered too large for many NGS applications. Moreover, traditional barcoding primers are known to be poorly conserved across some taxonomic groups.Results: We first design a new PCR primer within the highly variable mitochondrial COI region, the \" mlCOIintF\" primer. We then show that this newly designed forward primer combined with the \" jgHCO2198\" reverse primer to target a 313 bp fragment performs well across metazoan diversity, with higher success rates than versatile primer sets traditionally used for DNA barcoding (i.e. LCO1490/HCO2198). Finally, we demonstrate how the shorter COI fragment coupled with an efficient bioinformatics pipeline can be used to characterize species diversity from environmental samples by pyrosequencing. We examine the gut contents of three species of planktivorous and benthivorous coral reef fish (family: Apogonidae and Holocentridae). After the removal of dubious COI sequences, we obtained a total of 334 prey Operational Taxonomic Units (OTUs) belonging to 14 phyla from 16 fish guts. Of these, 52.5% matched a reference barcode (&gt;98% sequence similarity) and an additional 32% could be assigned to a higher taxonomic level using Bayesian assignment.Conclusions: The molecular analysis of gut contents targeting the 313 COI fragment using the newly designed mlCOIintF primer in combination with the jgHCO2198 primer offers enormous promise for metazoan metabarcoding studies. We believe that this primer set will be a valuable asset for a range of applications from large-scale biodiversity assessments to food web studies. © 2013 Leray et al.; licensee BioMed Central Ltd.","author":[{"dropping-particle":"","family":"Leray","given":"Matthieu","non-dropping-particle":"","parse-names":false,"suffix":""},{"dropping-particle":"","family":"Yang","given":"Joy Y.","non-dropping-particle":"","parse-names":false,"suffix":""},{"dropping-particle":"","family":"Meyer","given":"Christopher P.","non-dropping-particle":"","parse-names":false,"suffix":""},{"dropping-particle":"","family":"Mills","given":"Suzanne C.","non-dropping-particle":"","parse-names":false,"suffix":""},{"dropping-particle":"","family":"Agudelo","given":"Natalia","non-dropping-particle":"","parse-names":false,"suffix":""},{"dropping-particle":"","family":"Ranwez","given":"Vincent","non-dropping-particle":"","parse-names":false,"suffix":""},{"dropping-particle":"","family":"Boehm","given":"Joel T.","non-dropping-particle":"","parse-names":false,"suffix":""},{"dropping-particle":"","family":"Machida","given":"Ryuji J.","non-dropping-particle":"","parse-names":false,"suffix":""}],"container-title":"Frontiers in Zoology","id":"ITEM-1","issue":"1","issued":{"date-parts":[["2013"]]},"page":"1-14","title":"A new versatile primer set targeting a short fragment of the mitochondrial COI region for metabarcoding metazoan diversity: Application for characterizing coral reef fish gut contents","type":"article-journal","volume":"10"},"uris":["http://www.mendeley.com/documents/?uuid=f88618c9-a399-4e2a-91b2-762cd0cdb107","http://www.mendeley.com/documents/?uuid=e6f8f169-7a88-488e-8054-8d33a8f7a882"]}],"mendeley":{"formattedCitation":"(Leray et al., 2013)","plainTextFormattedCitation":"(Leray et al., 2013)","previouslyFormattedCitation":"(Leray et al., 2013)"},"properties":{"noteIndex":0},"schema":"https://github.com/citation-style-language/schema/raw/master/csl-citation.json"}</w:instrText>
      </w:r>
      <w:r>
        <w:fldChar w:fldCharType="separate"/>
      </w:r>
      <w:bookmarkStart w:id="2" w:name="__Fieldmark__1676_488555814"/>
      <w:r>
        <w:rPr>
          <w:color w:val="000000"/>
          <w:sz w:val="20"/>
          <w:szCs w:val="20"/>
        </w:rPr>
        <w:t>(Leray et al., 2013)</w:t>
      </w:r>
      <w:r>
        <w:fldChar w:fldCharType="end"/>
      </w:r>
      <w:bookmarkEnd w:id="2"/>
      <w:r>
        <w:rPr>
          <w:color w:val="000000"/>
          <w:sz w:val="20"/>
          <w:szCs w:val="20"/>
        </w:rPr>
        <w:t xml:space="preserve"> due to their suitability across a wide range of metazoan species. To identify other eukaryotic prey items, we used the 528F/706R primer set which amplifies </w:t>
      </w:r>
      <w:r>
        <w:rPr>
          <w:sz w:val="20"/>
          <w:szCs w:val="20"/>
        </w:rPr>
        <w:t xml:space="preserve">a 350 bp region </w:t>
      </w:r>
      <w:r>
        <w:rPr>
          <w:color w:val="000000"/>
          <w:sz w:val="20"/>
          <w:szCs w:val="20"/>
        </w:rPr>
        <w:t xml:space="preserve">of the 18S ribosomal RNA gene (Ho et al., 2017). The blocking primer CCAAAGAATCAGAATAAGTGTTGSpacerC3 was implemented in the COI assay to minimize the amplification of host DNA. Overhangs allowing the second PCR step were added to all amplification primers. PCR reactions were prepared with a final volume of 10µl containing 5µl Multiplex PCR Master Mix (Qiagen, Hilden, Germany), 0.2µl of each Primer, 2.8µl of genomic DNA plus either 1.8µl of primer blocking in the case of the COI PCR reactions or 1.8µl of sterilized </w:t>
      </w:r>
      <w:proofErr w:type="spellStart"/>
      <w:r>
        <w:rPr>
          <w:color w:val="000000"/>
          <w:sz w:val="20"/>
          <w:szCs w:val="20"/>
        </w:rPr>
        <w:t>milliQ</w:t>
      </w:r>
      <w:proofErr w:type="spellEnd"/>
      <w:r>
        <w:rPr>
          <w:color w:val="000000"/>
          <w:sz w:val="20"/>
          <w:szCs w:val="20"/>
        </w:rPr>
        <w:t xml:space="preserve"> water in the case of the 18S PCR reactions. The PCR program followed an initial denaturation step at 95ºC for 15min, 30 cycles of denaturation at 95ºC for 0.5 min, annealing at 50ºC or 58ºC (for the COI and 18S primer pairs, respectively) for 1min and extension at 72ºC for 1min, and a ﬁnal extension step at 72◦C for 10 min. PCR blanks were included in each run and confirmed the absence of contamination. To minimize amplification biases, three PCR replicates were preformed per sample. The success of all amplification reactions was confirmed by electrophoresis. PCR products per sample were then pooled and used as template for the remaining library preparation steps as described in Silva et al. (2020) at the </w:t>
      </w:r>
      <w:r w:rsidR="00AE6A12" w:rsidRPr="00F15FFA">
        <w:rPr>
          <w:color w:val="000000"/>
          <w:sz w:val="20"/>
          <w:szCs w:val="20"/>
        </w:rPr>
        <w:t xml:space="preserve">Centre for Molecular Analysis </w:t>
      </w:r>
      <w:r>
        <w:rPr>
          <w:color w:val="000000"/>
          <w:sz w:val="20"/>
          <w:szCs w:val="20"/>
        </w:rPr>
        <w:t>from CIBIO</w:t>
      </w:r>
      <w:r w:rsidR="00AE6A12">
        <w:rPr>
          <w:color w:val="000000"/>
          <w:sz w:val="20"/>
          <w:szCs w:val="20"/>
        </w:rPr>
        <w:t>-</w:t>
      </w:r>
      <w:proofErr w:type="spellStart"/>
      <w:r w:rsidR="00AE6A12">
        <w:rPr>
          <w:color w:val="000000"/>
          <w:sz w:val="20"/>
          <w:szCs w:val="20"/>
        </w:rPr>
        <w:t>InBIO</w:t>
      </w:r>
      <w:proofErr w:type="spellEnd"/>
      <w:r>
        <w:rPr>
          <w:color w:val="000000"/>
          <w:sz w:val="20"/>
          <w:szCs w:val="20"/>
        </w:rPr>
        <w:t xml:space="preserve"> as part of a service. The final libraries were sequenced in a </w:t>
      </w:r>
      <w:proofErr w:type="spellStart"/>
      <w:r>
        <w:rPr>
          <w:color w:val="000000"/>
          <w:sz w:val="20"/>
          <w:szCs w:val="20"/>
        </w:rPr>
        <w:t>MiSeq</w:t>
      </w:r>
      <w:proofErr w:type="spellEnd"/>
      <w:r>
        <w:rPr>
          <w:color w:val="000000"/>
          <w:sz w:val="20"/>
          <w:szCs w:val="20"/>
        </w:rPr>
        <w:t xml:space="preserve"> V2 2x250bp run with an estimated coverage of 5,000 reads per marker per sample.</w:t>
      </w:r>
    </w:p>
    <w:p w14:paraId="24315B6C" w14:textId="2865A13D" w:rsidR="00ED4836" w:rsidRDefault="00450526" w:rsidP="00D16C71">
      <w:pPr>
        <w:pStyle w:val="NormalWeb"/>
        <w:spacing w:beforeAutospacing="0" w:after="0" w:afterAutospacing="0" w:line="480" w:lineRule="auto"/>
        <w:ind w:firstLine="720"/>
        <w:rPr>
          <w:sz w:val="20"/>
          <w:szCs w:val="20"/>
        </w:rPr>
      </w:pPr>
      <w:r>
        <w:rPr>
          <w:color w:val="000000"/>
          <w:sz w:val="20"/>
          <w:szCs w:val="20"/>
        </w:rPr>
        <w:t xml:space="preserve">The dataset from each barcode was subject to a bioinformatic pipeline separately. Firstly, we used </w:t>
      </w:r>
      <w:proofErr w:type="spellStart"/>
      <w:r>
        <w:rPr>
          <w:color w:val="000000"/>
          <w:sz w:val="20"/>
          <w:szCs w:val="20"/>
        </w:rPr>
        <w:t>cutadapt</w:t>
      </w:r>
      <w:proofErr w:type="spellEnd"/>
      <w:r>
        <w:rPr>
          <w:color w:val="000000"/>
          <w:sz w:val="20"/>
          <w:szCs w:val="20"/>
        </w:rPr>
        <w:t xml:space="preserve"> (Martin, 2011) to trim adapter and primer sequence regions and exclude the resulting reads with less than 80 bp. Only paired reads staring with the correct primer sequence were kept. Secondly, we ran dada2 (Callahan et al., 2016) to filter out reads with ambiguous bases (e.g., N), merge pair-ended reads and eliminate PCR errors such as chimeric sequences before finally defining Amplicon Sequence </w:t>
      </w:r>
      <w:r>
        <w:rPr>
          <w:color w:val="000000"/>
          <w:sz w:val="20"/>
          <w:szCs w:val="20"/>
        </w:rPr>
        <w:lastRenderedPageBreak/>
        <w:t xml:space="preserve">Variants (ASVs). Taxonomic assignment was based on </w:t>
      </w:r>
      <w:proofErr w:type="spellStart"/>
      <w:r>
        <w:rPr>
          <w:color w:val="000000"/>
          <w:sz w:val="20"/>
          <w:szCs w:val="20"/>
        </w:rPr>
        <w:t>blastn</w:t>
      </w:r>
      <w:proofErr w:type="spellEnd"/>
      <w:r>
        <w:rPr>
          <w:color w:val="000000"/>
          <w:sz w:val="20"/>
          <w:szCs w:val="20"/>
        </w:rPr>
        <w:t xml:space="preserve"> runs (Camacho et al., 2008) against the nucleotide NCBI GenBank database (</w:t>
      </w:r>
      <w:hyperlink r:id="rId6">
        <w:r>
          <w:rPr>
            <w:rStyle w:val="InternetLink"/>
            <w:sz w:val="20"/>
            <w:szCs w:val="20"/>
          </w:rPr>
          <w:t>https://www.ncbi.nlm.nih.gov</w:t>
        </w:r>
      </w:hyperlink>
      <w:r>
        <w:rPr>
          <w:color w:val="000000"/>
          <w:sz w:val="20"/>
          <w:szCs w:val="20"/>
        </w:rPr>
        <w:t>) as well as the SILVA (</w:t>
      </w:r>
      <w:hyperlink r:id="rId7">
        <w:r>
          <w:rPr>
            <w:rStyle w:val="InternetLink"/>
            <w:sz w:val="20"/>
            <w:szCs w:val="20"/>
          </w:rPr>
          <w:t>https://www.arb-silva.de/</w:t>
        </w:r>
      </w:hyperlink>
      <w:r>
        <w:rPr>
          <w:color w:val="000000"/>
          <w:sz w:val="20"/>
          <w:szCs w:val="20"/>
        </w:rPr>
        <w:t>) and the BOLD (</w:t>
      </w:r>
      <w:hyperlink r:id="rId8">
        <w:r>
          <w:rPr>
            <w:rStyle w:val="InternetLink"/>
            <w:sz w:val="20"/>
            <w:szCs w:val="20"/>
          </w:rPr>
          <w:t>https://boldsystems.org/</w:t>
        </w:r>
      </w:hyperlink>
      <w:r>
        <w:rPr>
          <w:color w:val="000000"/>
          <w:sz w:val="20"/>
          <w:szCs w:val="20"/>
        </w:rPr>
        <w:t xml:space="preserve">) databases for the 18S and COI, respectively. The best match was chosen and in case multiple best matches the most common ancestor shared among them was chosen using custom python scripts </w:t>
      </w:r>
      <w:hyperlink r:id="rId9" w:history="1">
        <w:r w:rsidR="00780739" w:rsidRPr="004D2515">
          <w:rPr>
            <w:rStyle w:val="Hyperlink"/>
            <w:sz w:val="20"/>
            <w:szCs w:val="20"/>
          </w:rPr>
          <w:t>https://github.com/mcurto/eDNA_Metagenomics</w:t>
        </w:r>
      </w:hyperlink>
      <w:r>
        <w:rPr>
          <w:color w:val="000000"/>
          <w:sz w:val="20"/>
          <w:szCs w:val="20"/>
        </w:rPr>
        <w:t xml:space="preserve">). Taxonomy was assigned to each ASV at the highest resolution possible based on identity thresholds </w:t>
      </w:r>
      <w:r>
        <w:fldChar w:fldCharType="begin"/>
      </w:r>
      <w:r>
        <w:instrText>ADDIN CSL_CITATION {"citationItems":[{"id":"ITEM-1","itemData":{"DOI":"10.1101/2020.06.09.142521","abstract":"Traditional detection of aquatic invasive species, via morphological identification is often time-consuming and can require a high level of taxonomic expertise, leading to delayed mitigation responses. Environmental DNA (eDNA) detection approaches of multiple species using Illumina-based sequencing technology have been used to overcome these hindrances, but sample processing is often lengthy. More recently, portable nanopore sequencing technology has become available, which has the potential to make molecular detection of invasive species more widely accessible and to substantially decrease sample turnaround times. However, nanopore-sequenced reads have a much higher error rate than those produced by Illumina platforms, which has so far hindered the adoption of this technology. We provide a detailed laboratory protocol and bioinformatic tools to increase the reliability of nanopore sequencing to detect invasive species, and we test its application using invasive bivalves. We sampled water from sites with pre-existing bivalve occurrence and abundance data, and contrasting bivalve communities, in Italy and Portugal. We extracted, amplified and sequenced eDNA with a turnaround of 3.5 days. The majority of processed reads were ≥ 99 % identical to reference sequences. There were no taxa detected other than those known to occur. The lack of detections of some species at some sites could be explained by their known low abundances. This is the first reported use of MinION to detect aquatic invasive species from eDNA samples. The approach can be easily adapted for other metabarcoding applications, such as biodiversity assessment, ecosystem health assessment and diet studies.Competing Interest StatementThe authors have declared no competing interest.","author":[{"dropping-particle":"","family":"Egeter","given":"Bastian","non-dropping-particle":"","parse-names":false,"suffix":""},{"dropping-particle":"","family":"Veríssimo","given":"Joana","non-dropping-particle":"","parse-names":false,"suffix":""},{"dropping-particle":"","family":"Lopes-Lima","given":"Manuel","non-dropping-particle":"","parse-names":false,"suffix":""},{"dropping-particle":"","family":"Chaves","given":"Cátia","non-dropping-particle":"","parse-names":false,"suffix":""},{"dropping-particle":"","family":"Pinto","given":"Joana","non-dropping-particle":"","parse-names":false,"suffix":""},{"dropping-particle":"","family":"Riccardi","given":"Nicoletta","non-dropping-particle":"","parse-names":false,"suffix":""},{"dropping-particle":"","family":"Beja","given":"Pedro","non-dropping-particle":"","parse-names":false,"suffix":""},{"dropping-particle":"","family":"Fonseca","given":"Nuno A","non-dropping-particle":"","parse-names":false,"suffix":""}],"container-title":"bioRxiv","id":"ITEM-1","issued":{"date-parts":[["2020","1"]]},"page":"2020.06.09.142521","title":"Speeding up the detection of invasive aquatic species using environmental DNA and nanopore sequencing","type":"article-journal"},"uris":["http://www.mendeley.com/documents/?uuid=414370b1-583d-4792-9037-e90f6e858604","http://www.mendeley.com/documents/?uuid=ed606ab7-86ce-4446-a792-ed3aaf655645"]}],"mendeley":{"formattedCitation":"(Egeter et al., 2020)","plainTextFormattedCitation":"(Egeter et al., 2020)","previouslyFormattedCitation":"(Egeter et al., 2020)"},"properties":{"noteIndex":0},"schema":"https://github.com/citation-style-language/schema/raw/master/csl-citation.json"}</w:instrText>
      </w:r>
      <w:r>
        <w:fldChar w:fldCharType="separate"/>
      </w:r>
      <w:bookmarkStart w:id="3" w:name="__Fieldmark__1890_488555814"/>
      <w:r>
        <w:rPr>
          <w:color w:val="000000"/>
          <w:sz w:val="20"/>
          <w:szCs w:val="20"/>
        </w:rPr>
        <w:t>(Egeter et al., 2020)</w:t>
      </w:r>
      <w:r>
        <w:fldChar w:fldCharType="end"/>
      </w:r>
      <w:bookmarkEnd w:id="3"/>
      <w:r>
        <w:rPr>
          <w:color w:val="000000"/>
          <w:sz w:val="20"/>
          <w:szCs w:val="20"/>
        </w:rPr>
        <w:t xml:space="preserve">: 99% for species level, 97% for genus level, 95% for family level and 80-93% for higher-than-family level. To account for low-level background noise (contamination, sequencing artifacts or secondary predation), we applied two filters within each ASV, first we subtract the maximum number of reads obtained on the negative controls to each of the samples and second, we removed ASVs with a read count lower than 1% of the total number of reads of each PCR run. We controlled for contamination from the host DNA by eliminating ASVs assigned to </w:t>
      </w:r>
      <w:r>
        <w:rPr>
          <w:i/>
          <w:iCs/>
          <w:sz w:val="20"/>
          <w:szCs w:val="20"/>
        </w:rPr>
        <w:t>Oreochromis</w:t>
      </w:r>
      <w:r>
        <w:rPr>
          <w:sz w:val="20"/>
          <w:szCs w:val="20"/>
        </w:rPr>
        <w:t xml:space="preserve"> sp. After the above treatments, samples with read numbers &lt;500 were not included.</w:t>
      </w:r>
      <w:r w:rsidR="001D37E6">
        <w:t xml:space="preserve"> </w:t>
      </w:r>
      <w:r w:rsidR="0078433C" w:rsidRPr="001D37E6">
        <w:rPr>
          <w:sz w:val="20"/>
          <w:szCs w:val="20"/>
        </w:rPr>
        <w:t>After raw reads passed thought the bioinformatic pipeline, the 18S yielded 157900 reads (average of 4386 reads per ind.) whereas COI produced a lower count of 117486 (3357 reads per ind.).</w:t>
      </w:r>
    </w:p>
    <w:p w14:paraId="5DE77381" w14:textId="13470D9C" w:rsidR="00B76F4D" w:rsidRDefault="00B76F4D" w:rsidP="00B76F4D">
      <w:pPr>
        <w:pStyle w:val="NormalWeb"/>
        <w:spacing w:beforeAutospacing="0" w:after="0" w:afterAutospacing="0" w:line="480" w:lineRule="auto"/>
        <w:rPr>
          <w:sz w:val="20"/>
          <w:szCs w:val="20"/>
        </w:rPr>
      </w:pPr>
    </w:p>
    <w:p w14:paraId="27E1C2CF" w14:textId="4F0B9589" w:rsidR="00B76F4D" w:rsidRDefault="00B76F4D" w:rsidP="00B76F4D">
      <w:pPr>
        <w:pStyle w:val="NormalWeb"/>
        <w:spacing w:beforeAutospacing="0" w:after="0" w:afterAutospacing="0" w:line="480" w:lineRule="auto"/>
        <w:rPr>
          <w:sz w:val="20"/>
          <w:szCs w:val="20"/>
        </w:rPr>
      </w:pPr>
      <w:r>
        <w:rPr>
          <w:sz w:val="20"/>
          <w:szCs w:val="20"/>
        </w:rPr>
        <w:t>References</w:t>
      </w:r>
    </w:p>
    <w:p w14:paraId="4B9851F4" w14:textId="77777777" w:rsidR="00B76F4D" w:rsidRPr="002A4DC6"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r w:rsidRPr="002A4DC6">
        <w:rPr>
          <w:rFonts w:ascii="Times New Roman" w:hAnsi="Times New Roman" w:cs="Times New Roman"/>
          <w:sz w:val="20"/>
          <w:szCs w:val="20"/>
        </w:rPr>
        <w:t xml:space="preserve">Callahan, B. J., </w:t>
      </w:r>
      <w:proofErr w:type="spellStart"/>
      <w:r w:rsidRPr="002A4DC6">
        <w:rPr>
          <w:rFonts w:ascii="Times New Roman" w:hAnsi="Times New Roman" w:cs="Times New Roman"/>
          <w:sz w:val="20"/>
          <w:szCs w:val="20"/>
        </w:rPr>
        <w:t>McMurdie</w:t>
      </w:r>
      <w:proofErr w:type="spellEnd"/>
      <w:r w:rsidRPr="002A4DC6">
        <w:rPr>
          <w:rFonts w:ascii="Times New Roman" w:hAnsi="Times New Roman" w:cs="Times New Roman"/>
          <w:sz w:val="20"/>
          <w:szCs w:val="20"/>
        </w:rPr>
        <w:t xml:space="preserve">, P. J., Rosen, M. J., Han, A. W., Johnson, A. J. A., &amp; Holmes, S. P. (2016). DADA2: High-resolution sample inference from Illumina amplicon data. </w:t>
      </w:r>
      <w:r w:rsidRPr="002A4DC6">
        <w:rPr>
          <w:rFonts w:ascii="Times New Roman" w:hAnsi="Times New Roman" w:cs="Times New Roman"/>
          <w:i/>
          <w:iCs/>
          <w:sz w:val="20"/>
          <w:szCs w:val="20"/>
        </w:rPr>
        <w:t>Nature Methods</w:t>
      </w:r>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13</w:t>
      </w:r>
      <w:r w:rsidRPr="002A4DC6">
        <w:rPr>
          <w:rFonts w:ascii="Times New Roman" w:hAnsi="Times New Roman" w:cs="Times New Roman"/>
          <w:sz w:val="20"/>
          <w:szCs w:val="20"/>
        </w:rPr>
        <w:t xml:space="preserve">, 7, 581–583. </w:t>
      </w:r>
      <w:hyperlink r:id="rId10" w:history="1">
        <w:r w:rsidRPr="002A4DC6">
          <w:rPr>
            <w:rStyle w:val="Hyperlink"/>
            <w:rFonts w:ascii="Times New Roman" w:hAnsi="Times New Roman" w:cs="Times New Roman"/>
            <w:sz w:val="20"/>
            <w:szCs w:val="20"/>
          </w:rPr>
          <w:t>https://doi.org/10.1038/NMETH.3869</w:t>
        </w:r>
      </w:hyperlink>
    </w:p>
    <w:p w14:paraId="2D8CD95B" w14:textId="272B325E" w:rsidR="00B76F4D" w:rsidRDefault="00B76F4D" w:rsidP="00B76F4D">
      <w:pPr>
        <w:widowControl w:val="0"/>
        <w:autoSpaceDE w:val="0"/>
        <w:autoSpaceDN w:val="0"/>
        <w:adjustRightInd w:val="0"/>
        <w:spacing w:after="0" w:line="280" w:lineRule="exact"/>
        <w:ind w:left="480" w:hanging="480"/>
        <w:rPr>
          <w:rStyle w:val="Hyperlink"/>
          <w:rFonts w:ascii="Times New Roman" w:hAnsi="Times New Roman" w:cs="Times New Roman"/>
          <w:sz w:val="20"/>
          <w:szCs w:val="20"/>
        </w:rPr>
      </w:pPr>
      <w:r w:rsidRPr="002A4DC6">
        <w:rPr>
          <w:rFonts w:ascii="Times New Roman" w:hAnsi="Times New Roman" w:cs="Times New Roman"/>
          <w:sz w:val="20"/>
          <w:szCs w:val="20"/>
        </w:rPr>
        <w:t xml:space="preserve">Camacho, C., </w:t>
      </w:r>
      <w:proofErr w:type="spellStart"/>
      <w:r w:rsidRPr="002A4DC6">
        <w:rPr>
          <w:rFonts w:ascii="Times New Roman" w:hAnsi="Times New Roman" w:cs="Times New Roman"/>
          <w:sz w:val="20"/>
          <w:szCs w:val="20"/>
        </w:rPr>
        <w:t>Coulouris</w:t>
      </w:r>
      <w:proofErr w:type="spellEnd"/>
      <w:r w:rsidRPr="002A4DC6">
        <w:rPr>
          <w:rFonts w:ascii="Times New Roman" w:hAnsi="Times New Roman" w:cs="Times New Roman"/>
          <w:sz w:val="20"/>
          <w:szCs w:val="20"/>
        </w:rPr>
        <w:t xml:space="preserve">, G., Avagyan, V., Ma, N., Papadopoulos, J., </w:t>
      </w:r>
      <w:proofErr w:type="spellStart"/>
      <w:r w:rsidRPr="002A4DC6">
        <w:rPr>
          <w:rFonts w:ascii="Times New Roman" w:hAnsi="Times New Roman" w:cs="Times New Roman"/>
          <w:sz w:val="20"/>
          <w:szCs w:val="20"/>
        </w:rPr>
        <w:t>Bealer</w:t>
      </w:r>
      <w:proofErr w:type="spellEnd"/>
      <w:r w:rsidRPr="002A4DC6">
        <w:rPr>
          <w:rFonts w:ascii="Times New Roman" w:hAnsi="Times New Roman" w:cs="Times New Roman"/>
          <w:sz w:val="20"/>
          <w:szCs w:val="20"/>
        </w:rPr>
        <w:t xml:space="preserve">, K., &amp; Madden, T. L. (2009). BLAST+: Architecture and applications. </w:t>
      </w:r>
      <w:r w:rsidRPr="002A4DC6">
        <w:rPr>
          <w:rFonts w:ascii="Times New Roman" w:hAnsi="Times New Roman" w:cs="Times New Roman"/>
          <w:i/>
          <w:iCs/>
          <w:sz w:val="20"/>
          <w:szCs w:val="20"/>
        </w:rPr>
        <w:t>BMC Bioinformatics</w:t>
      </w:r>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10</w:t>
      </w:r>
      <w:r w:rsidRPr="002A4DC6">
        <w:rPr>
          <w:rFonts w:ascii="Times New Roman" w:hAnsi="Times New Roman" w:cs="Times New Roman"/>
          <w:sz w:val="20"/>
          <w:szCs w:val="20"/>
        </w:rPr>
        <w:t xml:space="preserve">, 1–9. </w:t>
      </w:r>
      <w:hyperlink r:id="rId11" w:history="1">
        <w:r w:rsidRPr="002A4DC6">
          <w:rPr>
            <w:rStyle w:val="Hyperlink"/>
            <w:rFonts w:ascii="Times New Roman" w:hAnsi="Times New Roman" w:cs="Times New Roman"/>
            <w:sz w:val="20"/>
            <w:szCs w:val="20"/>
          </w:rPr>
          <w:t>https://doi.org/10.1186/1471-2105-10-421</w:t>
        </w:r>
      </w:hyperlink>
    </w:p>
    <w:p w14:paraId="3F3819D7" w14:textId="0A40F8DB" w:rsidR="00B76F4D"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proofErr w:type="spellStart"/>
      <w:r w:rsidRPr="00B76F4D">
        <w:rPr>
          <w:rFonts w:ascii="Times New Roman" w:hAnsi="Times New Roman" w:cs="Times New Roman"/>
          <w:sz w:val="20"/>
          <w:szCs w:val="20"/>
        </w:rPr>
        <w:t>Egeter</w:t>
      </w:r>
      <w:proofErr w:type="spellEnd"/>
      <w:r w:rsidRPr="00B76F4D">
        <w:rPr>
          <w:rFonts w:ascii="Times New Roman" w:hAnsi="Times New Roman" w:cs="Times New Roman"/>
          <w:sz w:val="20"/>
          <w:szCs w:val="20"/>
        </w:rPr>
        <w:t xml:space="preserve">, B., </w:t>
      </w:r>
      <w:proofErr w:type="spellStart"/>
      <w:r w:rsidRPr="00B76F4D">
        <w:rPr>
          <w:rFonts w:ascii="Times New Roman" w:hAnsi="Times New Roman" w:cs="Times New Roman"/>
          <w:sz w:val="20"/>
          <w:szCs w:val="20"/>
        </w:rPr>
        <w:t>Veríssimo</w:t>
      </w:r>
      <w:proofErr w:type="spellEnd"/>
      <w:r w:rsidRPr="00B76F4D">
        <w:rPr>
          <w:rFonts w:ascii="Times New Roman" w:hAnsi="Times New Roman" w:cs="Times New Roman"/>
          <w:sz w:val="20"/>
          <w:szCs w:val="20"/>
        </w:rPr>
        <w:t xml:space="preserve">, J., Lopes‐Lima, M., Chaves, C., Pinto, J., </w:t>
      </w:r>
      <w:proofErr w:type="spellStart"/>
      <w:r w:rsidRPr="00B76F4D">
        <w:rPr>
          <w:rFonts w:ascii="Times New Roman" w:hAnsi="Times New Roman" w:cs="Times New Roman"/>
          <w:sz w:val="20"/>
          <w:szCs w:val="20"/>
        </w:rPr>
        <w:t>Riccardi</w:t>
      </w:r>
      <w:proofErr w:type="spellEnd"/>
      <w:r w:rsidRPr="00B76F4D">
        <w:rPr>
          <w:rFonts w:ascii="Times New Roman" w:hAnsi="Times New Roman" w:cs="Times New Roman"/>
          <w:sz w:val="20"/>
          <w:szCs w:val="20"/>
        </w:rPr>
        <w:t xml:space="preserve">, N., </w:t>
      </w:r>
      <w:r>
        <w:rPr>
          <w:rFonts w:ascii="Times New Roman" w:hAnsi="Times New Roman" w:cs="Times New Roman"/>
          <w:sz w:val="20"/>
          <w:szCs w:val="20"/>
        </w:rPr>
        <w:t>Beja, P.,</w:t>
      </w:r>
      <w:r w:rsidRPr="00B76F4D">
        <w:rPr>
          <w:rFonts w:ascii="Times New Roman" w:hAnsi="Times New Roman" w:cs="Times New Roman"/>
          <w:sz w:val="20"/>
          <w:szCs w:val="20"/>
        </w:rPr>
        <w:t xml:space="preserve"> &amp; Fonseca, N. A. (2022). Speeding up the detection of invasive bivalve species using environmental DNA: A Nanopore and Illumina sequencing comparison. </w:t>
      </w:r>
      <w:r w:rsidRPr="00B76F4D">
        <w:rPr>
          <w:rFonts w:ascii="Times New Roman" w:hAnsi="Times New Roman" w:cs="Times New Roman"/>
          <w:i/>
          <w:iCs/>
          <w:sz w:val="20"/>
          <w:szCs w:val="20"/>
        </w:rPr>
        <w:t>Molecular Ecology Resources</w:t>
      </w:r>
      <w:r w:rsidRPr="00B76F4D">
        <w:rPr>
          <w:rFonts w:ascii="Times New Roman" w:hAnsi="Times New Roman" w:cs="Times New Roman"/>
          <w:sz w:val="20"/>
          <w:szCs w:val="20"/>
        </w:rPr>
        <w:t xml:space="preserve">, </w:t>
      </w:r>
      <w:r w:rsidRPr="00B76F4D">
        <w:rPr>
          <w:rFonts w:ascii="Times New Roman" w:hAnsi="Times New Roman" w:cs="Times New Roman"/>
          <w:i/>
          <w:iCs/>
          <w:sz w:val="20"/>
          <w:szCs w:val="20"/>
        </w:rPr>
        <w:t>22</w:t>
      </w:r>
      <w:r>
        <w:rPr>
          <w:rFonts w:ascii="Times New Roman" w:hAnsi="Times New Roman" w:cs="Times New Roman"/>
          <w:i/>
          <w:iCs/>
          <w:sz w:val="20"/>
          <w:szCs w:val="20"/>
        </w:rPr>
        <w:t xml:space="preserve">, </w:t>
      </w:r>
      <w:r w:rsidRPr="00B76F4D">
        <w:rPr>
          <w:rFonts w:ascii="Times New Roman" w:hAnsi="Times New Roman" w:cs="Times New Roman"/>
          <w:sz w:val="20"/>
          <w:szCs w:val="20"/>
        </w:rPr>
        <w:t>6, 2232-2247.</w:t>
      </w:r>
      <w:r>
        <w:rPr>
          <w:rFonts w:ascii="Times New Roman" w:hAnsi="Times New Roman" w:cs="Times New Roman"/>
          <w:sz w:val="20"/>
          <w:szCs w:val="20"/>
        </w:rPr>
        <w:t xml:space="preserve"> </w:t>
      </w:r>
      <w:hyperlink r:id="rId12" w:history="1">
        <w:r w:rsidRPr="0013547D">
          <w:rPr>
            <w:rStyle w:val="Hyperlink"/>
            <w:rFonts w:ascii="Times New Roman" w:hAnsi="Times New Roman" w:cs="Times New Roman"/>
            <w:sz w:val="20"/>
            <w:szCs w:val="20"/>
          </w:rPr>
          <w:t>https://doi.org/10.1111/1755-0998.13610</w:t>
        </w:r>
      </w:hyperlink>
    </w:p>
    <w:p w14:paraId="6DFD1E70" w14:textId="77777777" w:rsidR="00B76F4D" w:rsidRPr="002A4DC6"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r w:rsidRPr="002A4DC6">
        <w:rPr>
          <w:rFonts w:ascii="Times New Roman" w:hAnsi="Times New Roman" w:cs="Times New Roman"/>
          <w:sz w:val="20"/>
          <w:szCs w:val="20"/>
        </w:rPr>
        <w:t xml:space="preserve">Félix, P. M., </w:t>
      </w:r>
      <w:proofErr w:type="spellStart"/>
      <w:r w:rsidRPr="002A4DC6">
        <w:rPr>
          <w:rFonts w:ascii="Times New Roman" w:hAnsi="Times New Roman" w:cs="Times New Roman"/>
          <w:sz w:val="20"/>
          <w:szCs w:val="20"/>
        </w:rPr>
        <w:t>Chainho</w:t>
      </w:r>
      <w:proofErr w:type="spellEnd"/>
      <w:r w:rsidRPr="002A4DC6">
        <w:rPr>
          <w:rFonts w:ascii="Times New Roman" w:hAnsi="Times New Roman" w:cs="Times New Roman"/>
          <w:sz w:val="20"/>
          <w:szCs w:val="20"/>
        </w:rPr>
        <w:t xml:space="preserve">, P., Lima, R. F., Costa, J. L., Almeida, A. J., </w:t>
      </w:r>
      <w:proofErr w:type="spellStart"/>
      <w:r w:rsidRPr="002A4DC6">
        <w:rPr>
          <w:rFonts w:ascii="Times New Roman" w:hAnsi="Times New Roman" w:cs="Times New Roman"/>
          <w:sz w:val="20"/>
          <w:szCs w:val="20"/>
        </w:rPr>
        <w:t>Domingos</w:t>
      </w:r>
      <w:proofErr w:type="spellEnd"/>
      <w:r w:rsidRPr="002A4DC6">
        <w:rPr>
          <w:rFonts w:ascii="Times New Roman" w:hAnsi="Times New Roman" w:cs="Times New Roman"/>
          <w:sz w:val="20"/>
          <w:szCs w:val="20"/>
        </w:rPr>
        <w:t xml:space="preserve">, I., &amp; Brito, A. C. (2017). Mangrove fish of São Tomé Island (Gulf of Guinea): New occurrences and habitat usage. </w:t>
      </w:r>
      <w:r w:rsidRPr="002A4DC6">
        <w:rPr>
          <w:rFonts w:ascii="Times New Roman" w:hAnsi="Times New Roman" w:cs="Times New Roman"/>
          <w:i/>
          <w:iCs/>
          <w:sz w:val="20"/>
          <w:szCs w:val="20"/>
        </w:rPr>
        <w:t>Marine and Freshwater Research</w:t>
      </w:r>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 xml:space="preserve">68, </w:t>
      </w:r>
      <w:r w:rsidRPr="002A4DC6">
        <w:rPr>
          <w:rFonts w:ascii="Times New Roman" w:hAnsi="Times New Roman" w:cs="Times New Roman"/>
          <w:sz w:val="20"/>
          <w:szCs w:val="20"/>
        </w:rPr>
        <w:t xml:space="preserve">1, 123–130. </w:t>
      </w:r>
      <w:hyperlink r:id="rId13" w:history="1">
        <w:r w:rsidRPr="002A4DC6">
          <w:rPr>
            <w:rStyle w:val="Hyperlink"/>
            <w:rFonts w:ascii="Times New Roman" w:hAnsi="Times New Roman" w:cs="Times New Roman"/>
            <w:sz w:val="20"/>
            <w:szCs w:val="20"/>
          </w:rPr>
          <w:t>https://doi.org/10.1071/MF15392</w:t>
        </w:r>
      </w:hyperlink>
    </w:p>
    <w:p w14:paraId="2A1A7D77" w14:textId="77777777" w:rsidR="00B76F4D" w:rsidRPr="002A4DC6"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r w:rsidRPr="002A4DC6">
        <w:rPr>
          <w:rFonts w:ascii="Times New Roman" w:hAnsi="Times New Roman" w:cs="Times New Roman"/>
          <w:sz w:val="20"/>
          <w:szCs w:val="20"/>
        </w:rPr>
        <w:t xml:space="preserve">Ho, T. W., Hwang, J. S., Cheung, M. K., Kwan, H. S., &amp; Wong, C. K. (2017). DNA-based study of the diet of the marine calanoid copepod Calanus </w:t>
      </w:r>
      <w:proofErr w:type="spellStart"/>
      <w:r w:rsidRPr="002A4DC6">
        <w:rPr>
          <w:rFonts w:ascii="Times New Roman" w:hAnsi="Times New Roman" w:cs="Times New Roman"/>
          <w:sz w:val="20"/>
          <w:szCs w:val="20"/>
        </w:rPr>
        <w:t>sinicus</w:t>
      </w:r>
      <w:proofErr w:type="spellEnd"/>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Journal of Experimental Marine Biology and Ecology</w:t>
      </w:r>
      <w:r w:rsidRPr="002A4DC6">
        <w:rPr>
          <w:rFonts w:ascii="Times New Roman" w:hAnsi="Times New Roman" w:cs="Times New Roman"/>
          <w:sz w:val="20"/>
          <w:szCs w:val="20"/>
        </w:rPr>
        <w:t xml:space="preserve">, 494, 1–9. </w:t>
      </w:r>
      <w:hyperlink r:id="rId14" w:history="1">
        <w:r w:rsidRPr="002A4DC6">
          <w:rPr>
            <w:rStyle w:val="Hyperlink"/>
            <w:rFonts w:ascii="Times New Roman" w:hAnsi="Times New Roman" w:cs="Times New Roman"/>
            <w:sz w:val="20"/>
            <w:szCs w:val="20"/>
          </w:rPr>
          <w:t>https://doi.org/10.1016/j.jembe.2017.04.004</w:t>
        </w:r>
      </w:hyperlink>
    </w:p>
    <w:p w14:paraId="554BF47A" w14:textId="77777777" w:rsidR="00B76F4D" w:rsidRPr="002A4DC6"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proofErr w:type="spellStart"/>
      <w:r w:rsidRPr="002A4DC6">
        <w:rPr>
          <w:rFonts w:ascii="Times New Roman" w:hAnsi="Times New Roman" w:cs="Times New Roman"/>
          <w:sz w:val="20"/>
          <w:szCs w:val="20"/>
        </w:rPr>
        <w:t>Leray</w:t>
      </w:r>
      <w:proofErr w:type="spellEnd"/>
      <w:r w:rsidRPr="002A4DC6">
        <w:rPr>
          <w:rFonts w:ascii="Times New Roman" w:hAnsi="Times New Roman" w:cs="Times New Roman"/>
          <w:sz w:val="20"/>
          <w:szCs w:val="20"/>
        </w:rPr>
        <w:t xml:space="preserve">, M., Yang, J. Y., Meyer, C. P., Mills, S. C., </w:t>
      </w:r>
      <w:proofErr w:type="spellStart"/>
      <w:r w:rsidRPr="002A4DC6">
        <w:rPr>
          <w:rFonts w:ascii="Times New Roman" w:hAnsi="Times New Roman" w:cs="Times New Roman"/>
          <w:sz w:val="20"/>
          <w:szCs w:val="20"/>
        </w:rPr>
        <w:t>Agudelo</w:t>
      </w:r>
      <w:proofErr w:type="spellEnd"/>
      <w:r w:rsidRPr="002A4DC6">
        <w:rPr>
          <w:rFonts w:ascii="Times New Roman" w:hAnsi="Times New Roman" w:cs="Times New Roman"/>
          <w:sz w:val="20"/>
          <w:szCs w:val="20"/>
        </w:rPr>
        <w:t xml:space="preserve">, N., </w:t>
      </w:r>
      <w:proofErr w:type="spellStart"/>
      <w:r w:rsidRPr="002A4DC6">
        <w:rPr>
          <w:rFonts w:ascii="Times New Roman" w:hAnsi="Times New Roman" w:cs="Times New Roman"/>
          <w:sz w:val="20"/>
          <w:szCs w:val="20"/>
        </w:rPr>
        <w:t>Ranwez</w:t>
      </w:r>
      <w:proofErr w:type="spellEnd"/>
      <w:r w:rsidRPr="002A4DC6">
        <w:rPr>
          <w:rFonts w:ascii="Times New Roman" w:hAnsi="Times New Roman" w:cs="Times New Roman"/>
          <w:sz w:val="20"/>
          <w:szCs w:val="20"/>
        </w:rPr>
        <w:t xml:space="preserve">, V., Boehm, J. T., &amp; Machida, R. J. (2013). A new versatile primer set targeting a short fragment of the mitochondrial COI region for metabarcoding metazoan diversity: Application for characterizing coral reef fish gut contents. </w:t>
      </w:r>
      <w:r w:rsidRPr="002A4DC6">
        <w:rPr>
          <w:rFonts w:ascii="Times New Roman" w:hAnsi="Times New Roman" w:cs="Times New Roman"/>
          <w:i/>
          <w:iCs/>
          <w:sz w:val="20"/>
          <w:szCs w:val="20"/>
        </w:rPr>
        <w:t>Frontiers in Zoology</w:t>
      </w:r>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 xml:space="preserve">10, </w:t>
      </w:r>
      <w:r w:rsidRPr="002A4DC6">
        <w:rPr>
          <w:rFonts w:ascii="Times New Roman" w:hAnsi="Times New Roman" w:cs="Times New Roman"/>
          <w:sz w:val="20"/>
          <w:szCs w:val="20"/>
        </w:rPr>
        <w:t xml:space="preserve">1, 1–14. </w:t>
      </w:r>
      <w:hyperlink r:id="rId15" w:history="1">
        <w:r w:rsidRPr="002A4DC6">
          <w:rPr>
            <w:rStyle w:val="Hyperlink"/>
            <w:rFonts w:ascii="Times New Roman" w:hAnsi="Times New Roman" w:cs="Times New Roman"/>
            <w:sz w:val="20"/>
            <w:szCs w:val="20"/>
          </w:rPr>
          <w:t>https://doi.org/10.1186/1742-9994-10-34</w:t>
        </w:r>
      </w:hyperlink>
    </w:p>
    <w:p w14:paraId="7B4A1960" w14:textId="73AFA6BC" w:rsidR="00D16C71" w:rsidRPr="00B76F4D" w:rsidRDefault="00B76F4D" w:rsidP="00B76F4D">
      <w:pPr>
        <w:widowControl w:val="0"/>
        <w:autoSpaceDE w:val="0"/>
        <w:autoSpaceDN w:val="0"/>
        <w:adjustRightInd w:val="0"/>
        <w:spacing w:after="0" w:line="280" w:lineRule="exact"/>
        <w:ind w:left="480" w:hanging="480"/>
        <w:rPr>
          <w:rFonts w:ascii="Times New Roman" w:hAnsi="Times New Roman" w:cs="Times New Roman"/>
          <w:sz w:val="20"/>
          <w:szCs w:val="20"/>
        </w:rPr>
      </w:pPr>
      <w:r w:rsidRPr="002A4DC6">
        <w:rPr>
          <w:rFonts w:ascii="Times New Roman" w:hAnsi="Times New Roman" w:cs="Times New Roman"/>
          <w:sz w:val="20"/>
          <w:szCs w:val="20"/>
        </w:rPr>
        <w:t xml:space="preserve">Martin, M. (2011). </w:t>
      </w:r>
      <w:proofErr w:type="spellStart"/>
      <w:r w:rsidRPr="002A4DC6">
        <w:rPr>
          <w:rFonts w:ascii="Times New Roman" w:hAnsi="Times New Roman" w:cs="Times New Roman"/>
          <w:sz w:val="20"/>
          <w:szCs w:val="20"/>
        </w:rPr>
        <w:t>Cutadapt</w:t>
      </w:r>
      <w:proofErr w:type="spellEnd"/>
      <w:r w:rsidRPr="002A4DC6">
        <w:rPr>
          <w:rFonts w:ascii="Times New Roman" w:hAnsi="Times New Roman" w:cs="Times New Roman"/>
          <w:sz w:val="20"/>
          <w:szCs w:val="20"/>
        </w:rPr>
        <w:t xml:space="preserve"> removes adapter sequences from high-throughput sequencing reads. </w:t>
      </w:r>
      <w:proofErr w:type="spellStart"/>
      <w:r w:rsidRPr="002A4DC6">
        <w:rPr>
          <w:rFonts w:ascii="Times New Roman" w:hAnsi="Times New Roman" w:cs="Times New Roman"/>
          <w:i/>
          <w:iCs/>
          <w:sz w:val="20"/>
          <w:szCs w:val="20"/>
        </w:rPr>
        <w:t>EMBnet.Journal</w:t>
      </w:r>
      <w:proofErr w:type="spellEnd"/>
      <w:r w:rsidRPr="002A4DC6">
        <w:rPr>
          <w:rFonts w:ascii="Times New Roman" w:hAnsi="Times New Roman" w:cs="Times New Roman"/>
          <w:sz w:val="20"/>
          <w:szCs w:val="20"/>
        </w:rPr>
        <w:t xml:space="preserve">, </w:t>
      </w:r>
      <w:r w:rsidRPr="002A4DC6">
        <w:rPr>
          <w:rFonts w:ascii="Times New Roman" w:hAnsi="Times New Roman" w:cs="Times New Roman"/>
          <w:i/>
          <w:iCs/>
          <w:sz w:val="20"/>
          <w:szCs w:val="20"/>
        </w:rPr>
        <w:t>17</w:t>
      </w:r>
      <w:r w:rsidRPr="002A4DC6">
        <w:rPr>
          <w:rFonts w:ascii="Times New Roman" w:hAnsi="Times New Roman" w:cs="Times New Roman"/>
          <w:sz w:val="20"/>
          <w:szCs w:val="20"/>
        </w:rPr>
        <w:t>, 10–12.</w:t>
      </w:r>
    </w:p>
    <w:sectPr w:rsidR="00D16C71" w:rsidRPr="00B76F4D" w:rsidSect="00B5297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3DDC" w14:textId="77777777" w:rsidR="00822664" w:rsidRDefault="00822664" w:rsidP="009205B2">
      <w:pPr>
        <w:spacing w:after="0" w:line="240" w:lineRule="auto"/>
      </w:pPr>
      <w:r>
        <w:separator/>
      </w:r>
    </w:p>
  </w:endnote>
  <w:endnote w:type="continuationSeparator" w:id="0">
    <w:p w14:paraId="29C7698F" w14:textId="77777777" w:rsidR="00822664" w:rsidRDefault="00822664" w:rsidP="00920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97E82" w14:textId="77777777" w:rsidR="00822664" w:rsidRDefault="00822664" w:rsidP="009205B2">
      <w:pPr>
        <w:spacing w:after="0" w:line="240" w:lineRule="auto"/>
      </w:pPr>
      <w:r>
        <w:separator/>
      </w:r>
    </w:p>
  </w:footnote>
  <w:footnote w:type="continuationSeparator" w:id="0">
    <w:p w14:paraId="513EC835" w14:textId="77777777" w:rsidR="00822664" w:rsidRDefault="00822664" w:rsidP="009205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F2"/>
    <w:rsid w:val="000760B4"/>
    <w:rsid w:val="000B3869"/>
    <w:rsid w:val="00166A43"/>
    <w:rsid w:val="00197A52"/>
    <w:rsid w:val="001D37E6"/>
    <w:rsid w:val="00383C00"/>
    <w:rsid w:val="004178B4"/>
    <w:rsid w:val="004261EC"/>
    <w:rsid w:val="00450526"/>
    <w:rsid w:val="004A2B8C"/>
    <w:rsid w:val="005E61D7"/>
    <w:rsid w:val="006A27DE"/>
    <w:rsid w:val="00780739"/>
    <w:rsid w:val="0078433C"/>
    <w:rsid w:val="007D1792"/>
    <w:rsid w:val="00822664"/>
    <w:rsid w:val="009205B2"/>
    <w:rsid w:val="00943707"/>
    <w:rsid w:val="009857F2"/>
    <w:rsid w:val="00AE6A12"/>
    <w:rsid w:val="00B52972"/>
    <w:rsid w:val="00B76F4D"/>
    <w:rsid w:val="00BA2B9B"/>
    <w:rsid w:val="00BB516C"/>
    <w:rsid w:val="00BF19C0"/>
    <w:rsid w:val="00C526BF"/>
    <w:rsid w:val="00CF5053"/>
    <w:rsid w:val="00D16C71"/>
    <w:rsid w:val="00D93B0A"/>
    <w:rsid w:val="00E10F10"/>
    <w:rsid w:val="00ED4836"/>
    <w:rsid w:val="00F029A8"/>
    <w:rsid w:val="00F142F2"/>
    <w:rsid w:val="00F90167"/>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75DD6"/>
  <w15:chartTrackingRefBased/>
  <w15:docId w15:val="{9FD7D9F2-9C58-4506-8165-8728C0A4C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857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9857F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qFormat/>
    <w:rsid w:val="009857F2"/>
    <w:pPr>
      <w:spacing w:beforeAutospacing="1" w:afterAutospacing="1" w:line="240" w:lineRule="auto"/>
    </w:pPr>
    <w:rPr>
      <w:rFonts w:ascii="Times New Roman" w:eastAsia="Times New Roman" w:hAnsi="Times New Roman" w:cs="Times New Roman"/>
      <w:sz w:val="24"/>
      <w:szCs w:val="24"/>
      <w:lang w:eastAsia="pt-PT"/>
    </w:rPr>
  </w:style>
  <w:style w:type="character" w:customStyle="1" w:styleId="cf01">
    <w:name w:val="cf01"/>
    <w:basedOn w:val="DefaultParagraphFont"/>
    <w:rsid w:val="009857F2"/>
    <w:rPr>
      <w:rFonts w:ascii="Segoe UI" w:hAnsi="Segoe UI" w:cs="Segoe UI" w:hint="default"/>
      <w:sz w:val="18"/>
      <w:szCs w:val="18"/>
    </w:rPr>
  </w:style>
  <w:style w:type="character" w:customStyle="1" w:styleId="InternetLink">
    <w:name w:val="Internet Link"/>
    <w:basedOn w:val="DefaultParagraphFont"/>
    <w:uiPriority w:val="99"/>
    <w:unhideWhenUsed/>
    <w:rsid w:val="00450526"/>
    <w:rPr>
      <w:color w:val="0563C1" w:themeColor="hyperlink"/>
      <w:u w:val="single"/>
    </w:rPr>
  </w:style>
  <w:style w:type="paragraph" w:styleId="Header">
    <w:name w:val="header"/>
    <w:basedOn w:val="Normal"/>
    <w:link w:val="HeaderChar"/>
    <w:uiPriority w:val="99"/>
    <w:unhideWhenUsed/>
    <w:rsid w:val="009205B2"/>
    <w:pPr>
      <w:tabs>
        <w:tab w:val="center" w:pos="4419"/>
        <w:tab w:val="right" w:pos="8838"/>
      </w:tabs>
      <w:spacing w:after="0" w:line="240" w:lineRule="auto"/>
    </w:pPr>
  </w:style>
  <w:style w:type="character" w:customStyle="1" w:styleId="HeaderChar">
    <w:name w:val="Header Char"/>
    <w:basedOn w:val="DefaultParagraphFont"/>
    <w:link w:val="Header"/>
    <w:uiPriority w:val="99"/>
    <w:rsid w:val="009205B2"/>
  </w:style>
  <w:style w:type="paragraph" w:styleId="Footer">
    <w:name w:val="footer"/>
    <w:basedOn w:val="Normal"/>
    <w:link w:val="FooterChar"/>
    <w:uiPriority w:val="99"/>
    <w:unhideWhenUsed/>
    <w:rsid w:val="009205B2"/>
    <w:pPr>
      <w:tabs>
        <w:tab w:val="center" w:pos="4419"/>
        <w:tab w:val="right" w:pos="8838"/>
      </w:tabs>
      <w:spacing w:after="0" w:line="240" w:lineRule="auto"/>
    </w:pPr>
  </w:style>
  <w:style w:type="character" w:customStyle="1" w:styleId="FooterChar">
    <w:name w:val="Footer Char"/>
    <w:basedOn w:val="DefaultParagraphFont"/>
    <w:link w:val="Footer"/>
    <w:uiPriority w:val="99"/>
    <w:rsid w:val="009205B2"/>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80739"/>
    <w:rPr>
      <w:color w:val="0563C1" w:themeColor="hyperlink"/>
      <w:u w:val="single"/>
    </w:rPr>
  </w:style>
  <w:style w:type="character" w:styleId="UnresolvedMention">
    <w:name w:val="Unresolved Mention"/>
    <w:basedOn w:val="DefaultParagraphFont"/>
    <w:uiPriority w:val="99"/>
    <w:semiHidden/>
    <w:unhideWhenUsed/>
    <w:rsid w:val="00780739"/>
    <w:rPr>
      <w:color w:val="605E5C"/>
      <w:shd w:val="clear" w:color="auto" w:fill="E1DFDD"/>
    </w:rPr>
  </w:style>
  <w:style w:type="character" w:styleId="Strong">
    <w:name w:val="Strong"/>
    <w:basedOn w:val="DefaultParagraphFont"/>
    <w:uiPriority w:val="22"/>
    <w:qFormat/>
    <w:rsid w:val="005E61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102122">
      <w:bodyDiv w:val="1"/>
      <w:marLeft w:val="0"/>
      <w:marRight w:val="0"/>
      <w:marTop w:val="0"/>
      <w:marBottom w:val="0"/>
      <w:divBdr>
        <w:top w:val="none" w:sz="0" w:space="0" w:color="auto"/>
        <w:left w:val="none" w:sz="0" w:space="0" w:color="auto"/>
        <w:bottom w:val="none" w:sz="0" w:space="0" w:color="auto"/>
        <w:right w:val="none" w:sz="0" w:space="0" w:color="auto"/>
      </w:divBdr>
    </w:div>
    <w:div w:id="1252852812">
      <w:bodyDiv w:val="1"/>
      <w:marLeft w:val="0"/>
      <w:marRight w:val="0"/>
      <w:marTop w:val="0"/>
      <w:marBottom w:val="0"/>
      <w:divBdr>
        <w:top w:val="none" w:sz="0" w:space="0" w:color="auto"/>
        <w:left w:val="none" w:sz="0" w:space="0" w:color="auto"/>
        <w:bottom w:val="none" w:sz="0" w:space="0" w:color="auto"/>
        <w:right w:val="none" w:sz="0" w:space="0" w:color="auto"/>
      </w:divBdr>
    </w:div>
    <w:div w:id="18616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ldsystems.org/" TargetMode="External"/><Relationship Id="rId13"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https://www.arb-silva.de/" TargetMode="External"/><Relationship Id="rId12" Type="http://schemas.openxmlformats.org/officeDocument/2006/relationships/hyperlink" Target="https://doi.org/10.1111/1755-0998.1361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cbi.nlm.nih.gov/" TargetMode="External"/><Relationship Id="rId11" Type="http://schemas.openxmlformats.org/officeDocument/2006/relationships/hyperlink" Target="about:blank" TargetMode="External"/><Relationship Id="rId5" Type="http://schemas.openxmlformats.org/officeDocument/2006/relationships/endnotes" Target="end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footnotes" Target="footnotes.xml"/><Relationship Id="rId9" Type="http://schemas.openxmlformats.org/officeDocument/2006/relationships/hyperlink" Target="https://github.com/mcurto/eDNA_Metagenomics"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Sofia</dc:creator>
  <cp:keywords/>
  <dc:description/>
  <cp:lastModifiedBy>Ana Sofia</cp:lastModifiedBy>
  <cp:revision>2</cp:revision>
  <dcterms:created xsi:type="dcterms:W3CDTF">2023-02-03T22:06:00Z</dcterms:created>
  <dcterms:modified xsi:type="dcterms:W3CDTF">2023-02-03T22:06:00Z</dcterms:modified>
</cp:coreProperties>
</file>