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97199" w14:textId="77777777" w:rsidR="006964CC" w:rsidRPr="002C71A6" w:rsidRDefault="006964CC" w:rsidP="006964CC">
      <w:pPr>
        <w:rPr>
          <w:rFonts w:ascii="Times New Roman" w:hAnsi="Times New Roman" w:cs="Times New Roman"/>
          <w:szCs w:val="21"/>
        </w:rPr>
      </w:pPr>
    </w:p>
    <w:p w14:paraId="4447E534" w14:textId="77777777" w:rsidR="006964CC" w:rsidRPr="002C71A6" w:rsidRDefault="006964CC" w:rsidP="006964CC">
      <w:pPr>
        <w:rPr>
          <w:rFonts w:ascii="Times New Roman" w:hAnsi="Times New Roman" w:cs="Times New Roman"/>
          <w:szCs w:val="21"/>
        </w:rPr>
      </w:pPr>
      <w:r w:rsidRPr="002C71A6">
        <w:rPr>
          <w:rFonts w:ascii="Times New Roman" w:hAnsi="Times New Roman" w:cs="Times New Roman"/>
          <w:szCs w:val="21"/>
        </w:rPr>
        <w:t>Study Criteria</w:t>
      </w:r>
    </w:p>
    <w:p w14:paraId="1530E804" w14:textId="77777777" w:rsidR="006964CC" w:rsidRPr="002C71A6" w:rsidRDefault="006964CC" w:rsidP="006964CC">
      <w:pPr>
        <w:rPr>
          <w:rFonts w:ascii="Times New Roman" w:hAnsi="Times New Roman" w:cs="Times New Roman"/>
          <w:szCs w:val="21"/>
        </w:rPr>
      </w:pPr>
      <w:r w:rsidRPr="002C71A6">
        <w:rPr>
          <w:rFonts w:ascii="Times New Roman" w:hAnsi="Times New Roman" w:cs="Times New Roman"/>
          <w:szCs w:val="21"/>
        </w:rPr>
        <w:t>Inclusion Criteria:</w:t>
      </w:r>
    </w:p>
    <w:p w14:paraId="1041990E"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Patients have clinically, histologically, or cytologically confirmed hepatocellular carcinoma.</w:t>
      </w:r>
    </w:p>
    <w:p w14:paraId="3F995905"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Patients must have received at least one dose of combination immunotherapy.</w:t>
      </w:r>
    </w:p>
    <w:p w14:paraId="78F8F1B9"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Age ≥ 18 years.</w:t>
      </w:r>
    </w:p>
    <w:p w14:paraId="015E4F68"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Eastern Cooperative Oncology Group (ECOG) Performance Status Assessment of 0-1.</w:t>
      </w:r>
    </w:p>
    <w:p w14:paraId="1A18EC60"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Life expectancy of at least 12 weeks (3 months).</w:t>
      </w:r>
    </w:p>
    <w:p w14:paraId="4930DD11"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Subjects must be able to understand and be willing to sign the written informed consent form. A signed informed consent form must be appropriately obtained prior to the conduct of any trial-specific procedure. Subjects must be willing and able to comply with scheduled visits, treatment schedule, laboratory testing, and other study requirements.</w:t>
      </w:r>
    </w:p>
    <w:p w14:paraId="729DB15F" w14:textId="71455EEA"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All acute toxic effects of any prior treatment have resolved to NCI-CTCAE v4.0 Grade 1 or less at the time of signing the Informed Consent Form (ICF).</w:t>
      </w:r>
    </w:p>
    <w:p w14:paraId="26AA8A17" w14:textId="0D571CB0"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 xml:space="preserve">For patients with </w:t>
      </w:r>
      <w:r w:rsidR="00311F71">
        <w:rPr>
          <w:rFonts w:ascii="Times New Roman" w:hAnsi="Times New Roman" w:cs="Times New Roman"/>
          <w:szCs w:val="21"/>
        </w:rPr>
        <w:t xml:space="preserve">unresectable </w:t>
      </w:r>
      <w:r w:rsidR="00E72BD7">
        <w:rPr>
          <w:rFonts w:ascii="Times New Roman" w:hAnsi="Times New Roman" w:cs="Times New Roman"/>
          <w:szCs w:val="21"/>
        </w:rPr>
        <w:t>hepatocellular carcinoma</w:t>
      </w:r>
      <w:r w:rsidRPr="002C71A6">
        <w:rPr>
          <w:rFonts w:ascii="Times New Roman" w:hAnsi="Times New Roman" w:cs="Times New Roman"/>
          <w:szCs w:val="21"/>
        </w:rPr>
        <w:t>, liver function status Child-Pugh Class A or B (score&lt;=7).</w:t>
      </w:r>
    </w:p>
    <w:p w14:paraId="77806281"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 xml:space="preserve">Adequate bone marrow, </w:t>
      </w:r>
      <w:proofErr w:type="gramStart"/>
      <w:r w:rsidRPr="002C71A6">
        <w:rPr>
          <w:rFonts w:ascii="Times New Roman" w:hAnsi="Times New Roman" w:cs="Times New Roman"/>
          <w:szCs w:val="21"/>
        </w:rPr>
        <w:t>liver</w:t>
      </w:r>
      <w:proofErr w:type="gramEnd"/>
      <w:r w:rsidRPr="002C71A6">
        <w:rPr>
          <w:rFonts w:ascii="Times New Roman" w:hAnsi="Times New Roman" w:cs="Times New Roman"/>
          <w:szCs w:val="21"/>
        </w:rPr>
        <w:t xml:space="preserve"> and liver function as assessed by the following laboratory requirements: Total bilirubin ≤ 1.5 x the upper limits of normal (ULN), except for subjects with Gilbert Syndrome who can have bilirubin &lt;3. Alanine aminotransferase (ALT) and aspartate </w:t>
      </w:r>
      <w:proofErr w:type="gramStart"/>
      <w:r w:rsidRPr="002C71A6">
        <w:rPr>
          <w:rFonts w:ascii="Times New Roman" w:hAnsi="Times New Roman" w:cs="Times New Roman"/>
          <w:szCs w:val="21"/>
        </w:rPr>
        <w:t>amino-transferase</w:t>
      </w:r>
      <w:proofErr w:type="gramEnd"/>
      <w:r w:rsidRPr="002C71A6">
        <w:rPr>
          <w:rFonts w:ascii="Times New Roman" w:hAnsi="Times New Roman" w:cs="Times New Roman"/>
          <w:szCs w:val="21"/>
        </w:rPr>
        <w:t xml:space="preserve"> (AST) ≤ 2.5 x ULN (≤ 5 x ULN for subjects with liver involvement of their cancer or stent placement). Alkaline </w:t>
      </w:r>
      <w:proofErr w:type="spellStart"/>
      <w:r w:rsidRPr="002C71A6">
        <w:rPr>
          <w:rFonts w:ascii="Times New Roman" w:hAnsi="Times New Roman" w:cs="Times New Roman"/>
          <w:szCs w:val="21"/>
        </w:rPr>
        <w:t>phosphastase</w:t>
      </w:r>
      <w:proofErr w:type="spellEnd"/>
      <w:r w:rsidRPr="002C71A6">
        <w:rPr>
          <w:rFonts w:ascii="Times New Roman" w:hAnsi="Times New Roman" w:cs="Times New Roman"/>
          <w:szCs w:val="21"/>
        </w:rPr>
        <w:t xml:space="preserve"> limit ≤ 2.5 x ULN (≤ 5 x ULN for subjects with liver involvement of their cancer). Serum creatinine &lt;2 x ULN. Hematologic parameters as follows: Platelet count ≥ 100,000 /mm3. Hemoglobin (Hb) ≥ 9 g/Dl. Absolute neutrophil count (ANC) ≥1000/mm. Blood transfusion to meet the inclusion criteria will be allowed.</w:t>
      </w:r>
    </w:p>
    <w:p w14:paraId="134FDA04" w14:textId="42C48CE5" w:rsidR="006964CC"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 xml:space="preserve">Women of childbearing potential must have a negative serum or urine pregnancy test (minimum sensitivity of 25 IU/L or equivalent units of HCG) performed within24 hours prior to the start of nivolumab </w:t>
      </w:r>
      <w:proofErr w:type="gramStart"/>
      <w:r w:rsidRPr="002C71A6">
        <w:rPr>
          <w:rFonts w:ascii="Times New Roman" w:hAnsi="Times New Roman" w:cs="Times New Roman"/>
          <w:szCs w:val="21"/>
        </w:rPr>
        <w:t>Post-menopausal</w:t>
      </w:r>
      <w:proofErr w:type="gramEnd"/>
      <w:r w:rsidRPr="002C71A6">
        <w:rPr>
          <w:rFonts w:ascii="Times New Roman" w:hAnsi="Times New Roman" w:cs="Times New Roman"/>
          <w:szCs w:val="21"/>
        </w:rPr>
        <w:t xml:space="preserve"> women (defined as no menses for at least 1 year) and surgically sterilized women are not required to undergo a pregnancy test.</w:t>
      </w:r>
    </w:p>
    <w:p w14:paraId="095E0024" w14:textId="05F72342" w:rsidR="00E72BD7" w:rsidRPr="00B52212" w:rsidRDefault="00E72BD7" w:rsidP="00E72BD7">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Subjects (men and women) of childbearing potential must agree to use adequate contraception beginning at the signing of the ICF until at least 3 months after the last dose of study drug. The definition of adequate contraception will be based on the judgment of the principal investigator or a designated associate.</w:t>
      </w:r>
    </w:p>
    <w:p w14:paraId="2A8152B0"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Patients with history of hepatitis B and hepatitis C will be eligible but patients with hepatitis B must be started on antiviral therapy prior to beginning study therapy</w:t>
      </w:r>
    </w:p>
    <w:p w14:paraId="3E4DF9E3" w14:textId="77777777" w:rsidR="006964CC" w:rsidRPr="002C71A6" w:rsidRDefault="006964CC" w:rsidP="006964CC">
      <w:pPr>
        <w:pStyle w:val="a7"/>
        <w:numPr>
          <w:ilvl w:val="0"/>
          <w:numId w:val="5"/>
        </w:numPr>
        <w:ind w:firstLineChars="0"/>
        <w:rPr>
          <w:rFonts w:ascii="Times New Roman" w:hAnsi="Times New Roman" w:cs="Times New Roman"/>
          <w:szCs w:val="21"/>
        </w:rPr>
      </w:pPr>
      <w:r w:rsidRPr="002C71A6">
        <w:rPr>
          <w:rFonts w:ascii="Times New Roman" w:hAnsi="Times New Roman" w:cs="Times New Roman"/>
          <w:szCs w:val="21"/>
        </w:rPr>
        <w:t>Availability of archival tumor tissue for biomarkers analysis (FFPE block or cell block will be required). Specimen from primary site will be allowed. Patients must have at least 10 slides available. Repeat biopsy to obtain sufficient tissue for 10 slides is allowed.</w:t>
      </w:r>
    </w:p>
    <w:p w14:paraId="50784C09" w14:textId="77777777" w:rsidR="006964CC" w:rsidRPr="002C71A6" w:rsidRDefault="006964CC" w:rsidP="006964CC">
      <w:pPr>
        <w:rPr>
          <w:rFonts w:ascii="Times New Roman" w:hAnsi="Times New Roman" w:cs="Times New Roman"/>
          <w:szCs w:val="21"/>
        </w:rPr>
      </w:pPr>
    </w:p>
    <w:p w14:paraId="6414B190" w14:textId="7A4EB92C" w:rsidR="00A61A15" w:rsidRPr="002C71A6" w:rsidRDefault="006964CC" w:rsidP="006964CC">
      <w:pPr>
        <w:rPr>
          <w:rFonts w:ascii="Times New Roman" w:hAnsi="Times New Roman" w:cs="Times New Roman"/>
          <w:szCs w:val="21"/>
        </w:rPr>
      </w:pPr>
      <w:r w:rsidRPr="002C71A6">
        <w:rPr>
          <w:rFonts w:ascii="Times New Roman" w:hAnsi="Times New Roman" w:cs="Times New Roman"/>
          <w:szCs w:val="21"/>
        </w:rPr>
        <w:t>Exclusion Criteria</w:t>
      </w:r>
      <w:r w:rsidR="00315F64">
        <w:rPr>
          <w:rFonts w:ascii="Times New Roman" w:hAnsi="Times New Roman" w:cs="Times New Roman" w:hint="eastAsia"/>
          <w:szCs w:val="21"/>
        </w:rPr>
        <w:t>:</w:t>
      </w:r>
    </w:p>
    <w:p w14:paraId="68303388" w14:textId="77777777" w:rsidR="00D37BE0" w:rsidRDefault="00D37BE0" w:rsidP="006964CC">
      <w:pPr>
        <w:pStyle w:val="a7"/>
        <w:numPr>
          <w:ilvl w:val="0"/>
          <w:numId w:val="3"/>
        </w:numPr>
        <w:ind w:firstLineChars="0"/>
        <w:rPr>
          <w:rFonts w:ascii="Times New Roman" w:hAnsi="Times New Roman" w:cs="Times New Roman"/>
          <w:szCs w:val="21"/>
        </w:rPr>
      </w:pPr>
      <w:r w:rsidRPr="00D37BE0">
        <w:rPr>
          <w:rFonts w:ascii="Times New Roman" w:hAnsi="Times New Roman" w:cs="Times New Roman"/>
          <w:szCs w:val="21"/>
        </w:rPr>
        <w:t>Subjects with histologically confirmed intrahepatic cholangiocarcinoma (ICC) or other types of primary liver cancer.</w:t>
      </w:r>
    </w:p>
    <w:p w14:paraId="3E526BB9" w14:textId="2EEA28E9"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 xml:space="preserve">Subjects with active CNS metastases are excluded. If CNS metastases are treated and subjects are at neurologic baseline for at least 2 weeks prior to enrollment, they will be eligible but will need a Brain MRI prior to enrollment. Subjects must be off corticosteroids or on a stable or </w:t>
      </w:r>
      <w:r w:rsidRPr="002C71A6">
        <w:rPr>
          <w:rFonts w:ascii="Times New Roman" w:hAnsi="Times New Roman" w:cs="Times New Roman"/>
          <w:szCs w:val="21"/>
        </w:rPr>
        <w:lastRenderedPageBreak/>
        <w:t>decreasing dose of ≤ 10 mg daily prednisone (or equivalent).</w:t>
      </w:r>
    </w:p>
    <w:p w14:paraId="7AFB6874" w14:textId="117BC4D0"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 xml:space="preserve">Subjects with active, </w:t>
      </w:r>
      <w:proofErr w:type="gramStart"/>
      <w:r w:rsidRPr="002C71A6">
        <w:rPr>
          <w:rFonts w:ascii="Times New Roman" w:hAnsi="Times New Roman" w:cs="Times New Roman"/>
          <w:szCs w:val="21"/>
        </w:rPr>
        <w:t>known</w:t>
      </w:r>
      <w:proofErr w:type="gramEnd"/>
      <w:r w:rsidRPr="002C71A6">
        <w:rPr>
          <w:rFonts w:ascii="Times New Roman" w:hAnsi="Times New Roman" w:cs="Times New Roman"/>
          <w:szCs w:val="21"/>
        </w:rPr>
        <w:t xml:space="preserve"> or suspected autoimmune disease. Subjects with vitiligo, type I diabetes mellitus, residual hypothyroidism due to autoimmune thyroiditis only requiring hormone replacement, or conditions not expected to recur in the absence of an external trigger are permitted to enroll</w:t>
      </w:r>
      <w:r w:rsidR="00E72BD7">
        <w:rPr>
          <w:rFonts w:ascii="Times New Roman" w:hAnsi="Times New Roman" w:cs="Times New Roman"/>
          <w:szCs w:val="21"/>
        </w:rPr>
        <w:t>.</w:t>
      </w:r>
    </w:p>
    <w:p w14:paraId="19E31896"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Subjects with a condition requiring systemic treatment with either corticosteroids (&gt;10 mg daily prednisone equivalent) or other immunosuppressive medications within 14 days of enrollment. Inhaled or topical steroids, and adrenal replacement steroid doses &gt; 10 mg daily prednisone equivalent, are permitted in the absence of active autoimmune disease.</w:t>
      </w:r>
    </w:p>
    <w:p w14:paraId="38330271"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Previous or concurrent cancer within 3 years prior to treatment start EXCEPT for curatively treated cervical cancer in situ, non-melanoma skin cancer, superficial bladder tumors [Ta (non-invasive tumor), Tis (carcinoma in situ) and T1 (tumor invades lamina propria)].</w:t>
      </w:r>
    </w:p>
    <w:p w14:paraId="17F17BA0"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Known history of human immunodeficiency virus (HIV) infection or acquired immunodeficiency syndrome (AIDS).</w:t>
      </w:r>
    </w:p>
    <w:p w14:paraId="2620630C" w14:textId="3E9D12D5" w:rsidR="006964CC"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Child Pugh C disease</w:t>
      </w:r>
    </w:p>
    <w:p w14:paraId="2AE83B70" w14:textId="735A2060" w:rsidR="00E72BD7" w:rsidRPr="00B52212" w:rsidRDefault="00E72BD7" w:rsidP="00E72BD7">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History of allergy or intolerance to study drug components</w:t>
      </w:r>
      <w:r>
        <w:rPr>
          <w:rFonts w:ascii="Times New Roman" w:hAnsi="Times New Roman" w:cs="Times New Roman"/>
          <w:szCs w:val="21"/>
        </w:rPr>
        <w:t>.</w:t>
      </w:r>
    </w:p>
    <w:p w14:paraId="03B84C0D" w14:textId="5459CA2E" w:rsidR="006964CC"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 xml:space="preserve">Substance abuse, medical, </w:t>
      </w:r>
      <w:proofErr w:type="gramStart"/>
      <w:r w:rsidRPr="002C71A6">
        <w:rPr>
          <w:rFonts w:ascii="Times New Roman" w:hAnsi="Times New Roman" w:cs="Times New Roman"/>
          <w:szCs w:val="21"/>
        </w:rPr>
        <w:t>psychological</w:t>
      </w:r>
      <w:proofErr w:type="gramEnd"/>
      <w:r w:rsidRPr="002C71A6">
        <w:rPr>
          <w:rFonts w:ascii="Times New Roman" w:hAnsi="Times New Roman" w:cs="Times New Roman"/>
          <w:szCs w:val="21"/>
        </w:rPr>
        <w:t xml:space="preserve"> or social conditions that may interfere with the patient's participation in the study or evaluation of the study results.</w:t>
      </w:r>
    </w:p>
    <w:p w14:paraId="13AE1AC9" w14:textId="0AA65D10" w:rsidR="00E72BD7" w:rsidRPr="00B52212" w:rsidRDefault="00E72BD7" w:rsidP="00E72BD7">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History or concurrent condition of interstitial lung disease of any grade or severely impaired pulmonary function.</w:t>
      </w:r>
    </w:p>
    <w:p w14:paraId="4A594187" w14:textId="457ACD3F"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Unresolved toxicity higher than CTCAE grade 1 attributed to any prior therapy/procedure.</w:t>
      </w:r>
    </w:p>
    <w:p w14:paraId="5D33C091"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Pregnant or breast-feeding patients. Women of childbearing potential must have a negative serum or urine pregnancy test (minimum sensitivity of 25 IU/L or equivalent units of HCG) performed within 24 hours prior to the start of nivolumab and a negative result must be documented before start of treatment.</w:t>
      </w:r>
    </w:p>
    <w:p w14:paraId="256F636D"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Any illness or medical conditions that are unstable or could jeopardize the safety of the patient and his/her compliance in the study.</w:t>
      </w:r>
    </w:p>
    <w:p w14:paraId="3D4623E4" w14:textId="1320C274"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Anticancer chemotherapy during the study or within 4 weeks of study enrollment. Subjects must have recovered from the toxic effects of the previous anti-cancer chemotherapy. Anti-cancer therapy is defined as any agent or combination of agents with clinically proven anti-tumor activity administered by any route with the purpose of affecting the malignancy, either directly or indirectly, including palliative and therapeutic endpoints.</w:t>
      </w:r>
    </w:p>
    <w:p w14:paraId="46DBACC2" w14:textId="0C51724C" w:rsidR="006964CC"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Hormonal therapy during the study or within 2 weeks of first study enrollment.</w:t>
      </w:r>
    </w:p>
    <w:p w14:paraId="2B9A971E" w14:textId="20F70ACA" w:rsidR="00E72BD7" w:rsidRPr="00B52212" w:rsidRDefault="00E72BD7" w:rsidP="00E72BD7">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Investigational drug therapy outside of this trial during or within 4 weeks of first study treatment.</w:t>
      </w:r>
    </w:p>
    <w:p w14:paraId="54C0D4E5" w14:textId="77777777" w:rsidR="006964CC" w:rsidRPr="002C71A6" w:rsidRDefault="006964CC" w:rsidP="006964CC">
      <w:pPr>
        <w:pStyle w:val="a7"/>
        <w:numPr>
          <w:ilvl w:val="0"/>
          <w:numId w:val="3"/>
        </w:numPr>
        <w:ind w:firstLineChars="0"/>
        <w:rPr>
          <w:rFonts w:ascii="Times New Roman" w:hAnsi="Times New Roman" w:cs="Times New Roman"/>
          <w:szCs w:val="21"/>
        </w:rPr>
      </w:pPr>
      <w:r w:rsidRPr="002C71A6">
        <w:rPr>
          <w:rFonts w:ascii="Times New Roman" w:hAnsi="Times New Roman" w:cs="Times New Roman"/>
          <w:szCs w:val="21"/>
        </w:rPr>
        <w:t>Notably, patients with severe esophageal varices or presented with positive fecal occult blood were also excluded.</w:t>
      </w:r>
    </w:p>
    <w:p w14:paraId="04B425BE" w14:textId="77777777" w:rsidR="006964CC" w:rsidRPr="002C71A6" w:rsidRDefault="006964CC" w:rsidP="006964CC">
      <w:pPr>
        <w:rPr>
          <w:rFonts w:ascii="Times New Roman" w:hAnsi="Times New Roman" w:cs="Times New Roman"/>
          <w:szCs w:val="21"/>
        </w:rPr>
      </w:pPr>
    </w:p>
    <w:p w14:paraId="0E18A79E" w14:textId="77777777" w:rsidR="006964CC" w:rsidRPr="002C71A6" w:rsidRDefault="006964CC" w:rsidP="006964CC">
      <w:pPr>
        <w:rPr>
          <w:rFonts w:ascii="Times New Roman" w:hAnsi="Times New Roman" w:cs="Times New Roman"/>
          <w:kern w:val="0"/>
          <w:szCs w:val="21"/>
        </w:rPr>
      </w:pPr>
      <w:r w:rsidRPr="002C71A6">
        <w:rPr>
          <w:rFonts w:ascii="Times New Roman" w:hAnsi="Times New Roman" w:cs="Times New Roman"/>
          <w:kern w:val="0"/>
          <w:szCs w:val="21"/>
        </w:rPr>
        <w:t xml:space="preserve">Patients undergo surgery also should meet the following conditions: </w:t>
      </w:r>
    </w:p>
    <w:p w14:paraId="62E317B6" w14:textId="77777777" w:rsidR="006964CC" w:rsidRPr="002C71A6" w:rsidRDefault="006964CC" w:rsidP="006964CC">
      <w:pPr>
        <w:pStyle w:val="a7"/>
        <w:numPr>
          <w:ilvl w:val="0"/>
          <w:numId w:val="1"/>
        </w:numPr>
        <w:ind w:firstLineChars="0"/>
        <w:rPr>
          <w:rFonts w:ascii="Times New Roman" w:hAnsi="Times New Roman" w:cs="Times New Roman"/>
          <w:kern w:val="0"/>
          <w:szCs w:val="21"/>
        </w:rPr>
      </w:pPr>
      <w:r w:rsidRPr="002C71A6">
        <w:rPr>
          <w:rFonts w:ascii="Times New Roman" w:hAnsi="Times New Roman" w:cs="Times New Roman"/>
          <w:kern w:val="0"/>
          <w:szCs w:val="21"/>
        </w:rPr>
        <w:t>Child-Pugh of A-</w:t>
      </w:r>
      <w:proofErr w:type="gramStart"/>
      <w:r w:rsidRPr="002C71A6">
        <w:rPr>
          <w:rFonts w:ascii="Times New Roman" w:hAnsi="Times New Roman" w:cs="Times New Roman"/>
          <w:kern w:val="0"/>
          <w:szCs w:val="21"/>
        </w:rPr>
        <w:t>B;</w:t>
      </w:r>
      <w:proofErr w:type="gramEnd"/>
      <w:r w:rsidRPr="002C71A6">
        <w:rPr>
          <w:rFonts w:ascii="Times New Roman" w:hAnsi="Times New Roman" w:cs="Times New Roman"/>
          <w:kern w:val="0"/>
          <w:szCs w:val="21"/>
        </w:rPr>
        <w:t xml:space="preserve"> </w:t>
      </w:r>
    </w:p>
    <w:p w14:paraId="3D118D9D" w14:textId="77777777" w:rsidR="006964CC" w:rsidRPr="002C71A6" w:rsidRDefault="006964CC" w:rsidP="006964CC">
      <w:pPr>
        <w:pStyle w:val="a7"/>
        <w:numPr>
          <w:ilvl w:val="0"/>
          <w:numId w:val="1"/>
        </w:numPr>
        <w:ind w:firstLineChars="0"/>
        <w:rPr>
          <w:rFonts w:ascii="Times New Roman" w:hAnsi="Times New Roman" w:cs="Times New Roman"/>
          <w:kern w:val="0"/>
          <w:szCs w:val="21"/>
        </w:rPr>
      </w:pPr>
      <w:r w:rsidRPr="002C71A6">
        <w:rPr>
          <w:rFonts w:ascii="Times New Roman" w:hAnsi="Times New Roman" w:cs="Times New Roman"/>
          <w:kern w:val="0"/>
          <w:szCs w:val="21"/>
        </w:rPr>
        <w:t xml:space="preserve">ECOG PS score≤ </w:t>
      </w:r>
      <w:proofErr w:type="gramStart"/>
      <w:r w:rsidRPr="002C71A6">
        <w:rPr>
          <w:rFonts w:ascii="Times New Roman" w:hAnsi="Times New Roman" w:cs="Times New Roman"/>
          <w:kern w:val="0"/>
          <w:szCs w:val="21"/>
        </w:rPr>
        <w:t>1;</w:t>
      </w:r>
      <w:proofErr w:type="gramEnd"/>
    </w:p>
    <w:p w14:paraId="65729A79" w14:textId="77777777" w:rsidR="006964CC" w:rsidRPr="002C71A6" w:rsidRDefault="006964CC" w:rsidP="006964CC">
      <w:pPr>
        <w:pStyle w:val="a7"/>
        <w:numPr>
          <w:ilvl w:val="0"/>
          <w:numId w:val="1"/>
        </w:numPr>
        <w:ind w:firstLineChars="0"/>
        <w:rPr>
          <w:rFonts w:ascii="Times New Roman" w:hAnsi="Times New Roman" w:cs="Times New Roman"/>
          <w:szCs w:val="21"/>
        </w:rPr>
      </w:pPr>
      <w:r w:rsidRPr="002C71A6">
        <w:rPr>
          <w:rFonts w:ascii="Times New Roman" w:hAnsi="Times New Roman" w:cs="Times New Roman"/>
          <w:kern w:val="0"/>
          <w:szCs w:val="21"/>
        </w:rPr>
        <w:t>residual liver function&lt; 40% in patients without cirrhosis and&lt; 30% in patients with cirrhosis.</w:t>
      </w:r>
    </w:p>
    <w:p w14:paraId="1A443F4A" w14:textId="5C181C98" w:rsidR="00BB7A19" w:rsidRPr="006964CC" w:rsidRDefault="00BB7A19" w:rsidP="006964CC"/>
    <w:sectPr w:rsidR="00BB7A19" w:rsidRPr="006964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55A2" w14:textId="77777777" w:rsidR="00A02A1E" w:rsidRDefault="00A02A1E" w:rsidP="009968FC">
      <w:r>
        <w:separator/>
      </w:r>
    </w:p>
  </w:endnote>
  <w:endnote w:type="continuationSeparator" w:id="0">
    <w:p w14:paraId="5CC21665" w14:textId="77777777" w:rsidR="00A02A1E" w:rsidRDefault="00A02A1E" w:rsidP="0099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A3178" w14:textId="77777777" w:rsidR="00A02A1E" w:rsidRDefault="00A02A1E" w:rsidP="009968FC">
      <w:r>
        <w:separator/>
      </w:r>
    </w:p>
  </w:footnote>
  <w:footnote w:type="continuationSeparator" w:id="0">
    <w:p w14:paraId="1ED24E34" w14:textId="77777777" w:rsidR="00A02A1E" w:rsidRDefault="00A02A1E" w:rsidP="00996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120AE"/>
    <w:multiLevelType w:val="hybridMultilevel"/>
    <w:tmpl w:val="0E0EAF88"/>
    <w:lvl w:ilvl="0" w:tplc="F796E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43149F"/>
    <w:multiLevelType w:val="hybridMultilevel"/>
    <w:tmpl w:val="A3DEE7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154351"/>
    <w:multiLevelType w:val="hybridMultilevel"/>
    <w:tmpl w:val="5EA417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883280"/>
    <w:multiLevelType w:val="hybridMultilevel"/>
    <w:tmpl w:val="5FEE9A7A"/>
    <w:lvl w:ilvl="0" w:tplc="F796E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3B11883"/>
    <w:multiLevelType w:val="hybridMultilevel"/>
    <w:tmpl w:val="0D247B50"/>
    <w:lvl w:ilvl="0" w:tplc="F796E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0809186">
    <w:abstractNumId w:val="1"/>
  </w:num>
  <w:num w:numId="2" w16cid:durableId="1947535779">
    <w:abstractNumId w:val="2"/>
  </w:num>
  <w:num w:numId="3" w16cid:durableId="787092890">
    <w:abstractNumId w:val="3"/>
  </w:num>
  <w:num w:numId="4" w16cid:durableId="1423142435">
    <w:abstractNumId w:val="4"/>
  </w:num>
  <w:num w:numId="5" w16cid:durableId="999623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3C"/>
    <w:rsid w:val="0022263C"/>
    <w:rsid w:val="002C71A6"/>
    <w:rsid w:val="002D3F6C"/>
    <w:rsid w:val="00311F71"/>
    <w:rsid w:val="00315F64"/>
    <w:rsid w:val="00642774"/>
    <w:rsid w:val="006964CC"/>
    <w:rsid w:val="007041E0"/>
    <w:rsid w:val="008E6811"/>
    <w:rsid w:val="009968FC"/>
    <w:rsid w:val="009B348F"/>
    <w:rsid w:val="00A02A1E"/>
    <w:rsid w:val="00A43010"/>
    <w:rsid w:val="00A61A15"/>
    <w:rsid w:val="00B52212"/>
    <w:rsid w:val="00BB7A19"/>
    <w:rsid w:val="00CC5462"/>
    <w:rsid w:val="00D37BE0"/>
    <w:rsid w:val="00E72BD7"/>
    <w:rsid w:val="00F42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98396"/>
  <w15:chartTrackingRefBased/>
  <w15:docId w15:val="{D4BC71D7-04BA-4EAF-A6BA-51C09EFB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68F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68FC"/>
    <w:rPr>
      <w:sz w:val="18"/>
      <w:szCs w:val="18"/>
    </w:rPr>
  </w:style>
  <w:style w:type="paragraph" w:styleId="a5">
    <w:name w:val="footer"/>
    <w:basedOn w:val="a"/>
    <w:link w:val="a6"/>
    <w:uiPriority w:val="99"/>
    <w:unhideWhenUsed/>
    <w:rsid w:val="009968FC"/>
    <w:pPr>
      <w:tabs>
        <w:tab w:val="center" w:pos="4153"/>
        <w:tab w:val="right" w:pos="8306"/>
      </w:tabs>
      <w:snapToGrid w:val="0"/>
      <w:jc w:val="left"/>
    </w:pPr>
    <w:rPr>
      <w:sz w:val="18"/>
      <w:szCs w:val="18"/>
    </w:rPr>
  </w:style>
  <w:style w:type="character" w:customStyle="1" w:styleId="a6">
    <w:name w:val="页脚 字符"/>
    <w:basedOn w:val="a0"/>
    <w:link w:val="a5"/>
    <w:uiPriority w:val="99"/>
    <w:rsid w:val="009968FC"/>
    <w:rPr>
      <w:sz w:val="18"/>
      <w:szCs w:val="18"/>
    </w:rPr>
  </w:style>
  <w:style w:type="paragraph" w:styleId="a7">
    <w:name w:val="List Paragraph"/>
    <w:basedOn w:val="a"/>
    <w:uiPriority w:val="34"/>
    <w:qFormat/>
    <w:rsid w:val="00BB7A19"/>
    <w:pPr>
      <w:ind w:firstLineChars="200" w:firstLine="420"/>
    </w:pPr>
  </w:style>
  <w:style w:type="paragraph" w:styleId="a8">
    <w:name w:val="Revision"/>
    <w:hidden/>
    <w:uiPriority w:val="99"/>
    <w:semiHidden/>
    <w:rsid w:val="00E72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914</Words>
  <Characters>5211</Characters>
  <Application>Microsoft Office Word</Application>
  <DocSecurity>0</DocSecurity>
  <Lines>43</Lines>
  <Paragraphs>12</Paragraphs>
  <ScaleCrop>false</ScaleCrop>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PECO2020</dc:creator>
  <cp:keywords/>
  <dc:description/>
  <cp:lastModifiedBy>PECO2020</cp:lastModifiedBy>
  <cp:revision>9</cp:revision>
  <dcterms:created xsi:type="dcterms:W3CDTF">2021-03-17T12:59:00Z</dcterms:created>
  <dcterms:modified xsi:type="dcterms:W3CDTF">2022-10-06T23:44:00Z</dcterms:modified>
</cp:coreProperties>
</file>