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870" w:type="dxa"/>
        <w:tblInd w:w="98" w:type="dxa"/>
        <w:tblLook w:val="04A0" w:firstRow="1" w:lastRow="0" w:firstColumn="1" w:lastColumn="0" w:noHBand="0" w:noVBand="1"/>
      </w:tblPr>
      <w:tblGrid>
        <w:gridCol w:w="628"/>
        <w:gridCol w:w="457"/>
        <w:gridCol w:w="457"/>
        <w:gridCol w:w="694"/>
        <w:gridCol w:w="694"/>
        <w:gridCol w:w="694"/>
        <w:gridCol w:w="694"/>
        <w:gridCol w:w="694"/>
        <w:gridCol w:w="694"/>
        <w:gridCol w:w="694"/>
        <w:gridCol w:w="694"/>
        <w:gridCol w:w="694"/>
        <w:gridCol w:w="694"/>
        <w:gridCol w:w="694"/>
        <w:gridCol w:w="694"/>
      </w:tblGrid>
      <w:tr w:rsidR="0072369B" w14:paraId="13C0A2E5" w14:textId="77777777" w:rsidTr="007A43BA">
        <w:trPr>
          <w:trHeight w:val="1760"/>
        </w:trPr>
        <w:tc>
          <w:tcPr>
            <w:tcW w:w="758" w:type="dxa"/>
            <w:vMerge w:val="restart"/>
            <w:tcBorders>
              <w:top w:val="nil"/>
              <w:left w:val="nil"/>
              <w:bottom w:val="nil"/>
              <w:right w:val="single" w:sz="4" w:space="0" w:color="auto"/>
            </w:tcBorders>
            <w:shd w:val="clear" w:color="auto" w:fill="auto"/>
            <w:noWrap/>
            <w:textDirection w:val="btLr"/>
            <w:vAlign w:val="center"/>
          </w:tcPr>
          <w:p w14:paraId="0C5A50E3" w14:textId="3BD66E72" w:rsidR="0072369B" w:rsidRDefault="007A43BA">
            <w:pPr>
              <w:rPr>
                <w:rFonts w:ascii="Times New Roman" w:hAnsi="Times New Roman"/>
                <w:color w:val="231F20"/>
                <w:kern w:val="0"/>
                <w:sz w:val="16"/>
                <w:szCs w:val="16"/>
              </w:rPr>
            </w:pPr>
            <w:r>
              <w:rPr>
                <w:rFonts w:ascii="Times New Roman" w:hAnsi="Times New Roman"/>
                <w:b/>
                <w:bCs/>
                <w:color w:val="231F20"/>
                <w:kern w:val="0"/>
                <w:sz w:val="16"/>
                <w:szCs w:val="16"/>
              </w:rPr>
              <w:t>T</w:t>
            </w:r>
            <w:r w:rsidR="00E434B7">
              <w:rPr>
                <w:rFonts w:ascii="Times New Roman" w:hAnsi="Times New Roman"/>
                <w:b/>
                <w:bCs/>
                <w:color w:val="231F20"/>
                <w:kern w:val="0"/>
                <w:sz w:val="16"/>
                <w:szCs w:val="16"/>
              </w:rPr>
              <w:t xml:space="preserve">able 2 </w:t>
            </w:r>
            <w:r w:rsidR="00E434B7">
              <w:rPr>
                <w:rFonts w:ascii="Times New Roman" w:hAnsi="Times New Roman"/>
                <w:kern w:val="0"/>
                <w:sz w:val="16"/>
                <w:szCs w:val="16"/>
              </w:rPr>
              <w:t>β</w:t>
            </w:r>
            <w:r w:rsidR="00E434B7">
              <w:rPr>
                <w:rFonts w:ascii="Times New Roman" w:hAnsi="Times New Roman"/>
                <w:b/>
                <w:bCs/>
                <w:kern w:val="0"/>
                <w:sz w:val="16"/>
                <w:szCs w:val="16"/>
              </w:rPr>
              <w:t xml:space="preserve"> </w:t>
            </w:r>
            <w:r w:rsidR="00E434B7">
              <w:rPr>
                <w:rFonts w:ascii="Times New Roman" w:hAnsi="Times New Roman"/>
                <w:color w:val="231F20"/>
                <w:kern w:val="0"/>
                <w:sz w:val="16"/>
                <w:szCs w:val="16"/>
              </w:rPr>
              <w:t xml:space="preserve">coef and 95% CI for associations between the total BMI change and cardiometabolic risk factors stratified by BMI </w:t>
            </w:r>
            <w:r w:rsidR="00E434B7">
              <w:rPr>
                <w:rFonts w:ascii="Times New Roman" w:hAnsi="Times New Roman"/>
                <w:color w:val="231F20"/>
                <w:kern w:val="0"/>
                <w:sz w:val="16"/>
                <w:szCs w:val="16"/>
              </w:rPr>
              <w:t>trajectories(n=1305)</w:t>
            </w:r>
            <w:r w:rsidR="00E434B7">
              <w:rPr>
                <w:rFonts w:ascii="Times New Roman" w:hAnsi="Times New Roman"/>
                <w:color w:val="000000"/>
                <w:kern w:val="0"/>
                <w:sz w:val="16"/>
                <w:szCs w:val="16"/>
              </w:rPr>
              <w:t xml:space="preserve"> </w:t>
            </w:r>
            <w:r w:rsidR="006379D7">
              <w:rPr>
                <w:rFonts w:ascii="Segoe UI Symbol" w:hAnsi="Segoe UI Symbol" w:cs="Segoe UI Symbol"/>
                <w:color w:val="000000"/>
                <w:kern w:val="0"/>
                <w:sz w:val="16"/>
                <w:szCs w:val="16"/>
              </w:rPr>
              <w:t>*</w:t>
            </w:r>
            <w:r w:rsidR="00E434B7" w:rsidRPr="006379D7">
              <w:rPr>
                <w:rFonts w:ascii="Times New Roman" w:hAnsi="Times New Roman"/>
                <w:color w:val="000000"/>
                <w:kern w:val="0"/>
                <w:sz w:val="16"/>
                <w:szCs w:val="16"/>
                <w:vertAlign w:val="superscript"/>
              </w:rPr>
              <w:t>1</w:t>
            </w:r>
          </w:p>
        </w:tc>
        <w:tc>
          <w:tcPr>
            <w:tcW w:w="511" w:type="dxa"/>
            <w:vMerge w:val="restart"/>
            <w:tcBorders>
              <w:top w:val="nil"/>
              <w:left w:val="nil"/>
              <w:bottom w:val="nil"/>
              <w:right w:val="nil"/>
            </w:tcBorders>
            <w:shd w:val="clear" w:color="auto" w:fill="auto"/>
            <w:noWrap/>
            <w:textDirection w:val="btLr"/>
            <w:vAlign w:val="center"/>
          </w:tcPr>
          <w:p w14:paraId="7FDDDB32" w14:textId="7FD4EF99" w:rsidR="0072369B" w:rsidRDefault="00E434B7">
            <w:pPr>
              <w:widowControl/>
              <w:jc w:val="center"/>
              <w:textAlignment w:val="center"/>
              <w:rPr>
                <w:rFonts w:ascii="Times New Roman" w:hAnsi="Times New Roman"/>
                <w:color w:val="000000"/>
                <w:sz w:val="16"/>
                <w:szCs w:val="16"/>
              </w:rPr>
            </w:pPr>
            <w:r>
              <w:rPr>
                <w:rFonts w:ascii="Times New Roman" w:hAnsi="Times New Roman"/>
                <w:color w:val="000000"/>
                <w:kern w:val="0"/>
                <w:sz w:val="16"/>
                <w:szCs w:val="16"/>
                <w:lang w:bidi="ar"/>
              </w:rPr>
              <w:t>Total BMI change</w:t>
            </w:r>
            <w:r w:rsidR="00C51B51">
              <w:rPr>
                <w:rFonts w:ascii="Times New Roman" w:hAnsi="Times New Roman"/>
                <w:color w:val="000000"/>
                <w:kern w:val="0"/>
                <w:sz w:val="16"/>
                <w:szCs w:val="16"/>
                <w:lang w:bidi="ar"/>
              </w:rPr>
              <w:t xml:space="preserve"> </w:t>
            </w:r>
            <w:r>
              <w:rPr>
                <w:rStyle w:val="font61"/>
                <w:rFonts w:ascii="Times New Roman" w:hAnsi="Times New Roman" w:cs="Times New Roman" w:hint="default"/>
                <w:lang w:bidi="ar"/>
              </w:rPr>
              <w:t>＞</w:t>
            </w:r>
            <w:r>
              <w:rPr>
                <w:rStyle w:val="font51"/>
                <w:rFonts w:ascii="Times New Roman" w:hAnsi="Times New Roman" w:cs="Times New Roman"/>
                <w:lang w:bidi="ar"/>
              </w:rPr>
              <w:t>1.7</w:t>
            </w:r>
          </w:p>
        </w:tc>
        <w:tc>
          <w:tcPr>
            <w:tcW w:w="511" w:type="dxa"/>
            <w:tcBorders>
              <w:top w:val="nil"/>
              <w:left w:val="single" w:sz="4" w:space="0" w:color="auto"/>
              <w:bottom w:val="nil"/>
              <w:right w:val="single" w:sz="4" w:space="0" w:color="auto"/>
            </w:tcBorders>
            <w:shd w:val="clear" w:color="auto" w:fill="auto"/>
            <w:noWrap/>
            <w:textDirection w:val="btLr"/>
            <w:vAlign w:val="center"/>
          </w:tcPr>
          <w:p w14:paraId="7D2EF8FC"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Traj 4</w:t>
            </w:r>
          </w:p>
        </w:tc>
        <w:tc>
          <w:tcPr>
            <w:tcW w:w="675" w:type="dxa"/>
            <w:vMerge w:val="restart"/>
            <w:tcBorders>
              <w:top w:val="nil"/>
              <w:left w:val="single" w:sz="4" w:space="0" w:color="auto"/>
              <w:bottom w:val="nil"/>
              <w:right w:val="single" w:sz="4" w:space="0" w:color="auto"/>
            </w:tcBorders>
            <w:shd w:val="clear" w:color="auto" w:fill="auto"/>
            <w:textDirection w:val="btLr"/>
            <w:vAlign w:val="center"/>
          </w:tcPr>
          <w:p w14:paraId="0E12C413" w14:textId="49284412" w:rsidR="0072369B" w:rsidRDefault="00E434B7">
            <w:pPr>
              <w:widowControl/>
              <w:jc w:val="center"/>
              <w:textAlignment w:val="center"/>
              <w:rPr>
                <w:rFonts w:ascii="Times New Roman" w:hAnsi="Times New Roman"/>
                <w:color w:val="000000"/>
                <w:sz w:val="16"/>
                <w:szCs w:val="16"/>
              </w:rPr>
            </w:pPr>
            <w:r>
              <w:rPr>
                <w:rFonts w:ascii="Times New Roman" w:hAnsi="Times New Roman"/>
                <w:color w:val="000000"/>
                <w:kern w:val="0"/>
                <w:sz w:val="16"/>
                <w:szCs w:val="16"/>
                <w:lang w:bidi="ar"/>
              </w:rPr>
              <w:t>β(95% CI)</w:t>
            </w:r>
            <w:r>
              <w:rPr>
                <w:rFonts w:ascii="Times New Roman" w:hAnsi="Times New Roman"/>
                <w:color w:val="000000"/>
                <w:kern w:val="0"/>
                <w:sz w:val="16"/>
                <w:szCs w:val="16"/>
              </w:rPr>
              <w:t xml:space="preserve"> </w:t>
            </w:r>
            <w:r w:rsidR="006379D7">
              <w:rPr>
                <w:rFonts w:ascii="Segoe UI Symbol" w:hAnsi="Segoe UI Symbol" w:cs="Segoe UI Symbol"/>
                <w:color w:val="000000"/>
                <w:kern w:val="0"/>
                <w:sz w:val="16"/>
                <w:szCs w:val="16"/>
              </w:rPr>
              <w:t>*</w:t>
            </w:r>
            <w:r w:rsidRPr="006379D7">
              <w:rPr>
                <w:rFonts w:ascii="Times New Roman" w:hAnsi="Times New Roman"/>
                <w:color w:val="000000"/>
                <w:kern w:val="0"/>
                <w:sz w:val="16"/>
                <w:szCs w:val="16"/>
                <w:vertAlign w:val="superscript"/>
              </w:rPr>
              <w:t>4</w:t>
            </w:r>
            <w:r w:rsidRPr="006379D7">
              <w:rPr>
                <w:rStyle w:val="font51"/>
                <w:rFonts w:ascii="Times New Roman" w:hAnsi="Times New Roman" w:cs="Times New Roman"/>
                <w:vertAlign w:val="superscript"/>
                <w:lang w:bidi="ar"/>
              </w:rPr>
              <w:t xml:space="preserve"> </w:t>
            </w:r>
            <w:r>
              <w:rPr>
                <w:rStyle w:val="font51"/>
                <w:rFonts w:ascii="Times New Roman" w:hAnsi="Times New Roman" w:cs="Times New Roman"/>
                <w:lang w:bidi="ar"/>
              </w:rPr>
              <w:br/>
              <w:t>p</w:t>
            </w:r>
          </w:p>
        </w:tc>
        <w:tc>
          <w:tcPr>
            <w:tcW w:w="675" w:type="dxa"/>
            <w:tcBorders>
              <w:top w:val="nil"/>
              <w:left w:val="nil"/>
              <w:bottom w:val="nil"/>
              <w:right w:val="nil"/>
            </w:tcBorders>
            <w:shd w:val="clear" w:color="auto" w:fill="auto"/>
            <w:textDirection w:val="btLr"/>
            <w:vAlign w:val="center"/>
          </w:tcPr>
          <w:p w14:paraId="00F8CF5E"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0.09(0.04,0.15)</w:t>
            </w:r>
            <w:r>
              <w:rPr>
                <w:rFonts w:ascii="Times New Roman" w:hAnsi="Times New Roman"/>
                <w:color w:val="000000"/>
                <w:kern w:val="0"/>
                <w:sz w:val="16"/>
                <w:szCs w:val="16"/>
                <w:lang w:bidi="ar"/>
              </w:rPr>
              <w:br/>
              <w:t>0.001</w:t>
            </w:r>
          </w:p>
        </w:tc>
        <w:tc>
          <w:tcPr>
            <w:tcW w:w="674" w:type="dxa"/>
            <w:tcBorders>
              <w:top w:val="nil"/>
              <w:left w:val="nil"/>
              <w:bottom w:val="nil"/>
              <w:right w:val="nil"/>
            </w:tcBorders>
            <w:shd w:val="clear" w:color="auto" w:fill="auto"/>
            <w:textDirection w:val="btLr"/>
            <w:vAlign w:val="center"/>
          </w:tcPr>
          <w:p w14:paraId="6438010B"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9.81(5.50,14.12)</w:t>
            </w:r>
            <w:r>
              <w:rPr>
                <w:rFonts w:ascii="Times New Roman" w:hAnsi="Times New Roman"/>
                <w:color w:val="000000"/>
                <w:kern w:val="0"/>
                <w:sz w:val="16"/>
                <w:szCs w:val="16"/>
                <w:lang w:bidi="ar"/>
              </w:rPr>
              <w:br/>
              <w:t>0.000</w:t>
            </w:r>
          </w:p>
        </w:tc>
        <w:tc>
          <w:tcPr>
            <w:tcW w:w="674" w:type="dxa"/>
            <w:tcBorders>
              <w:top w:val="nil"/>
              <w:left w:val="nil"/>
              <w:bottom w:val="nil"/>
              <w:right w:val="nil"/>
            </w:tcBorders>
            <w:shd w:val="clear" w:color="auto" w:fill="auto"/>
            <w:textDirection w:val="btLr"/>
            <w:vAlign w:val="center"/>
          </w:tcPr>
          <w:p w14:paraId="538CF02B"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0.61(0.45,0.76)</w:t>
            </w:r>
            <w:r>
              <w:rPr>
                <w:rFonts w:ascii="Times New Roman" w:hAnsi="Times New Roman"/>
                <w:color w:val="000000"/>
                <w:kern w:val="0"/>
                <w:sz w:val="16"/>
                <w:szCs w:val="16"/>
                <w:lang w:bidi="ar"/>
              </w:rPr>
              <w:br/>
              <w:t>0.000</w:t>
            </w:r>
          </w:p>
        </w:tc>
        <w:tc>
          <w:tcPr>
            <w:tcW w:w="674" w:type="dxa"/>
            <w:tcBorders>
              <w:top w:val="nil"/>
              <w:left w:val="nil"/>
              <w:bottom w:val="nil"/>
              <w:right w:val="nil"/>
            </w:tcBorders>
            <w:shd w:val="clear" w:color="auto" w:fill="auto"/>
            <w:textDirection w:val="btLr"/>
            <w:vAlign w:val="center"/>
          </w:tcPr>
          <w:p w14:paraId="60E67983"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0.97(0.79,1.15)</w:t>
            </w:r>
            <w:r>
              <w:rPr>
                <w:rFonts w:ascii="Times New Roman" w:hAnsi="Times New Roman"/>
                <w:color w:val="000000"/>
                <w:kern w:val="0"/>
                <w:sz w:val="16"/>
                <w:szCs w:val="16"/>
                <w:lang w:bidi="ar"/>
              </w:rPr>
              <w:br/>
              <w:t>0.000</w:t>
            </w:r>
          </w:p>
        </w:tc>
        <w:tc>
          <w:tcPr>
            <w:tcW w:w="674" w:type="dxa"/>
            <w:tcBorders>
              <w:top w:val="nil"/>
              <w:left w:val="nil"/>
              <w:bottom w:val="nil"/>
              <w:right w:val="nil"/>
            </w:tcBorders>
            <w:shd w:val="clear" w:color="auto" w:fill="auto"/>
            <w:textDirection w:val="btLr"/>
            <w:vAlign w:val="center"/>
          </w:tcPr>
          <w:p w14:paraId="04D072E8"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0.12(―0.20,0.44)</w:t>
            </w:r>
            <w:r>
              <w:rPr>
                <w:rFonts w:ascii="Times New Roman" w:hAnsi="Times New Roman"/>
                <w:color w:val="000000"/>
                <w:kern w:val="0"/>
                <w:sz w:val="16"/>
                <w:szCs w:val="16"/>
                <w:lang w:bidi="ar"/>
              </w:rPr>
              <w:br/>
              <w:t>0.459</w:t>
            </w:r>
          </w:p>
        </w:tc>
        <w:tc>
          <w:tcPr>
            <w:tcW w:w="674" w:type="dxa"/>
            <w:tcBorders>
              <w:top w:val="nil"/>
              <w:left w:val="nil"/>
              <w:bottom w:val="nil"/>
              <w:right w:val="nil"/>
            </w:tcBorders>
            <w:shd w:val="clear" w:color="auto" w:fill="auto"/>
            <w:textDirection w:val="btLr"/>
            <w:vAlign w:val="center"/>
          </w:tcPr>
          <w:p w14:paraId="4BD4D95D"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0.61(0.37,0.84)</w:t>
            </w:r>
            <w:r>
              <w:rPr>
                <w:rFonts w:ascii="Times New Roman" w:hAnsi="Times New Roman"/>
                <w:color w:val="000000"/>
                <w:kern w:val="0"/>
                <w:sz w:val="16"/>
                <w:szCs w:val="16"/>
                <w:lang w:bidi="ar"/>
              </w:rPr>
              <w:br/>
              <w:t>0.000</w:t>
            </w:r>
          </w:p>
        </w:tc>
        <w:tc>
          <w:tcPr>
            <w:tcW w:w="674" w:type="dxa"/>
            <w:tcBorders>
              <w:top w:val="nil"/>
              <w:left w:val="nil"/>
              <w:bottom w:val="nil"/>
              <w:right w:val="nil"/>
            </w:tcBorders>
            <w:shd w:val="clear" w:color="auto" w:fill="auto"/>
            <w:textDirection w:val="btLr"/>
            <w:vAlign w:val="center"/>
          </w:tcPr>
          <w:p w14:paraId="3FA3AFA2"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―0.29(―0.40,―0.19)</w:t>
            </w:r>
            <w:r>
              <w:rPr>
                <w:rFonts w:ascii="Times New Roman" w:hAnsi="Times New Roman"/>
                <w:color w:val="000000"/>
                <w:kern w:val="0"/>
                <w:sz w:val="16"/>
                <w:szCs w:val="16"/>
                <w:lang w:bidi="ar"/>
              </w:rPr>
              <w:br/>
              <w:t>0.000</w:t>
            </w:r>
          </w:p>
        </w:tc>
        <w:tc>
          <w:tcPr>
            <w:tcW w:w="674" w:type="dxa"/>
            <w:tcBorders>
              <w:top w:val="nil"/>
              <w:left w:val="nil"/>
              <w:bottom w:val="nil"/>
              <w:right w:val="nil"/>
            </w:tcBorders>
            <w:shd w:val="clear" w:color="auto" w:fill="auto"/>
            <w:textDirection w:val="btLr"/>
            <w:vAlign w:val="center"/>
          </w:tcPr>
          <w:p w14:paraId="0595B472"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0.28(0.03,0.54)</w:t>
            </w:r>
            <w:r>
              <w:rPr>
                <w:rFonts w:ascii="Times New Roman" w:hAnsi="Times New Roman"/>
                <w:color w:val="000000"/>
                <w:kern w:val="0"/>
                <w:sz w:val="16"/>
                <w:szCs w:val="16"/>
                <w:lang w:bidi="ar"/>
              </w:rPr>
              <w:br/>
              <w:t>0.000</w:t>
            </w:r>
          </w:p>
        </w:tc>
        <w:tc>
          <w:tcPr>
            <w:tcW w:w="674" w:type="dxa"/>
            <w:tcBorders>
              <w:top w:val="nil"/>
              <w:left w:val="nil"/>
              <w:bottom w:val="nil"/>
              <w:right w:val="nil"/>
            </w:tcBorders>
            <w:shd w:val="clear" w:color="auto" w:fill="auto"/>
            <w:textDirection w:val="btLr"/>
            <w:vAlign w:val="center"/>
          </w:tcPr>
          <w:p w14:paraId="5B381DAE"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0.10(0.08,0.12)</w:t>
            </w:r>
            <w:r>
              <w:rPr>
                <w:rFonts w:ascii="Times New Roman" w:hAnsi="Times New Roman"/>
                <w:color w:val="000000"/>
                <w:kern w:val="0"/>
                <w:sz w:val="16"/>
                <w:szCs w:val="16"/>
                <w:lang w:bidi="ar"/>
              </w:rPr>
              <w:br/>
              <w:t>0.000</w:t>
            </w:r>
          </w:p>
        </w:tc>
        <w:tc>
          <w:tcPr>
            <w:tcW w:w="674" w:type="dxa"/>
            <w:tcBorders>
              <w:top w:val="nil"/>
              <w:left w:val="nil"/>
              <w:bottom w:val="nil"/>
              <w:right w:val="nil"/>
            </w:tcBorders>
            <w:shd w:val="clear" w:color="auto" w:fill="auto"/>
            <w:textDirection w:val="btLr"/>
            <w:vAlign w:val="center"/>
          </w:tcPr>
          <w:p w14:paraId="12D772C2"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36.91(27.15,46.68)</w:t>
            </w:r>
            <w:r>
              <w:rPr>
                <w:rFonts w:ascii="Times New Roman" w:hAnsi="Times New Roman"/>
                <w:color w:val="000000"/>
                <w:kern w:val="0"/>
                <w:sz w:val="16"/>
                <w:szCs w:val="16"/>
                <w:lang w:bidi="ar"/>
              </w:rPr>
              <w:br/>
              <w:t>0.000</w:t>
            </w:r>
          </w:p>
        </w:tc>
        <w:tc>
          <w:tcPr>
            <w:tcW w:w="674" w:type="dxa"/>
            <w:tcBorders>
              <w:top w:val="nil"/>
              <w:left w:val="nil"/>
              <w:bottom w:val="nil"/>
              <w:right w:val="single" w:sz="4" w:space="0" w:color="auto"/>
            </w:tcBorders>
            <w:shd w:val="clear" w:color="auto" w:fill="auto"/>
            <w:textDirection w:val="btLr"/>
            <w:vAlign w:val="center"/>
          </w:tcPr>
          <w:p w14:paraId="6E5A2815"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0.01(―0.01,0.04)</w:t>
            </w:r>
            <w:r>
              <w:rPr>
                <w:rFonts w:ascii="Times New Roman" w:hAnsi="Times New Roman"/>
                <w:color w:val="000000"/>
                <w:kern w:val="0"/>
                <w:sz w:val="16"/>
                <w:szCs w:val="16"/>
                <w:lang w:bidi="ar"/>
              </w:rPr>
              <w:br/>
              <w:t>0.291</w:t>
            </w:r>
          </w:p>
        </w:tc>
      </w:tr>
      <w:tr w:rsidR="0072369B" w14:paraId="13BD44E4" w14:textId="77777777" w:rsidTr="007A43BA">
        <w:trPr>
          <w:trHeight w:val="1760"/>
        </w:trPr>
        <w:tc>
          <w:tcPr>
            <w:tcW w:w="758" w:type="dxa"/>
            <w:vMerge/>
            <w:tcBorders>
              <w:top w:val="nil"/>
              <w:left w:val="nil"/>
              <w:bottom w:val="nil"/>
              <w:right w:val="single" w:sz="4" w:space="0" w:color="auto"/>
            </w:tcBorders>
            <w:shd w:val="clear" w:color="auto" w:fill="auto"/>
            <w:noWrap/>
            <w:textDirection w:val="btLr"/>
            <w:vAlign w:val="center"/>
          </w:tcPr>
          <w:p w14:paraId="6035E901" w14:textId="77777777" w:rsidR="0072369B" w:rsidRDefault="0072369B">
            <w:pPr>
              <w:rPr>
                <w:rFonts w:ascii="Times New Roman" w:hAnsi="Times New Roman"/>
                <w:color w:val="000000"/>
                <w:sz w:val="16"/>
                <w:szCs w:val="16"/>
              </w:rPr>
            </w:pPr>
          </w:p>
        </w:tc>
        <w:tc>
          <w:tcPr>
            <w:tcW w:w="511" w:type="dxa"/>
            <w:vMerge/>
            <w:tcBorders>
              <w:top w:val="nil"/>
              <w:left w:val="nil"/>
              <w:bottom w:val="nil"/>
              <w:right w:val="nil"/>
            </w:tcBorders>
            <w:shd w:val="clear" w:color="auto" w:fill="auto"/>
            <w:noWrap/>
            <w:textDirection w:val="btLr"/>
            <w:vAlign w:val="center"/>
          </w:tcPr>
          <w:p w14:paraId="0F38C5F3" w14:textId="77777777" w:rsidR="0072369B" w:rsidRDefault="0072369B">
            <w:pPr>
              <w:jc w:val="center"/>
              <w:rPr>
                <w:rFonts w:ascii="Times New Roman" w:hAnsi="Times New Roman"/>
                <w:color w:val="000000"/>
                <w:sz w:val="16"/>
                <w:szCs w:val="16"/>
              </w:rPr>
            </w:pPr>
          </w:p>
        </w:tc>
        <w:tc>
          <w:tcPr>
            <w:tcW w:w="0" w:type="auto"/>
            <w:tcBorders>
              <w:top w:val="nil"/>
              <w:left w:val="single" w:sz="4" w:space="0" w:color="auto"/>
              <w:bottom w:val="nil"/>
              <w:right w:val="single" w:sz="4" w:space="0" w:color="auto"/>
            </w:tcBorders>
            <w:shd w:val="clear" w:color="auto" w:fill="auto"/>
            <w:noWrap/>
            <w:textDirection w:val="btLr"/>
            <w:vAlign w:val="center"/>
          </w:tcPr>
          <w:p w14:paraId="100EB50D"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Traj 3</w:t>
            </w:r>
          </w:p>
        </w:tc>
        <w:tc>
          <w:tcPr>
            <w:tcW w:w="675" w:type="dxa"/>
            <w:vMerge/>
            <w:tcBorders>
              <w:top w:val="nil"/>
              <w:left w:val="single" w:sz="4" w:space="0" w:color="auto"/>
              <w:bottom w:val="nil"/>
              <w:right w:val="single" w:sz="4" w:space="0" w:color="auto"/>
            </w:tcBorders>
            <w:shd w:val="clear" w:color="auto" w:fill="auto"/>
            <w:textDirection w:val="btLr"/>
            <w:vAlign w:val="center"/>
          </w:tcPr>
          <w:p w14:paraId="1F4468ED" w14:textId="77777777" w:rsidR="0072369B" w:rsidRDefault="0072369B">
            <w:pPr>
              <w:jc w:val="center"/>
              <w:rPr>
                <w:rFonts w:ascii="Times New Roman" w:hAnsi="Times New Roman"/>
                <w:color w:val="000000"/>
                <w:sz w:val="16"/>
                <w:szCs w:val="16"/>
              </w:rPr>
            </w:pPr>
          </w:p>
        </w:tc>
        <w:tc>
          <w:tcPr>
            <w:tcW w:w="675" w:type="dxa"/>
            <w:tcBorders>
              <w:top w:val="nil"/>
              <w:left w:val="nil"/>
              <w:bottom w:val="nil"/>
              <w:right w:val="nil"/>
            </w:tcBorders>
            <w:shd w:val="clear" w:color="auto" w:fill="auto"/>
            <w:textDirection w:val="btLr"/>
            <w:vAlign w:val="center"/>
          </w:tcPr>
          <w:p w14:paraId="1E79FE3A"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0.03(―0.01,0.06)</w:t>
            </w:r>
            <w:r>
              <w:rPr>
                <w:rFonts w:ascii="Times New Roman" w:hAnsi="Times New Roman"/>
                <w:color w:val="000000"/>
                <w:kern w:val="0"/>
                <w:sz w:val="16"/>
                <w:szCs w:val="16"/>
                <w:lang w:bidi="ar"/>
              </w:rPr>
              <w:br/>
              <w:t>0.192</w:t>
            </w:r>
          </w:p>
        </w:tc>
        <w:tc>
          <w:tcPr>
            <w:tcW w:w="674" w:type="dxa"/>
            <w:tcBorders>
              <w:top w:val="nil"/>
              <w:left w:val="nil"/>
              <w:bottom w:val="nil"/>
              <w:right w:val="nil"/>
            </w:tcBorders>
            <w:shd w:val="clear" w:color="auto" w:fill="auto"/>
            <w:textDirection w:val="btLr"/>
            <w:vAlign w:val="center"/>
          </w:tcPr>
          <w:p w14:paraId="491ABE67"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2.94(―0.06,5.94)</w:t>
            </w:r>
            <w:r>
              <w:rPr>
                <w:rFonts w:ascii="Times New Roman" w:hAnsi="Times New Roman"/>
                <w:color w:val="000000"/>
                <w:kern w:val="0"/>
                <w:sz w:val="16"/>
                <w:szCs w:val="16"/>
                <w:lang w:bidi="ar"/>
              </w:rPr>
              <w:br/>
              <w:t>0.055</w:t>
            </w:r>
          </w:p>
        </w:tc>
        <w:tc>
          <w:tcPr>
            <w:tcW w:w="674" w:type="dxa"/>
            <w:tcBorders>
              <w:top w:val="nil"/>
              <w:left w:val="nil"/>
              <w:bottom w:val="nil"/>
              <w:right w:val="nil"/>
            </w:tcBorders>
            <w:shd w:val="clear" w:color="auto" w:fill="auto"/>
            <w:textDirection w:val="btLr"/>
            <w:vAlign w:val="center"/>
          </w:tcPr>
          <w:p w14:paraId="22074C43"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0.26(0.14,0.37)</w:t>
            </w:r>
            <w:r>
              <w:rPr>
                <w:rFonts w:ascii="Times New Roman" w:hAnsi="Times New Roman"/>
                <w:color w:val="000000"/>
                <w:kern w:val="0"/>
                <w:sz w:val="16"/>
                <w:szCs w:val="16"/>
                <w:lang w:bidi="ar"/>
              </w:rPr>
              <w:br/>
              <w:t>0.000</w:t>
            </w:r>
          </w:p>
        </w:tc>
        <w:tc>
          <w:tcPr>
            <w:tcW w:w="674" w:type="dxa"/>
            <w:tcBorders>
              <w:top w:val="nil"/>
              <w:left w:val="nil"/>
              <w:bottom w:val="nil"/>
              <w:right w:val="nil"/>
            </w:tcBorders>
            <w:shd w:val="clear" w:color="auto" w:fill="auto"/>
            <w:textDirection w:val="btLr"/>
            <w:vAlign w:val="center"/>
          </w:tcPr>
          <w:p w14:paraId="0D056DD3"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0.54(0.41,0.67)</w:t>
            </w:r>
            <w:r>
              <w:rPr>
                <w:rFonts w:ascii="Times New Roman" w:hAnsi="Times New Roman"/>
                <w:color w:val="000000"/>
                <w:kern w:val="0"/>
                <w:sz w:val="16"/>
                <w:szCs w:val="16"/>
                <w:lang w:bidi="ar"/>
              </w:rPr>
              <w:br/>
              <w:t>0.000</w:t>
            </w:r>
          </w:p>
        </w:tc>
        <w:tc>
          <w:tcPr>
            <w:tcW w:w="674" w:type="dxa"/>
            <w:tcBorders>
              <w:top w:val="nil"/>
              <w:left w:val="nil"/>
              <w:bottom w:val="nil"/>
              <w:right w:val="nil"/>
            </w:tcBorders>
            <w:shd w:val="clear" w:color="auto" w:fill="auto"/>
            <w:textDirection w:val="btLr"/>
            <w:vAlign w:val="center"/>
          </w:tcPr>
          <w:p w14:paraId="2452F612"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0.36(0.13,0.58)</w:t>
            </w:r>
            <w:r>
              <w:rPr>
                <w:rFonts w:ascii="Times New Roman" w:hAnsi="Times New Roman"/>
                <w:color w:val="000000"/>
                <w:kern w:val="0"/>
                <w:sz w:val="16"/>
                <w:szCs w:val="16"/>
                <w:lang w:bidi="ar"/>
              </w:rPr>
              <w:br/>
              <w:t>0.002</w:t>
            </w:r>
          </w:p>
        </w:tc>
        <w:tc>
          <w:tcPr>
            <w:tcW w:w="674" w:type="dxa"/>
            <w:tcBorders>
              <w:top w:val="nil"/>
              <w:left w:val="nil"/>
              <w:bottom w:val="nil"/>
              <w:right w:val="nil"/>
            </w:tcBorders>
            <w:shd w:val="clear" w:color="auto" w:fill="auto"/>
            <w:textDirection w:val="btLr"/>
            <w:vAlign w:val="center"/>
          </w:tcPr>
          <w:p w14:paraId="1DB6CFC8"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0.44(0.27,0.60)</w:t>
            </w:r>
            <w:r>
              <w:rPr>
                <w:rFonts w:ascii="Times New Roman" w:hAnsi="Times New Roman"/>
                <w:color w:val="000000"/>
                <w:kern w:val="0"/>
                <w:sz w:val="16"/>
                <w:szCs w:val="16"/>
                <w:lang w:bidi="ar"/>
              </w:rPr>
              <w:br/>
              <w:t>0.000</w:t>
            </w:r>
          </w:p>
        </w:tc>
        <w:tc>
          <w:tcPr>
            <w:tcW w:w="674" w:type="dxa"/>
            <w:tcBorders>
              <w:top w:val="nil"/>
              <w:left w:val="nil"/>
              <w:bottom w:val="nil"/>
              <w:right w:val="nil"/>
            </w:tcBorders>
            <w:shd w:val="clear" w:color="auto" w:fill="auto"/>
            <w:textDirection w:val="btLr"/>
            <w:vAlign w:val="center"/>
          </w:tcPr>
          <w:p w14:paraId="094DEAD3"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―0.10(―0.18,―0.03)</w:t>
            </w:r>
            <w:r>
              <w:rPr>
                <w:rFonts w:ascii="Times New Roman" w:hAnsi="Times New Roman"/>
                <w:color w:val="000000"/>
                <w:kern w:val="0"/>
                <w:sz w:val="16"/>
                <w:szCs w:val="16"/>
                <w:lang w:bidi="ar"/>
              </w:rPr>
              <w:br/>
              <w:t>0.008</w:t>
            </w:r>
          </w:p>
        </w:tc>
        <w:tc>
          <w:tcPr>
            <w:tcW w:w="674" w:type="dxa"/>
            <w:tcBorders>
              <w:top w:val="nil"/>
              <w:left w:val="nil"/>
              <w:bottom w:val="nil"/>
              <w:right w:val="nil"/>
            </w:tcBorders>
            <w:shd w:val="clear" w:color="auto" w:fill="auto"/>
            <w:textDirection w:val="btLr"/>
            <w:vAlign w:val="center"/>
          </w:tcPr>
          <w:p w14:paraId="0D3658DA"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0.39(0.20,0.57)</w:t>
            </w:r>
            <w:r>
              <w:rPr>
                <w:rFonts w:ascii="Times New Roman" w:hAnsi="Times New Roman"/>
                <w:color w:val="000000"/>
                <w:kern w:val="0"/>
                <w:sz w:val="16"/>
                <w:szCs w:val="16"/>
                <w:lang w:bidi="ar"/>
              </w:rPr>
              <w:br/>
              <w:t>0.002</w:t>
            </w:r>
          </w:p>
        </w:tc>
        <w:tc>
          <w:tcPr>
            <w:tcW w:w="674" w:type="dxa"/>
            <w:tcBorders>
              <w:top w:val="nil"/>
              <w:left w:val="nil"/>
              <w:bottom w:val="nil"/>
              <w:right w:val="nil"/>
            </w:tcBorders>
            <w:shd w:val="clear" w:color="auto" w:fill="auto"/>
            <w:textDirection w:val="btLr"/>
            <w:vAlign w:val="center"/>
          </w:tcPr>
          <w:p w14:paraId="78FB5F82"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0.04(0.03,0.05)</w:t>
            </w:r>
            <w:r>
              <w:rPr>
                <w:rFonts w:ascii="Times New Roman" w:hAnsi="Times New Roman"/>
                <w:color w:val="000000"/>
                <w:kern w:val="0"/>
                <w:sz w:val="16"/>
                <w:szCs w:val="16"/>
                <w:lang w:bidi="ar"/>
              </w:rPr>
              <w:br/>
              <w:t>0.000</w:t>
            </w:r>
          </w:p>
        </w:tc>
        <w:tc>
          <w:tcPr>
            <w:tcW w:w="674" w:type="dxa"/>
            <w:tcBorders>
              <w:top w:val="nil"/>
              <w:left w:val="nil"/>
              <w:bottom w:val="nil"/>
              <w:right w:val="nil"/>
            </w:tcBorders>
            <w:shd w:val="clear" w:color="auto" w:fill="auto"/>
            <w:textDirection w:val="btLr"/>
            <w:vAlign w:val="center"/>
          </w:tcPr>
          <w:p w14:paraId="5E8C06E5"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13.80(7.00,20.59)</w:t>
            </w:r>
            <w:r>
              <w:rPr>
                <w:rFonts w:ascii="Times New Roman" w:hAnsi="Times New Roman"/>
                <w:color w:val="000000"/>
                <w:kern w:val="0"/>
                <w:sz w:val="16"/>
                <w:szCs w:val="16"/>
                <w:lang w:bidi="ar"/>
              </w:rPr>
              <w:br/>
              <w:t>0.000</w:t>
            </w:r>
          </w:p>
        </w:tc>
        <w:tc>
          <w:tcPr>
            <w:tcW w:w="674" w:type="dxa"/>
            <w:tcBorders>
              <w:top w:val="nil"/>
              <w:left w:val="nil"/>
              <w:bottom w:val="nil"/>
              <w:right w:val="single" w:sz="4" w:space="0" w:color="auto"/>
            </w:tcBorders>
            <w:shd w:val="clear" w:color="auto" w:fill="auto"/>
            <w:textDirection w:val="btLr"/>
            <w:vAlign w:val="center"/>
          </w:tcPr>
          <w:p w14:paraId="3CF16505"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0.02(0.00,0.04)</w:t>
            </w:r>
            <w:r>
              <w:rPr>
                <w:rFonts w:ascii="Times New Roman" w:hAnsi="Times New Roman"/>
                <w:color w:val="000000"/>
                <w:kern w:val="0"/>
                <w:sz w:val="16"/>
                <w:szCs w:val="16"/>
                <w:lang w:bidi="ar"/>
              </w:rPr>
              <w:br/>
              <w:t>0.034</w:t>
            </w:r>
          </w:p>
        </w:tc>
      </w:tr>
      <w:tr w:rsidR="0072369B" w14:paraId="718BF812" w14:textId="77777777" w:rsidTr="007A43BA">
        <w:trPr>
          <w:trHeight w:val="1760"/>
        </w:trPr>
        <w:tc>
          <w:tcPr>
            <w:tcW w:w="758" w:type="dxa"/>
            <w:vMerge/>
            <w:tcBorders>
              <w:top w:val="nil"/>
              <w:left w:val="nil"/>
              <w:bottom w:val="nil"/>
              <w:right w:val="single" w:sz="4" w:space="0" w:color="auto"/>
            </w:tcBorders>
            <w:shd w:val="clear" w:color="auto" w:fill="auto"/>
            <w:noWrap/>
            <w:textDirection w:val="btLr"/>
            <w:vAlign w:val="center"/>
          </w:tcPr>
          <w:p w14:paraId="5F088AA9" w14:textId="77777777" w:rsidR="0072369B" w:rsidRDefault="0072369B">
            <w:pPr>
              <w:rPr>
                <w:rFonts w:ascii="Times New Roman" w:hAnsi="Times New Roman"/>
                <w:color w:val="000000"/>
                <w:sz w:val="16"/>
                <w:szCs w:val="16"/>
              </w:rPr>
            </w:pPr>
          </w:p>
        </w:tc>
        <w:tc>
          <w:tcPr>
            <w:tcW w:w="511" w:type="dxa"/>
            <w:vMerge/>
            <w:tcBorders>
              <w:top w:val="nil"/>
              <w:left w:val="nil"/>
              <w:bottom w:val="nil"/>
              <w:right w:val="nil"/>
            </w:tcBorders>
            <w:shd w:val="clear" w:color="auto" w:fill="auto"/>
            <w:noWrap/>
            <w:textDirection w:val="btLr"/>
            <w:vAlign w:val="center"/>
          </w:tcPr>
          <w:p w14:paraId="65BC5932" w14:textId="77777777" w:rsidR="0072369B" w:rsidRDefault="0072369B">
            <w:pPr>
              <w:jc w:val="center"/>
              <w:rPr>
                <w:rFonts w:ascii="Times New Roman" w:hAnsi="Times New Roman"/>
                <w:color w:val="000000"/>
                <w:sz w:val="16"/>
                <w:szCs w:val="16"/>
              </w:rPr>
            </w:pPr>
          </w:p>
        </w:tc>
        <w:tc>
          <w:tcPr>
            <w:tcW w:w="0" w:type="auto"/>
            <w:tcBorders>
              <w:top w:val="nil"/>
              <w:left w:val="single" w:sz="4" w:space="0" w:color="auto"/>
              <w:bottom w:val="nil"/>
              <w:right w:val="single" w:sz="4" w:space="0" w:color="auto"/>
            </w:tcBorders>
            <w:shd w:val="clear" w:color="auto" w:fill="auto"/>
            <w:noWrap/>
            <w:textDirection w:val="btLr"/>
            <w:vAlign w:val="center"/>
          </w:tcPr>
          <w:p w14:paraId="05B6D14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Traj 2</w:t>
            </w:r>
          </w:p>
        </w:tc>
        <w:tc>
          <w:tcPr>
            <w:tcW w:w="675" w:type="dxa"/>
            <w:vMerge/>
            <w:tcBorders>
              <w:top w:val="nil"/>
              <w:left w:val="single" w:sz="4" w:space="0" w:color="auto"/>
              <w:bottom w:val="nil"/>
              <w:right w:val="single" w:sz="4" w:space="0" w:color="auto"/>
            </w:tcBorders>
            <w:shd w:val="clear" w:color="auto" w:fill="auto"/>
            <w:textDirection w:val="btLr"/>
            <w:vAlign w:val="center"/>
          </w:tcPr>
          <w:p w14:paraId="51871271" w14:textId="77777777" w:rsidR="0072369B" w:rsidRDefault="0072369B">
            <w:pPr>
              <w:jc w:val="center"/>
              <w:rPr>
                <w:rFonts w:ascii="Times New Roman" w:hAnsi="Times New Roman"/>
                <w:color w:val="000000"/>
                <w:sz w:val="16"/>
                <w:szCs w:val="16"/>
              </w:rPr>
            </w:pPr>
          </w:p>
        </w:tc>
        <w:tc>
          <w:tcPr>
            <w:tcW w:w="675" w:type="dxa"/>
            <w:tcBorders>
              <w:top w:val="nil"/>
              <w:left w:val="nil"/>
              <w:bottom w:val="nil"/>
              <w:right w:val="nil"/>
            </w:tcBorders>
            <w:shd w:val="clear" w:color="auto" w:fill="auto"/>
            <w:textDirection w:val="btLr"/>
            <w:vAlign w:val="center"/>
          </w:tcPr>
          <w:p w14:paraId="45DB52BD"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0.01(―0.02,0.05)</w:t>
            </w:r>
            <w:r>
              <w:rPr>
                <w:rFonts w:ascii="Times New Roman" w:hAnsi="Times New Roman"/>
                <w:color w:val="000000"/>
                <w:kern w:val="0"/>
                <w:sz w:val="16"/>
                <w:szCs w:val="16"/>
                <w:lang w:bidi="ar"/>
              </w:rPr>
              <w:br/>
              <w:t>0.452</w:t>
            </w:r>
          </w:p>
        </w:tc>
        <w:tc>
          <w:tcPr>
            <w:tcW w:w="674" w:type="dxa"/>
            <w:tcBorders>
              <w:top w:val="nil"/>
              <w:left w:val="nil"/>
              <w:bottom w:val="nil"/>
              <w:right w:val="nil"/>
            </w:tcBorders>
            <w:shd w:val="clear" w:color="auto" w:fill="auto"/>
            <w:textDirection w:val="btLr"/>
            <w:vAlign w:val="center"/>
          </w:tcPr>
          <w:p w14:paraId="0A0206C3"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2.25(―0.28,4.77)</w:t>
            </w:r>
            <w:r>
              <w:rPr>
                <w:rFonts w:ascii="Times New Roman" w:hAnsi="Times New Roman"/>
                <w:color w:val="000000"/>
                <w:kern w:val="0"/>
                <w:sz w:val="16"/>
                <w:szCs w:val="16"/>
                <w:lang w:bidi="ar"/>
              </w:rPr>
              <w:br/>
              <w:t>0.081</w:t>
            </w:r>
          </w:p>
        </w:tc>
        <w:tc>
          <w:tcPr>
            <w:tcW w:w="674" w:type="dxa"/>
            <w:tcBorders>
              <w:top w:val="nil"/>
              <w:left w:val="nil"/>
              <w:bottom w:val="nil"/>
              <w:right w:val="nil"/>
            </w:tcBorders>
            <w:shd w:val="clear" w:color="auto" w:fill="auto"/>
            <w:textDirection w:val="btLr"/>
            <w:vAlign w:val="center"/>
          </w:tcPr>
          <w:p w14:paraId="0ACA221D"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0.14(0.05,0.24)</w:t>
            </w:r>
            <w:r>
              <w:rPr>
                <w:rFonts w:ascii="Times New Roman" w:hAnsi="Times New Roman"/>
                <w:color w:val="000000"/>
                <w:kern w:val="0"/>
                <w:sz w:val="16"/>
                <w:szCs w:val="16"/>
                <w:lang w:bidi="ar"/>
              </w:rPr>
              <w:br/>
              <w:t>0.003</w:t>
            </w:r>
          </w:p>
        </w:tc>
        <w:tc>
          <w:tcPr>
            <w:tcW w:w="674" w:type="dxa"/>
            <w:tcBorders>
              <w:top w:val="nil"/>
              <w:left w:val="nil"/>
              <w:bottom w:val="nil"/>
              <w:right w:val="nil"/>
            </w:tcBorders>
            <w:shd w:val="clear" w:color="auto" w:fill="auto"/>
            <w:textDirection w:val="btLr"/>
            <w:vAlign w:val="center"/>
          </w:tcPr>
          <w:p w14:paraId="078B59A7"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0.33(0.22,0.44)</w:t>
            </w:r>
            <w:r>
              <w:rPr>
                <w:rFonts w:ascii="Times New Roman" w:hAnsi="Times New Roman"/>
                <w:color w:val="000000"/>
                <w:kern w:val="0"/>
                <w:sz w:val="16"/>
                <w:szCs w:val="16"/>
                <w:lang w:bidi="ar"/>
              </w:rPr>
              <w:br/>
              <w:t>0.000</w:t>
            </w:r>
          </w:p>
        </w:tc>
        <w:tc>
          <w:tcPr>
            <w:tcW w:w="674" w:type="dxa"/>
            <w:tcBorders>
              <w:top w:val="nil"/>
              <w:left w:val="nil"/>
              <w:bottom w:val="nil"/>
              <w:right w:val="nil"/>
            </w:tcBorders>
            <w:shd w:val="clear" w:color="auto" w:fill="auto"/>
            <w:textDirection w:val="btLr"/>
            <w:vAlign w:val="center"/>
          </w:tcPr>
          <w:p w14:paraId="07FB081B"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0.21(0.02,0.40)</w:t>
            </w:r>
            <w:r>
              <w:rPr>
                <w:rFonts w:ascii="Times New Roman" w:hAnsi="Times New Roman"/>
                <w:color w:val="000000"/>
                <w:kern w:val="0"/>
                <w:sz w:val="16"/>
                <w:szCs w:val="16"/>
                <w:lang w:bidi="ar"/>
              </w:rPr>
              <w:br/>
              <w:t>0.030</w:t>
            </w:r>
          </w:p>
        </w:tc>
        <w:tc>
          <w:tcPr>
            <w:tcW w:w="674" w:type="dxa"/>
            <w:tcBorders>
              <w:top w:val="nil"/>
              <w:left w:val="nil"/>
              <w:bottom w:val="nil"/>
              <w:right w:val="nil"/>
            </w:tcBorders>
            <w:shd w:val="clear" w:color="auto" w:fill="auto"/>
            <w:textDirection w:val="btLr"/>
            <w:vAlign w:val="center"/>
          </w:tcPr>
          <w:p w14:paraId="44729C45"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0.35(0.21,0.49)</w:t>
            </w:r>
            <w:r>
              <w:rPr>
                <w:rFonts w:ascii="Times New Roman" w:hAnsi="Times New Roman"/>
                <w:color w:val="000000"/>
                <w:kern w:val="0"/>
                <w:sz w:val="16"/>
                <w:szCs w:val="16"/>
                <w:lang w:bidi="ar"/>
              </w:rPr>
              <w:br/>
              <w:t>0.000</w:t>
            </w:r>
          </w:p>
        </w:tc>
        <w:tc>
          <w:tcPr>
            <w:tcW w:w="674" w:type="dxa"/>
            <w:tcBorders>
              <w:top w:val="nil"/>
              <w:left w:val="nil"/>
              <w:bottom w:val="nil"/>
              <w:right w:val="nil"/>
            </w:tcBorders>
            <w:shd w:val="clear" w:color="auto" w:fill="auto"/>
            <w:textDirection w:val="btLr"/>
            <w:vAlign w:val="center"/>
          </w:tcPr>
          <w:p w14:paraId="7BE1E033"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―0.15(―0.21,―0.09)</w:t>
            </w:r>
            <w:r>
              <w:rPr>
                <w:rFonts w:ascii="Times New Roman" w:hAnsi="Times New Roman"/>
                <w:color w:val="000000"/>
                <w:kern w:val="0"/>
                <w:sz w:val="16"/>
                <w:szCs w:val="16"/>
                <w:lang w:bidi="ar"/>
              </w:rPr>
              <w:br/>
              <w:t>0.000</w:t>
            </w:r>
          </w:p>
        </w:tc>
        <w:tc>
          <w:tcPr>
            <w:tcW w:w="674" w:type="dxa"/>
            <w:tcBorders>
              <w:top w:val="nil"/>
              <w:left w:val="nil"/>
              <w:bottom w:val="nil"/>
              <w:right w:val="nil"/>
            </w:tcBorders>
            <w:shd w:val="clear" w:color="auto" w:fill="auto"/>
            <w:textDirection w:val="btLr"/>
            <w:vAlign w:val="center"/>
          </w:tcPr>
          <w:p w14:paraId="2362FC44"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0.24(0.08,0.39)</w:t>
            </w:r>
            <w:r>
              <w:rPr>
                <w:rFonts w:ascii="Times New Roman" w:hAnsi="Times New Roman"/>
                <w:color w:val="000000"/>
                <w:kern w:val="0"/>
                <w:sz w:val="16"/>
                <w:szCs w:val="16"/>
                <w:lang w:bidi="ar"/>
              </w:rPr>
              <w:br/>
              <w:t>0.014</w:t>
            </w:r>
          </w:p>
        </w:tc>
        <w:tc>
          <w:tcPr>
            <w:tcW w:w="674" w:type="dxa"/>
            <w:tcBorders>
              <w:top w:val="nil"/>
              <w:left w:val="nil"/>
              <w:bottom w:val="nil"/>
              <w:right w:val="nil"/>
            </w:tcBorders>
            <w:shd w:val="clear" w:color="auto" w:fill="auto"/>
            <w:textDirection w:val="btLr"/>
            <w:vAlign w:val="center"/>
          </w:tcPr>
          <w:p w14:paraId="27747A5F"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0.01(0.00,0.02)</w:t>
            </w:r>
            <w:r>
              <w:rPr>
                <w:rFonts w:ascii="Times New Roman" w:hAnsi="Times New Roman"/>
                <w:color w:val="000000"/>
                <w:kern w:val="0"/>
                <w:sz w:val="16"/>
                <w:szCs w:val="16"/>
                <w:lang w:bidi="ar"/>
              </w:rPr>
              <w:br/>
              <w:t>0.006</w:t>
            </w:r>
          </w:p>
        </w:tc>
        <w:tc>
          <w:tcPr>
            <w:tcW w:w="674" w:type="dxa"/>
            <w:tcBorders>
              <w:top w:val="nil"/>
              <w:left w:val="nil"/>
              <w:bottom w:val="nil"/>
              <w:right w:val="nil"/>
            </w:tcBorders>
            <w:shd w:val="clear" w:color="auto" w:fill="auto"/>
            <w:textDirection w:val="btLr"/>
            <w:vAlign w:val="center"/>
          </w:tcPr>
          <w:p w14:paraId="3A8754CC"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12.59(6.88,18.29)</w:t>
            </w:r>
            <w:r>
              <w:rPr>
                <w:rFonts w:ascii="Times New Roman" w:hAnsi="Times New Roman"/>
                <w:color w:val="000000"/>
                <w:kern w:val="0"/>
                <w:sz w:val="16"/>
                <w:szCs w:val="16"/>
                <w:lang w:bidi="ar"/>
              </w:rPr>
              <w:br/>
              <w:t>0.000</w:t>
            </w:r>
          </w:p>
        </w:tc>
        <w:tc>
          <w:tcPr>
            <w:tcW w:w="674" w:type="dxa"/>
            <w:tcBorders>
              <w:top w:val="nil"/>
              <w:left w:val="nil"/>
              <w:bottom w:val="nil"/>
              <w:right w:val="single" w:sz="4" w:space="0" w:color="auto"/>
            </w:tcBorders>
            <w:shd w:val="clear" w:color="auto" w:fill="auto"/>
            <w:textDirection w:val="btLr"/>
            <w:vAlign w:val="center"/>
          </w:tcPr>
          <w:p w14:paraId="74CCD81E"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0.01(―0.00,0.03)</w:t>
            </w:r>
            <w:r>
              <w:rPr>
                <w:rFonts w:ascii="Times New Roman" w:hAnsi="Times New Roman"/>
                <w:color w:val="000000"/>
                <w:kern w:val="0"/>
                <w:sz w:val="16"/>
                <w:szCs w:val="16"/>
                <w:lang w:bidi="ar"/>
              </w:rPr>
              <w:br/>
              <w:t>0.142</w:t>
            </w:r>
          </w:p>
        </w:tc>
      </w:tr>
      <w:tr w:rsidR="0072369B" w14:paraId="70570528" w14:textId="77777777" w:rsidTr="007A43BA">
        <w:trPr>
          <w:trHeight w:val="1760"/>
        </w:trPr>
        <w:tc>
          <w:tcPr>
            <w:tcW w:w="758" w:type="dxa"/>
            <w:vMerge/>
            <w:tcBorders>
              <w:top w:val="nil"/>
              <w:left w:val="nil"/>
              <w:bottom w:val="nil"/>
              <w:right w:val="single" w:sz="4" w:space="0" w:color="auto"/>
            </w:tcBorders>
            <w:shd w:val="clear" w:color="auto" w:fill="auto"/>
            <w:noWrap/>
            <w:textDirection w:val="btLr"/>
            <w:vAlign w:val="center"/>
          </w:tcPr>
          <w:p w14:paraId="21B8D070" w14:textId="77777777" w:rsidR="0072369B" w:rsidRDefault="0072369B">
            <w:pPr>
              <w:rPr>
                <w:rFonts w:ascii="Times New Roman" w:hAnsi="Times New Roman"/>
                <w:color w:val="000000"/>
                <w:sz w:val="16"/>
                <w:szCs w:val="16"/>
              </w:rPr>
            </w:pPr>
          </w:p>
        </w:tc>
        <w:tc>
          <w:tcPr>
            <w:tcW w:w="511" w:type="dxa"/>
            <w:vMerge/>
            <w:tcBorders>
              <w:top w:val="nil"/>
              <w:left w:val="nil"/>
              <w:bottom w:val="nil"/>
              <w:right w:val="nil"/>
            </w:tcBorders>
            <w:shd w:val="clear" w:color="auto" w:fill="auto"/>
            <w:noWrap/>
            <w:textDirection w:val="btLr"/>
            <w:vAlign w:val="center"/>
          </w:tcPr>
          <w:p w14:paraId="4A2122F1" w14:textId="77777777" w:rsidR="0072369B" w:rsidRDefault="0072369B">
            <w:pPr>
              <w:jc w:val="center"/>
              <w:rPr>
                <w:rFonts w:ascii="Times New Roman" w:hAnsi="Times New Roman"/>
                <w:color w:val="000000"/>
                <w:sz w:val="16"/>
                <w:szCs w:val="16"/>
              </w:rPr>
            </w:pPr>
          </w:p>
        </w:tc>
        <w:tc>
          <w:tcPr>
            <w:tcW w:w="0" w:type="auto"/>
            <w:tcBorders>
              <w:top w:val="nil"/>
              <w:left w:val="single" w:sz="4" w:space="0" w:color="auto"/>
              <w:bottom w:val="nil"/>
              <w:right w:val="single" w:sz="4" w:space="0" w:color="auto"/>
            </w:tcBorders>
            <w:shd w:val="clear" w:color="auto" w:fill="auto"/>
            <w:noWrap/>
            <w:textDirection w:val="btLr"/>
            <w:vAlign w:val="center"/>
          </w:tcPr>
          <w:p w14:paraId="7446519D"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Traj 1</w:t>
            </w:r>
          </w:p>
        </w:tc>
        <w:tc>
          <w:tcPr>
            <w:tcW w:w="675" w:type="dxa"/>
            <w:vMerge/>
            <w:tcBorders>
              <w:top w:val="nil"/>
              <w:left w:val="single" w:sz="4" w:space="0" w:color="auto"/>
              <w:bottom w:val="nil"/>
              <w:right w:val="single" w:sz="4" w:space="0" w:color="auto"/>
            </w:tcBorders>
            <w:shd w:val="clear" w:color="auto" w:fill="auto"/>
            <w:textDirection w:val="btLr"/>
            <w:vAlign w:val="center"/>
          </w:tcPr>
          <w:p w14:paraId="48B5DA9D" w14:textId="77777777" w:rsidR="0072369B" w:rsidRDefault="0072369B">
            <w:pPr>
              <w:jc w:val="center"/>
              <w:rPr>
                <w:rFonts w:ascii="Times New Roman" w:hAnsi="Times New Roman"/>
                <w:color w:val="000000"/>
                <w:sz w:val="16"/>
                <w:szCs w:val="16"/>
              </w:rPr>
            </w:pPr>
          </w:p>
        </w:tc>
        <w:tc>
          <w:tcPr>
            <w:tcW w:w="675" w:type="dxa"/>
            <w:tcBorders>
              <w:top w:val="nil"/>
              <w:left w:val="nil"/>
              <w:bottom w:val="nil"/>
              <w:right w:val="nil"/>
            </w:tcBorders>
            <w:shd w:val="clear" w:color="auto" w:fill="auto"/>
            <w:textDirection w:val="btLr"/>
            <w:vAlign w:val="center"/>
          </w:tcPr>
          <w:p w14:paraId="03908624"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―0.00(―0.05,0.03)</w:t>
            </w:r>
            <w:r>
              <w:rPr>
                <w:rFonts w:ascii="Times New Roman" w:hAnsi="Times New Roman"/>
                <w:color w:val="000000"/>
                <w:kern w:val="0"/>
                <w:sz w:val="16"/>
                <w:szCs w:val="16"/>
                <w:lang w:bidi="ar"/>
              </w:rPr>
              <w:br/>
              <w:t>0.728</w:t>
            </w:r>
          </w:p>
        </w:tc>
        <w:tc>
          <w:tcPr>
            <w:tcW w:w="674" w:type="dxa"/>
            <w:tcBorders>
              <w:top w:val="nil"/>
              <w:left w:val="nil"/>
              <w:bottom w:val="nil"/>
              <w:right w:val="nil"/>
            </w:tcBorders>
            <w:shd w:val="clear" w:color="auto" w:fill="auto"/>
            <w:textDirection w:val="btLr"/>
            <w:vAlign w:val="center"/>
          </w:tcPr>
          <w:p w14:paraId="5A76C308"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1.36(―1.83,4.55)</w:t>
            </w:r>
            <w:r>
              <w:rPr>
                <w:rFonts w:ascii="Times New Roman" w:hAnsi="Times New Roman"/>
                <w:color w:val="000000"/>
                <w:kern w:val="0"/>
                <w:sz w:val="16"/>
                <w:szCs w:val="16"/>
                <w:lang w:bidi="ar"/>
              </w:rPr>
              <w:br/>
              <w:t>0.404</w:t>
            </w:r>
          </w:p>
        </w:tc>
        <w:tc>
          <w:tcPr>
            <w:tcW w:w="674" w:type="dxa"/>
            <w:tcBorders>
              <w:top w:val="nil"/>
              <w:left w:val="nil"/>
              <w:bottom w:val="nil"/>
              <w:right w:val="nil"/>
            </w:tcBorders>
            <w:shd w:val="clear" w:color="auto" w:fill="auto"/>
            <w:textDirection w:val="btLr"/>
            <w:vAlign w:val="center"/>
          </w:tcPr>
          <w:p w14:paraId="1924ED57"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0.09(―0.03,0.21)</w:t>
            </w:r>
            <w:r>
              <w:rPr>
                <w:rFonts w:ascii="Times New Roman" w:hAnsi="Times New Roman"/>
                <w:color w:val="000000"/>
                <w:kern w:val="0"/>
                <w:sz w:val="16"/>
                <w:szCs w:val="16"/>
                <w:lang w:bidi="ar"/>
              </w:rPr>
              <w:br/>
              <w:t>0.133</w:t>
            </w:r>
          </w:p>
        </w:tc>
        <w:tc>
          <w:tcPr>
            <w:tcW w:w="674" w:type="dxa"/>
            <w:tcBorders>
              <w:top w:val="nil"/>
              <w:left w:val="nil"/>
              <w:bottom w:val="nil"/>
              <w:right w:val="nil"/>
            </w:tcBorders>
            <w:shd w:val="clear" w:color="auto" w:fill="auto"/>
            <w:textDirection w:val="btLr"/>
            <w:vAlign w:val="center"/>
          </w:tcPr>
          <w:p w14:paraId="38B1D781"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0.07(―0.07,0.21)</w:t>
            </w:r>
            <w:r>
              <w:rPr>
                <w:rFonts w:ascii="Times New Roman" w:hAnsi="Times New Roman"/>
                <w:color w:val="000000"/>
                <w:kern w:val="0"/>
                <w:sz w:val="16"/>
                <w:szCs w:val="16"/>
                <w:lang w:bidi="ar"/>
              </w:rPr>
              <w:br/>
              <w:t>0.308</w:t>
            </w:r>
          </w:p>
        </w:tc>
        <w:tc>
          <w:tcPr>
            <w:tcW w:w="674" w:type="dxa"/>
            <w:tcBorders>
              <w:top w:val="nil"/>
              <w:left w:val="nil"/>
              <w:bottom w:val="nil"/>
              <w:right w:val="nil"/>
            </w:tcBorders>
            <w:shd w:val="clear" w:color="auto" w:fill="auto"/>
            <w:textDirection w:val="btLr"/>
            <w:vAlign w:val="center"/>
          </w:tcPr>
          <w:p w14:paraId="19A552D9"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0.23(―0.01,0.47)</w:t>
            </w:r>
            <w:r>
              <w:rPr>
                <w:rFonts w:ascii="Times New Roman" w:hAnsi="Times New Roman"/>
                <w:color w:val="000000"/>
                <w:kern w:val="0"/>
                <w:sz w:val="16"/>
                <w:szCs w:val="16"/>
                <w:lang w:bidi="ar"/>
              </w:rPr>
              <w:br/>
              <w:t>0.057</w:t>
            </w:r>
          </w:p>
        </w:tc>
        <w:tc>
          <w:tcPr>
            <w:tcW w:w="674" w:type="dxa"/>
            <w:tcBorders>
              <w:top w:val="nil"/>
              <w:left w:val="nil"/>
              <w:bottom w:val="nil"/>
              <w:right w:val="nil"/>
            </w:tcBorders>
            <w:shd w:val="clear" w:color="auto" w:fill="auto"/>
            <w:textDirection w:val="btLr"/>
            <w:vAlign w:val="center"/>
          </w:tcPr>
          <w:p w14:paraId="76680048"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0.13(―0.05,0.30)</w:t>
            </w:r>
            <w:r>
              <w:rPr>
                <w:rFonts w:ascii="Times New Roman" w:hAnsi="Times New Roman"/>
                <w:color w:val="000000"/>
                <w:kern w:val="0"/>
                <w:sz w:val="16"/>
                <w:szCs w:val="16"/>
                <w:lang w:bidi="ar"/>
              </w:rPr>
              <w:br/>
              <w:t>0.159</w:t>
            </w:r>
          </w:p>
        </w:tc>
        <w:tc>
          <w:tcPr>
            <w:tcW w:w="674" w:type="dxa"/>
            <w:tcBorders>
              <w:top w:val="nil"/>
              <w:left w:val="nil"/>
              <w:bottom w:val="nil"/>
              <w:right w:val="nil"/>
            </w:tcBorders>
            <w:shd w:val="clear" w:color="auto" w:fill="auto"/>
            <w:textDirection w:val="btLr"/>
            <w:vAlign w:val="center"/>
          </w:tcPr>
          <w:p w14:paraId="0EDFC5DE"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―0.01(―0.09,0.07)</w:t>
            </w:r>
            <w:r>
              <w:rPr>
                <w:rFonts w:ascii="Times New Roman" w:hAnsi="Times New Roman"/>
                <w:color w:val="000000"/>
                <w:kern w:val="0"/>
                <w:sz w:val="16"/>
                <w:szCs w:val="16"/>
                <w:lang w:bidi="ar"/>
              </w:rPr>
              <w:br/>
              <w:t>0.734</w:t>
            </w:r>
          </w:p>
        </w:tc>
        <w:tc>
          <w:tcPr>
            <w:tcW w:w="674" w:type="dxa"/>
            <w:tcBorders>
              <w:top w:val="nil"/>
              <w:left w:val="nil"/>
              <w:bottom w:val="nil"/>
              <w:right w:val="nil"/>
            </w:tcBorders>
            <w:shd w:val="clear" w:color="auto" w:fill="auto"/>
            <w:textDirection w:val="btLr"/>
            <w:vAlign w:val="center"/>
          </w:tcPr>
          <w:p w14:paraId="39B684EE"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0.25(0.05,0.44)</w:t>
            </w:r>
            <w:r>
              <w:rPr>
                <w:rFonts w:ascii="Times New Roman" w:hAnsi="Times New Roman"/>
                <w:color w:val="000000"/>
                <w:kern w:val="0"/>
                <w:sz w:val="16"/>
                <w:szCs w:val="16"/>
                <w:lang w:bidi="ar"/>
              </w:rPr>
              <w:br/>
              <w:t>0.734</w:t>
            </w:r>
          </w:p>
        </w:tc>
        <w:tc>
          <w:tcPr>
            <w:tcW w:w="674" w:type="dxa"/>
            <w:tcBorders>
              <w:top w:val="nil"/>
              <w:left w:val="nil"/>
              <w:bottom w:val="nil"/>
              <w:right w:val="nil"/>
            </w:tcBorders>
            <w:shd w:val="clear" w:color="auto" w:fill="auto"/>
            <w:textDirection w:val="btLr"/>
            <w:vAlign w:val="center"/>
          </w:tcPr>
          <w:p w14:paraId="2A16698A"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0.00(―0.00,0.02)</w:t>
            </w:r>
            <w:r>
              <w:rPr>
                <w:rFonts w:ascii="Times New Roman" w:hAnsi="Times New Roman"/>
                <w:color w:val="000000"/>
                <w:kern w:val="0"/>
                <w:sz w:val="16"/>
                <w:szCs w:val="16"/>
                <w:lang w:bidi="ar"/>
              </w:rPr>
              <w:br/>
              <w:t>0.393</w:t>
            </w:r>
          </w:p>
        </w:tc>
        <w:tc>
          <w:tcPr>
            <w:tcW w:w="674" w:type="dxa"/>
            <w:tcBorders>
              <w:top w:val="nil"/>
              <w:left w:val="nil"/>
              <w:bottom w:val="nil"/>
              <w:right w:val="nil"/>
            </w:tcBorders>
            <w:shd w:val="clear" w:color="auto" w:fill="auto"/>
            <w:textDirection w:val="btLr"/>
            <w:vAlign w:val="center"/>
          </w:tcPr>
          <w:p w14:paraId="38DBAD1F"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3.88(―3.39,11.16)</w:t>
            </w:r>
            <w:r>
              <w:rPr>
                <w:rFonts w:ascii="Times New Roman" w:hAnsi="Times New Roman"/>
                <w:color w:val="000000"/>
                <w:kern w:val="0"/>
                <w:sz w:val="16"/>
                <w:szCs w:val="16"/>
                <w:lang w:bidi="ar"/>
              </w:rPr>
              <w:br/>
              <w:t>0.295</w:t>
            </w:r>
          </w:p>
        </w:tc>
        <w:tc>
          <w:tcPr>
            <w:tcW w:w="674" w:type="dxa"/>
            <w:tcBorders>
              <w:top w:val="nil"/>
              <w:left w:val="nil"/>
              <w:bottom w:val="nil"/>
              <w:right w:val="single" w:sz="4" w:space="0" w:color="auto"/>
            </w:tcBorders>
            <w:shd w:val="clear" w:color="auto" w:fill="auto"/>
            <w:textDirection w:val="btLr"/>
            <w:vAlign w:val="center"/>
          </w:tcPr>
          <w:p w14:paraId="5E8D5DDE"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0.00(―0.02,0.02)</w:t>
            </w:r>
            <w:r>
              <w:rPr>
                <w:rFonts w:ascii="Times New Roman" w:hAnsi="Times New Roman"/>
                <w:color w:val="000000"/>
                <w:kern w:val="0"/>
                <w:sz w:val="16"/>
                <w:szCs w:val="16"/>
                <w:lang w:bidi="ar"/>
              </w:rPr>
              <w:br/>
              <w:t>0.821</w:t>
            </w:r>
          </w:p>
        </w:tc>
      </w:tr>
      <w:tr w:rsidR="0072369B" w14:paraId="08AB44E7" w14:textId="77777777" w:rsidTr="007A43BA">
        <w:trPr>
          <w:trHeight w:val="260"/>
        </w:trPr>
        <w:tc>
          <w:tcPr>
            <w:tcW w:w="758" w:type="dxa"/>
            <w:vMerge/>
            <w:tcBorders>
              <w:top w:val="nil"/>
              <w:left w:val="nil"/>
              <w:bottom w:val="nil"/>
              <w:right w:val="single" w:sz="4" w:space="0" w:color="auto"/>
            </w:tcBorders>
            <w:shd w:val="clear" w:color="auto" w:fill="auto"/>
            <w:noWrap/>
            <w:textDirection w:val="btLr"/>
            <w:vAlign w:val="center"/>
          </w:tcPr>
          <w:p w14:paraId="556DC4DE"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textDirection w:val="btLr"/>
            <w:vAlign w:val="center"/>
          </w:tcPr>
          <w:p w14:paraId="6F2663DE" w14:textId="77777777" w:rsidR="0072369B" w:rsidRDefault="0072369B">
            <w:pPr>
              <w:jc w:val="center"/>
              <w:rPr>
                <w:rFonts w:ascii="Times New Roman" w:hAnsi="Times New Roman"/>
                <w:color w:val="000000"/>
                <w:sz w:val="16"/>
                <w:szCs w:val="16"/>
              </w:rPr>
            </w:pPr>
          </w:p>
        </w:tc>
        <w:tc>
          <w:tcPr>
            <w:tcW w:w="0" w:type="auto"/>
            <w:tcBorders>
              <w:top w:val="nil"/>
              <w:left w:val="nil"/>
              <w:bottom w:val="nil"/>
              <w:right w:val="nil"/>
            </w:tcBorders>
            <w:shd w:val="clear" w:color="auto" w:fill="auto"/>
            <w:noWrap/>
            <w:textDirection w:val="btLr"/>
            <w:vAlign w:val="center"/>
          </w:tcPr>
          <w:p w14:paraId="2ED23914" w14:textId="77777777" w:rsidR="0072369B" w:rsidRDefault="0072369B">
            <w:pPr>
              <w:rPr>
                <w:rFonts w:ascii="Times New Roman" w:hAnsi="Times New Roman"/>
                <w:color w:val="000000"/>
                <w:sz w:val="16"/>
                <w:szCs w:val="16"/>
              </w:rPr>
            </w:pPr>
          </w:p>
        </w:tc>
        <w:tc>
          <w:tcPr>
            <w:tcW w:w="675" w:type="dxa"/>
            <w:tcBorders>
              <w:top w:val="nil"/>
              <w:left w:val="nil"/>
              <w:bottom w:val="nil"/>
              <w:right w:val="nil"/>
            </w:tcBorders>
            <w:shd w:val="clear" w:color="auto" w:fill="auto"/>
            <w:noWrap/>
            <w:textDirection w:val="btLr"/>
            <w:vAlign w:val="center"/>
          </w:tcPr>
          <w:p w14:paraId="51E490CD" w14:textId="77777777" w:rsidR="0072369B" w:rsidRDefault="0072369B">
            <w:pPr>
              <w:jc w:val="center"/>
              <w:rPr>
                <w:rFonts w:ascii="Times New Roman" w:hAnsi="Times New Roman"/>
                <w:color w:val="000000"/>
                <w:sz w:val="16"/>
                <w:szCs w:val="16"/>
              </w:rPr>
            </w:pPr>
          </w:p>
        </w:tc>
        <w:tc>
          <w:tcPr>
            <w:tcW w:w="675" w:type="dxa"/>
            <w:tcBorders>
              <w:top w:val="nil"/>
              <w:left w:val="nil"/>
              <w:bottom w:val="nil"/>
              <w:right w:val="nil"/>
            </w:tcBorders>
            <w:shd w:val="clear" w:color="auto" w:fill="auto"/>
            <w:textDirection w:val="btLr"/>
            <w:vAlign w:val="center"/>
          </w:tcPr>
          <w:p w14:paraId="4893EED3" w14:textId="77777777" w:rsidR="0072369B" w:rsidRDefault="0072369B">
            <w:pPr>
              <w:rPr>
                <w:rFonts w:ascii="Times New Roman" w:hAnsi="Times New Roman"/>
                <w:color w:val="000000"/>
                <w:sz w:val="16"/>
                <w:szCs w:val="16"/>
              </w:rPr>
            </w:pPr>
          </w:p>
        </w:tc>
        <w:tc>
          <w:tcPr>
            <w:tcW w:w="674" w:type="dxa"/>
            <w:tcBorders>
              <w:top w:val="nil"/>
              <w:left w:val="nil"/>
              <w:bottom w:val="nil"/>
              <w:right w:val="nil"/>
            </w:tcBorders>
            <w:shd w:val="clear" w:color="auto" w:fill="auto"/>
            <w:textDirection w:val="btLr"/>
            <w:vAlign w:val="center"/>
          </w:tcPr>
          <w:p w14:paraId="6E3DF322" w14:textId="77777777" w:rsidR="0072369B" w:rsidRDefault="0072369B">
            <w:pPr>
              <w:rPr>
                <w:rFonts w:ascii="Times New Roman" w:hAnsi="Times New Roman"/>
                <w:color w:val="000000"/>
                <w:sz w:val="16"/>
                <w:szCs w:val="16"/>
              </w:rPr>
            </w:pPr>
          </w:p>
        </w:tc>
        <w:tc>
          <w:tcPr>
            <w:tcW w:w="674" w:type="dxa"/>
            <w:tcBorders>
              <w:top w:val="nil"/>
              <w:left w:val="nil"/>
              <w:bottom w:val="nil"/>
              <w:right w:val="nil"/>
            </w:tcBorders>
            <w:shd w:val="clear" w:color="auto" w:fill="auto"/>
            <w:textDirection w:val="btLr"/>
            <w:vAlign w:val="center"/>
          </w:tcPr>
          <w:p w14:paraId="59A5616D" w14:textId="77777777" w:rsidR="0072369B" w:rsidRDefault="0072369B">
            <w:pPr>
              <w:rPr>
                <w:rFonts w:ascii="Times New Roman" w:hAnsi="Times New Roman"/>
                <w:color w:val="000000"/>
                <w:sz w:val="16"/>
                <w:szCs w:val="16"/>
              </w:rPr>
            </w:pPr>
          </w:p>
        </w:tc>
        <w:tc>
          <w:tcPr>
            <w:tcW w:w="674" w:type="dxa"/>
            <w:tcBorders>
              <w:top w:val="nil"/>
              <w:left w:val="nil"/>
              <w:bottom w:val="nil"/>
              <w:right w:val="nil"/>
            </w:tcBorders>
            <w:shd w:val="clear" w:color="auto" w:fill="auto"/>
            <w:textDirection w:val="btLr"/>
            <w:vAlign w:val="center"/>
          </w:tcPr>
          <w:p w14:paraId="38977907" w14:textId="77777777" w:rsidR="0072369B" w:rsidRDefault="0072369B">
            <w:pPr>
              <w:rPr>
                <w:rFonts w:ascii="Times New Roman" w:hAnsi="Times New Roman"/>
                <w:color w:val="000000"/>
                <w:sz w:val="16"/>
                <w:szCs w:val="16"/>
              </w:rPr>
            </w:pPr>
          </w:p>
        </w:tc>
        <w:tc>
          <w:tcPr>
            <w:tcW w:w="674" w:type="dxa"/>
            <w:tcBorders>
              <w:top w:val="nil"/>
              <w:left w:val="nil"/>
              <w:bottom w:val="nil"/>
              <w:right w:val="nil"/>
            </w:tcBorders>
            <w:shd w:val="clear" w:color="auto" w:fill="auto"/>
            <w:textDirection w:val="btLr"/>
            <w:vAlign w:val="center"/>
          </w:tcPr>
          <w:p w14:paraId="260AC0A2" w14:textId="77777777" w:rsidR="0072369B" w:rsidRDefault="0072369B">
            <w:pPr>
              <w:rPr>
                <w:rFonts w:ascii="Times New Roman" w:hAnsi="Times New Roman"/>
                <w:color w:val="000000"/>
                <w:sz w:val="16"/>
                <w:szCs w:val="16"/>
              </w:rPr>
            </w:pPr>
          </w:p>
        </w:tc>
        <w:tc>
          <w:tcPr>
            <w:tcW w:w="674" w:type="dxa"/>
            <w:tcBorders>
              <w:top w:val="nil"/>
              <w:left w:val="nil"/>
              <w:bottom w:val="nil"/>
              <w:right w:val="nil"/>
            </w:tcBorders>
            <w:shd w:val="clear" w:color="auto" w:fill="auto"/>
            <w:textDirection w:val="btLr"/>
            <w:vAlign w:val="center"/>
          </w:tcPr>
          <w:p w14:paraId="058CDE72" w14:textId="77777777" w:rsidR="0072369B" w:rsidRDefault="0072369B">
            <w:pPr>
              <w:rPr>
                <w:rFonts w:ascii="Times New Roman" w:hAnsi="Times New Roman"/>
                <w:color w:val="000000"/>
                <w:sz w:val="16"/>
                <w:szCs w:val="16"/>
              </w:rPr>
            </w:pPr>
          </w:p>
        </w:tc>
        <w:tc>
          <w:tcPr>
            <w:tcW w:w="674" w:type="dxa"/>
            <w:tcBorders>
              <w:top w:val="nil"/>
              <w:left w:val="nil"/>
              <w:bottom w:val="nil"/>
              <w:right w:val="nil"/>
            </w:tcBorders>
            <w:shd w:val="clear" w:color="auto" w:fill="auto"/>
            <w:textDirection w:val="btLr"/>
            <w:vAlign w:val="center"/>
          </w:tcPr>
          <w:p w14:paraId="083E7BDB" w14:textId="77777777" w:rsidR="0072369B" w:rsidRDefault="0072369B">
            <w:pPr>
              <w:rPr>
                <w:rFonts w:ascii="Times New Roman" w:hAnsi="Times New Roman"/>
                <w:color w:val="000000"/>
                <w:sz w:val="16"/>
                <w:szCs w:val="16"/>
              </w:rPr>
            </w:pPr>
          </w:p>
        </w:tc>
        <w:tc>
          <w:tcPr>
            <w:tcW w:w="674" w:type="dxa"/>
            <w:tcBorders>
              <w:top w:val="nil"/>
              <w:left w:val="nil"/>
              <w:bottom w:val="nil"/>
              <w:right w:val="nil"/>
            </w:tcBorders>
            <w:shd w:val="clear" w:color="auto" w:fill="auto"/>
            <w:textDirection w:val="btLr"/>
            <w:vAlign w:val="center"/>
          </w:tcPr>
          <w:p w14:paraId="60223C20" w14:textId="77777777" w:rsidR="0072369B" w:rsidRDefault="0072369B">
            <w:pPr>
              <w:rPr>
                <w:rFonts w:ascii="Times New Roman" w:hAnsi="Times New Roman"/>
                <w:color w:val="000000"/>
                <w:sz w:val="16"/>
                <w:szCs w:val="16"/>
              </w:rPr>
            </w:pPr>
          </w:p>
        </w:tc>
        <w:tc>
          <w:tcPr>
            <w:tcW w:w="674" w:type="dxa"/>
            <w:tcBorders>
              <w:top w:val="nil"/>
              <w:left w:val="nil"/>
              <w:bottom w:val="nil"/>
              <w:right w:val="nil"/>
            </w:tcBorders>
            <w:shd w:val="clear" w:color="auto" w:fill="auto"/>
            <w:textDirection w:val="btLr"/>
            <w:vAlign w:val="center"/>
          </w:tcPr>
          <w:p w14:paraId="1C6980FA" w14:textId="77777777" w:rsidR="0072369B" w:rsidRDefault="0072369B">
            <w:pPr>
              <w:rPr>
                <w:rFonts w:ascii="Times New Roman" w:hAnsi="Times New Roman"/>
                <w:color w:val="000000"/>
                <w:sz w:val="16"/>
                <w:szCs w:val="16"/>
              </w:rPr>
            </w:pPr>
          </w:p>
        </w:tc>
        <w:tc>
          <w:tcPr>
            <w:tcW w:w="674" w:type="dxa"/>
            <w:tcBorders>
              <w:top w:val="nil"/>
              <w:left w:val="nil"/>
              <w:bottom w:val="nil"/>
              <w:right w:val="nil"/>
            </w:tcBorders>
            <w:shd w:val="clear" w:color="auto" w:fill="auto"/>
            <w:textDirection w:val="btLr"/>
            <w:vAlign w:val="center"/>
          </w:tcPr>
          <w:p w14:paraId="1685B922" w14:textId="77777777" w:rsidR="0072369B" w:rsidRDefault="0072369B">
            <w:pPr>
              <w:rPr>
                <w:rFonts w:ascii="Times New Roman" w:hAnsi="Times New Roman"/>
                <w:color w:val="000000"/>
                <w:sz w:val="16"/>
                <w:szCs w:val="16"/>
              </w:rPr>
            </w:pPr>
          </w:p>
        </w:tc>
        <w:tc>
          <w:tcPr>
            <w:tcW w:w="674" w:type="dxa"/>
            <w:tcBorders>
              <w:top w:val="nil"/>
              <w:left w:val="nil"/>
              <w:bottom w:val="nil"/>
              <w:right w:val="single" w:sz="4" w:space="0" w:color="auto"/>
            </w:tcBorders>
            <w:shd w:val="clear" w:color="auto" w:fill="auto"/>
            <w:textDirection w:val="btLr"/>
            <w:vAlign w:val="center"/>
          </w:tcPr>
          <w:p w14:paraId="231C1DAD"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 xml:space="preserve">　</w:t>
            </w:r>
          </w:p>
        </w:tc>
      </w:tr>
      <w:tr w:rsidR="0072369B" w14:paraId="61086E23" w14:textId="77777777" w:rsidTr="007A43BA">
        <w:trPr>
          <w:trHeight w:val="1760"/>
        </w:trPr>
        <w:tc>
          <w:tcPr>
            <w:tcW w:w="758" w:type="dxa"/>
            <w:vMerge/>
            <w:tcBorders>
              <w:top w:val="nil"/>
              <w:left w:val="nil"/>
              <w:bottom w:val="nil"/>
              <w:right w:val="single" w:sz="4" w:space="0" w:color="auto"/>
            </w:tcBorders>
            <w:shd w:val="clear" w:color="auto" w:fill="auto"/>
            <w:noWrap/>
            <w:textDirection w:val="btLr"/>
            <w:vAlign w:val="center"/>
          </w:tcPr>
          <w:p w14:paraId="2D7EF73C" w14:textId="77777777" w:rsidR="0072369B" w:rsidRDefault="0072369B">
            <w:pPr>
              <w:rPr>
                <w:rFonts w:ascii="Times New Roman" w:hAnsi="Times New Roman"/>
                <w:color w:val="000000"/>
                <w:sz w:val="16"/>
                <w:szCs w:val="16"/>
              </w:rPr>
            </w:pPr>
          </w:p>
        </w:tc>
        <w:tc>
          <w:tcPr>
            <w:tcW w:w="0" w:type="auto"/>
            <w:vMerge w:val="restart"/>
            <w:tcBorders>
              <w:top w:val="nil"/>
              <w:left w:val="nil"/>
              <w:bottom w:val="nil"/>
              <w:right w:val="nil"/>
            </w:tcBorders>
            <w:shd w:val="clear" w:color="auto" w:fill="auto"/>
            <w:noWrap/>
            <w:textDirection w:val="btLr"/>
            <w:vAlign w:val="center"/>
          </w:tcPr>
          <w:p w14:paraId="7ADF7DCD" w14:textId="1BCD9034" w:rsidR="0072369B" w:rsidRDefault="00E434B7">
            <w:pPr>
              <w:widowControl/>
              <w:jc w:val="center"/>
              <w:textAlignment w:val="center"/>
              <w:rPr>
                <w:rFonts w:ascii="Times New Roman" w:hAnsi="Times New Roman"/>
                <w:color w:val="000000"/>
                <w:sz w:val="16"/>
                <w:szCs w:val="16"/>
              </w:rPr>
            </w:pPr>
            <w:r>
              <w:rPr>
                <w:rFonts w:ascii="Times New Roman" w:hAnsi="Times New Roman"/>
                <w:color w:val="000000"/>
                <w:kern w:val="0"/>
                <w:sz w:val="16"/>
                <w:szCs w:val="16"/>
                <w:lang w:bidi="ar"/>
              </w:rPr>
              <w:t>Total BMI change</w:t>
            </w:r>
            <w:r w:rsidR="00C51B51">
              <w:rPr>
                <w:rFonts w:ascii="Times New Roman" w:hAnsi="Times New Roman"/>
                <w:color w:val="000000"/>
                <w:kern w:val="0"/>
                <w:sz w:val="16"/>
                <w:szCs w:val="16"/>
                <w:lang w:bidi="ar"/>
              </w:rPr>
              <w:t xml:space="preserve"> </w:t>
            </w:r>
            <w:r>
              <w:rPr>
                <w:rFonts w:ascii="Times New Roman" w:hAnsi="Times New Roman"/>
                <w:color w:val="000000"/>
                <w:kern w:val="0"/>
                <w:sz w:val="16"/>
                <w:szCs w:val="16"/>
                <w:lang w:bidi="ar"/>
              </w:rPr>
              <w:t>0-1.7</w:t>
            </w:r>
          </w:p>
        </w:tc>
        <w:tc>
          <w:tcPr>
            <w:tcW w:w="0" w:type="auto"/>
            <w:tcBorders>
              <w:top w:val="nil"/>
              <w:left w:val="single" w:sz="4" w:space="0" w:color="auto"/>
              <w:bottom w:val="nil"/>
              <w:right w:val="single" w:sz="4" w:space="0" w:color="auto"/>
            </w:tcBorders>
            <w:shd w:val="clear" w:color="auto" w:fill="auto"/>
            <w:noWrap/>
            <w:textDirection w:val="btLr"/>
            <w:vAlign w:val="center"/>
          </w:tcPr>
          <w:p w14:paraId="6AEA2CD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Traj 4</w:t>
            </w:r>
          </w:p>
        </w:tc>
        <w:tc>
          <w:tcPr>
            <w:tcW w:w="675" w:type="dxa"/>
            <w:vMerge w:val="restart"/>
            <w:tcBorders>
              <w:top w:val="nil"/>
              <w:left w:val="single" w:sz="4" w:space="0" w:color="auto"/>
              <w:bottom w:val="nil"/>
              <w:right w:val="single" w:sz="4" w:space="0" w:color="auto"/>
            </w:tcBorders>
            <w:shd w:val="clear" w:color="auto" w:fill="auto"/>
            <w:textDirection w:val="btLr"/>
            <w:vAlign w:val="center"/>
          </w:tcPr>
          <w:p w14:paraId="34C70840" w14:textId="1F6A15D6" w:rsidR="0072369B" w:rsidRDefault="00E434B7">
            <w:pPr>
              <w:widowControl/>
              <w:jc w:val="center"/>
              <w:textAlignment w:val="center"/>
              <w:rPr>
                <w:rFonts w:ascii="Times New Roman" w:hAnsi="Times New Roman"/>
                <w:color w:val="000000"/>
                <w:sz w:val="16"/>
                <w:szCs w:val="16"/>
              </w:rPr>
            </w:pPr>
            <w:r>
              <w:rPr>
                <w:rFonts w:ascii="Times New Roman" w:hAnsi="Times New Roman"/>
                <w:color w:val="000000"/>
                <w:kern w:val="0"/>
                <w:sz w:val="16"/>
                <w:szCs w:val="16"/>
                <w:lang w:bidi="ar"/>
              </w:rPr>
              <w:t>β(95% CI)</w:t>
            </w:r>
            <w:r>
              <w:rPr>
                <w:rFonts w:ascii="Times New Roman" w:hAnsi="Times New Roman"/>
                <w:color w:val="000000"/>
                <w:kern w:val="0"/>
                <w:sz w:val="16"/>
                <w:szCs w:val="16"/>
              </w:rPr>
              <w:t xml:space="preserve"> </w:t>
            </w:r>
            <w:r w:rsidR="006379D7">
              <w:rPr>
                <w:rFonts w:ascii="Segoe UI Symbol" w:hAnsi="Segoe UI Symbol" w:cs="Segoe UI Symbol"/>
                <w:color w:val="000000"/>
                <w:kern w:val="0"/>
                <w:sz w:val="16"/>
                <w:szCs w:val="16"/>
              </w:rPr>
              <w:t>*</w:t>
            </w:r>
            <w:r w:rsidRPr="006379D7">
              <w:rPr>
                <w:rFonts w:ascii="Times New Roman" w:hAnsi="Times New Roman"/>
                <w:color w:val="000000"/>
                <w:kern w:val="0"/>
                <w:sz w:val="16"/>
                <w:szCs w:val="16"/>
                <w:vertAlign w:val="superscript"/>
              </w:rPr>
              <w:t>3</w:t>
            </w:r>
            <w:r>
              <w:rPr>
                <w:rStyle w:val="font51"/>
                <w:rFonts w:ascii="Times New Roman" w:hAnsi="Times New Roman" w:cs="Times New Roman"/>
                <w:lang w:bidi="ar"/>
              </w:rPr>
              <w:br/>
              <w:t>p</w:t>
            </w:r>
          </w:p>
        </w:tc>
        <w:tc>
          <w:tcPr>
            <w:tcW w:w="675" w:type="dxa"/>
            <w:tcBorders>
              <w:top w:val="nil"/>
              <w:left w:val="nil"/>
              <w:bottom w:val="nil"/>
              <w:right w:val="nil"/>
            </w:tcBorders>
            <w:shd w:val="clear" w:color="auto" w:fill="auto"/>
            <w:textDirection w:val="btLr"/>
            <w:vAlign w:val="center"/>
          </w:tcPr>
          <w:p w14:paraId="5294587D"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0.03(―0.03,0.09)</w:t>
            </w:r>
            <w:r>
              <w:rPr>
                <w:rFonts w:ascii="Times New Roman" w:hAnsi="Times New Roman"/>
                <w:color w:val="000000"/>
                <w:kern w:val="0"/>
                <w:sz w:val="16"/>
                <w:szCs w:val="16"/>
                <w:lang w:bidi="ar"/>
              </w:rPr>
              <w:br/>
              <w:t>0.332</w:t>
            </w:r>
          </w:p>
        </w:tc>
        <w:tc>
          <w:tcPr>
            <w:tcW w:w="674" w:type="dxa"/>
            <w:tcBorders>
              <w:top w:val="nil"/>
              <w:left w:val="nil"/>
              <w:bottom w:val="nil"/>
              <w:right w:val="nil"/>
            </w:tcBorders>
            <w:shd w:val="clear" w:color="auto" w:fill="auto"/>
            <w:textDirection w:val="btLr"/>
            <w:vAlign w:val="center"/>
          </w:tcPr>
          <w:p w14:paraId="20139A10"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4.91(0.03,9.78)</w:t>
            </w:r>
            <w:r>
              <w:rPr>
                <w:rFonts w:ascii="Times New Roman" w:hAnsi="Times New Roman"/>
                <w:color w:val="000000"/>
                <w:kern w:val="0"/>
                <w:sz w:val="16"/>
                <w:szCs w:val="16"/>
                <w:lang w:bidi="ar"/>
              </w:rPr>
              <w:br/>
              <w:t>0.049</w:t>
            </w:r>
          </w:p>
        </w:tc>
        <w:tc>
          <w:tcPr>
            <w:tcW w:w="674" w:type="dxa"/>
            <w:tcBorders>
              <w:top w:val="nil"/>
              <w:left w:val="nil"/>
              <w:bottom w:val="nil"/>
              <w:right w:val="nil"/>
            </w:tcBorders>
            <w:shd w:val="clear" w:color="auto" w:fill="auto"/>
            <w:textDirection w:val="btLr"/>
            <w:vAlign w:val="center"/>
          </w:tcPr>
          <w:p w14:paraId="2B0A2BCF"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0.04(―0.15,0.22)</w:t>
            </w:r>
            <w:r>
              <w:rPr>
                <w:rFonts w:ascii="Times New Roman" w:hAnsi="Times New Roman"/>
                <w:color w:val="000000"/>
                <w:kern w:val="0"/>
                <w:sz w:val="16"/>
                <w:szCs w:val="16"/>
                <w:lang w:bidi="ar"/>
              </w:rPr>
              <w:br/>
              <w:t>0.709</w:t>
            </w:r>
          </w:p>
        </w:tc>
        <w:tc>
          <w:tcPr>
            <w:tcW w:w="674" w:type="dxa"/>
            <w:tcBorders>
              <w:top w:val="nil"/>
              <w:left w:val="nil"/>
              <w:bottom w:val="nil"/>
              <w:right w:val="nil"/>
            </w:tcBorders>
            <w:shd w:val="clear" w:color="auto" w:fill="auto"/>
            <w:textDirection w:val="btLr"/>
            <w:vAlign w:val="center"/>
          </w:tcPr>
          <w:p w14:paraId="403F6F6D"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0.66(0.45,0.88)</w:t>
            </w:r>
            <w:r>
              <w:rPr>
                <w:rFonts w:ascii="Times New Roman" w:hAnsi="Times New Roman"/>
                <w:color w:val="000000"/>
                <w:kern w:val="0"/>
                <w:sz w:val="16"/>
                <w:szCs w:val="16"/>
                <w:lang w:bidi="ar"/>
              </w:rPr>
              <w:br/>
              <w:t>0.000</w:t>
            </w:r>
          </w:p>
        </w:tc>
        <w:tc>
          <w:tcPr>
            <w:tcW w:w="674" w:type="dxa"/>
            <w:tcBorders>
              <w:top w:val="nil"/>
              <w:left w:val="nil"/>
              <w:bottom w:val="nil"/>
              <w:right w:val="nil"/>
            </w:tcBorders>
            <w:shd w:val="clear" w:color="auto" w:fill="auto"/>
            <w:textDirection w:val="btLr"/>
            <w:vAlign w:val="center"/>
          </w:tcPr>
          <w:p w14:paraId="5CA2908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0.59(0.22,0.96)</w:t>
            </w:r>
            <w:r>
              <w:rPr>
                <w:rFonts w:ascii="Times New Roman" w:hAnsi="Times New Roman"/>
                <w:color w:val="000000"/>
                <w:kern w:val="0"/>
                <w:sz w:val="16"/>
                <w:szCs w:val="16"/>
                <w:lang w:bidi="ar"/>
              </w:rPr>
              <w:br/>
              <w:t>0.002</w:t>
            </w:r>
          </w:p>
        </w:tc>
        <w:tc>
          <w:tcPr>
            <w:tcW w:w="674" w:type="dxa"/>
            <w:tcBorders>
              <w:top w:val="nil"/>
              <w:left w:val="nil"/>
              <w:bottom w:val="nil"/>
              <w:right w:val="nil"/>
            </w:tcBorders>
            <w:shd w:val="clear" w:color="auto" w:fill="auto"/>
            <w:textDirection w:val="btLr"/>
            <w:vAlign w:val="center"/>
          </w:tcPr>
          <w:p w14:paraId="638F3C0B"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0.57(0.29,0.84)</w:t>
            </w:r>
            <w:r>
              <w:rPr>
                <w:rFonts w:ascii="Times New Roman" w:hAnsi="Times New Roman"/>
                <w:color w:val="000000"/>
                <w:kern w:val="0"/>
                <w:sz w:val="16"/>
                <w:szCs w:val="16"/>
                <w:lang w:bidi="ar"/>
              </w:rPr>
              <w:br/>
              <w:t>0.000</w:t>
            </w:r>
          </w:p>
        </w:tc>
        <w:tc>
          <w:tcPr>
            <w:tcW w:w="674" w:type="dxa"/>
            <w:tcBorders>
              <w:top w:val="nil"/>
              <w:left w:val="nil"/>
              <w:bottom w:val="nil"/>
              <w:right w:val="nil"/>
            </w:tcBorders>
            <w:shd w:val="clear" w:color="auto" w:fill="auto"/>
            <w:textDirection w:val="btLr"/>
            <w:vAlign w:val="center"/>
          </w:tcPr>
          <w:p w14:paraId="08FF6A42"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―0.20(―0.32,―0.08)</w:t>
            </w:r>
            <w:r>
              <w:rPr>
                <w:rFonts w:ascii="Times New Roman" w:hAnsi="Times New Roman"/>
                <w:color w:val="000000"/>
                <w:kern w:val="0"/>
                <w:sz w:val="16"/>
                <w:szCs w:val="16"/>
                <w:lang w:bidi="ar"/>
              </w:rPr>
              <w:br/>
              <w:t>0.001</w:t>
            </w:r>
          </w:p>
        </w:tc>
        <w:tc>
          <w:tcPr>
            <w:tcW w:w="674" w:type="dxa"/>
            <w:tcBorders>
              <w:top w:val="nil"/>
              <w:left w:val="nil"/>
              <w:bottom w:val="nil"/>
              <w:right w:val="nil"/>
            </w:tcBorders>
            <w:shd w:val="clear" w:color="auto" w:fill="auto"/>
            <w:textDirection w:val="btLr"/>
            <w:vAlign w:val="center"/>
          </w:tcPr>
          <w:p w14:paraId="499C2DE8"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0.31(0.01,0.61)</w:t>
            </w:r>
            <w:r>
              <w:rPr>
                <w:rFonts w:ascii="Times New Roman" w:hAnsi="Times New Roman"/>
                <w:color w:val="000000"/>
                <w:kern w:val="0"/>
                <w:sz w:val="16"/>
                <w:szCs w:val="16"/>
                <w:lang w:bidi="ar"/>
              </w:rPr>
              <w:br/>
              <w:t>0.042</w:t>
            </w:r>
          </w:p>
        </w:tc>
        <w:tc>
          <w:tcPr>
            <w:tcW w:w="674" w:type="dxa"/>
            <w:tcBorders>
              <w:top w:val="nil"/>
              <w:left w:val="nil"/>
              <w:bottom w:val="nil"/>
              <w:right w:val="nil"/>
            </w:tcBorders>
            <w:shd w:val="clear" w:color="auto" w:fill="auto"/>
            <w:textDirection w:val="btLr"/>
            <w:vAlign w:val="center"/>
          </w:tcPr>
          <w:p w14:paraId="079A0583"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0.07(0.05,0.08)</w:t>
            </w:r>
            <w:r>
              <w:rPr>
                <w:rFonts w:ascii="Times New Roman" w:hAnsi="Times New Roman"/>
                <w:color w:val="000000"/>
                <w:kern w:val="0"/>
                <w:sz w:val="16"/>
                <w:szCs w:val="16"/>
                <w:lang w:bidi="ar"/>
              </w:rPr>
              <w:br/>
              <w:t>0.000</w:t>
            </w:r>
          </w:p>
        </w:tc>
        <w:tc>
          <w:tcPr>
            <w:tcW w:w="674" w:type="dxa"/>
            <w:tcBorders>
              <w:top w:val="nil"/>
              <w:left w:val="nil"/>
              <w:bottom w:val="nil"/>
              <w:right w:val="nil"/>
            </w:tcBorders>
            <w:shd w:val="clear" w:color="auto" w:fill="auto"/>
            <w:textDirection w:val="btLr"/>
            <w:vAlign w:val="center"/>
          </w:tcPr>
          <w:p w14:paraId="3AD2191B"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24.93(13.88,35.99)</w:t>
            </w:r>
            <w:r>
              <w:rPr>
                <w:rFonts w:ascii="Times New Roman" w:hAnsi="Times New Roman"/>
                <w:color w:val="000000"/>
                <w:kern w:val="0"/>
                <w:sz w:val="16"/>
                <w:szCs w:val="16"/>
                <w:lang w:bidi="ar"/>
              </w:rPr>
              <w:br/>
              <w:t>0.000</w:t>
            </w:r>
          </w:p>
        </w:tc>
        <w:tc>
          <w:tcPr>
            <w:tcW w:w="674" w:type="dxa"/>
            <w:tcBorders>
              <w:top w:val="nil"/>
              <w:left w:val="nil"/>
              <w:bottom w:val="nil"/>
              <w:right w:val="single" w:sz="4" w:space="0" w:color="auto"/>
            </w:tcBorders>
            <w:shd w:val="clear" w:color="auto" w:fill="auto"/>
            <w:textDirection w:val="btLr"/>
            <w:vAlign w:val="center"/>
          </w:tcPr>
          <w:p w14:paraId="2919E239"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0.06(0.03,0.10)</w:t>
            </w:r>
            <w:r>
              <w:rPr>
                <w:rFonts w:ascii="Times New Roman" w:hAnsi="Times New Roman"/>
                <w:color w:val="000000"/>
                <w:kern w:val="0"/>
                <w:sz w:val="16"/>
                <w:szCs w:val="16"/>
                <w:lang w:bidi="ar"/>
              </w:rPr>
              <w:br/>
              <w:t>0.000</w:t>
            </w:r>
          </w:p>
        </w:tc>
      </w:tr>
      <w:tr w:rsidR="0072369B" w14:paraId="163D5D5E" w14:textId="77777777" w:rsidTr="007A43BA">
        <w:trPr>
          <w:trHeight w:val="1760"/>
        </w:trPr>
        <w:tc>
          <w:tcPr>
            <w:tcW w:w="758" w:type="dxa"/>
            <w:vMerge/>
            <w:tcBorders>
              <w:top w:val="nil"/>
              <w:left w:val="nil"/>
              <w:bottom w:val="nil"/>
              <w:right w:val="single" w:sz="4" w:space="0" w:color="auto"/>
            </w:tcBorders>
            <w:shd w:val="clear" w:color="auto" w:fill="auto"/>
            <w:noWrap/>
            <w:textDirection w:val="btLr"/>
            <w:vAlign w:val="center"/>
          </w:tcPr>
          <w:p w14:paraId="1B760EDB" w14:textId="77777777" w:rsidR="0072369B" w:rsidRDefault="0072369B">
            <w:pPr>
              <w:rPr>
                <w:rFonts w:ascii="Times New Roman" w:hAnsi="Times New Roman"/>
                <w:color w:val="000000"/>
                <w:sz w:val="16"/>
                <w:szCs w:val="16"/>
              </w:rPr>
            </w:pPr>
          </w:p>
        </w:tc>
        <w:tc>
          <w:tcPr>
            <w:tcW w:w="0" w:type="auto"/>
            <w:vMerge/>
            <w:tcBorders>
              <w:top w:val="nil"/>
              <w:left w:val="nil"/>
              <w:bottom w:val="nil"/>
              <w:right w:val="nil"/>
            </w:tcBorders>
            <w:shd w:val="clear" w:color="auto" w:fill="auto"/>
            <w:noWrap/>
            <w:textDirection w:val="btLr"/>
            <w:vAlign w:val="center"/>
          </w:tcPr>
          <w:p w14:paraId="1B24AEBE" w14:textId="77777777" w:rsidR="0072369B" w:rsidRDefault="0072369B">
            <w:pPr>
              <w:jc w:val="center"/>
              <w:rPr>
                <w:rFonts w:ascii="Times New Roman" w:hAnsi="Times New Roman"/>
                <w:color w:val="000000"/>
                <w:sz w:val="16"/>
                <w:szCs w:val="16"/>
              </w:rPr>
            </w:pPr>
          </w:p>
        </w:tc>
        <w:tc>
          <w:tcPr>
            <w:tcW w:w="0" w:type="auto"/>
            <w:tcBorders>
              <w:top w:val="nil"/>
              <w:left w:val="single" w:sz="4" w:space="0" w:color="auto"/>
              <w:bottom w:val="nil"/>
              <w:right w:val="single" w:sz="4" w:space="0" w:color="auto"/>
            </w:tcBorders>
            <w:shd w:val="clear" w:color="auto" w:fill="auto"/>
            <w:noWrap/>
            <w:textDirection w:val="btLr"/>
            <w:vAlign w:val="center"/>
          </w:tcPr>
          <w:p w14:paraId="695077ED"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Traj 3</w:t>
            </w:r>
          </w:p>
        </w:tc>
        <w:tc>
          <w:tcPr>
            <w:tcW w:w="675" w:type="dxa"/>
            <w:vMerge/>
            <w:tcBorders>
              <w:top w:val="nil"/>
              <w:left w:val="single" w:sz="4" w:space="0" w:color="auto"/>
              <w:bottom w:val="nil"/>
              <w:right w:val="single" w:sz="4" w:space="0" w:color="auto"/>
            </w:tcBorders>
            <w:shd w:val="clear" w:color="auto" w:fill="auto"/>
            <w:textDirection w:val="btLr"/>
            <w:vAlign w:val="center"/>
          </w:tcPr>
          <w:p w14:paraId="4F15B52F" w14:textId="77777777" w:rsidR="0072369B" w:rsidRDefault="0072369B">
            <w:pPr>
              <w:jc w:val="center"/>
              <w:rPr>
                <w:rFonts w:ascii="Times New Roman" w:hAnsi="Times New Roman"/>
                <w:color w:val="000000"/>
                <w:sz w:val="16"/>
                <w:szCs w:val="16"/>
              </w:rPr>
            </w:pPr>
          </w:p>
        </w:tc>
        <w:tc>
          <w:tcPr>
            <w:tcW w:w="675" w:type="dxa"/>
            <w:tcBorders>
              <w:top w:val="nil"/>
              <w:left w:val="nil"/>
              <w:bottom w:val="nil"/>
              <w:right w:val="nil"/>
            </w:tcBorders>
            <w:shd w:val="clear" w:color="auto" w:fill="auto"/>
            <w:textDirection w:val="btLr"/>
            <w:vAlign w:val="center"/>
          </w:tcPr>
          <w:p w14:paraId="0ED4B01B"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0.00(―0.02,0.04)</w:t>
            </w:r>
            <w:r>
              <w:rPr>
                <w:rFonts w:ascii="Times New Roman" w:hAnsi="Times New Roman"/>
                <w:color w:val="000000"/>
                <w:kern w:val="0"/>
                <w:sz w:val="16"/>
                <w:szCs w:val="16"/>
                <w:lang w:bidi="ar"/>
              </w:rPr>
              <w:br/>
              <w:t>0.659</w:t>
            </w:r>
          </w:p>
        </w:tc>
        <w:tc>
          <w:tcPr>
            <w:tcW w:w="674" w:type="dxa"/>
            <w:tcBorders>
              <w:top w:val="nil"/>
              <w:left w:val="nil"/>
              <w:bottom w:val="nil"/>
              <w:right w:val="nil"/>
            </w:tcBorders>
            <w:shd w:val="clear" w:color="auto" w:fill="auto"/>
            <w:textDirection w:val="btLr"/>
            <w:vAlign w:val="center"/>
          </w:tcPr>
          <w:p w14:paraId="1074C218"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3.91(1.48,6.34)</w:t>
            </w:r>
            <w:r>
              <w:rPr>
                <w:rFonts w:ascii="Times New Roman" w:hAnsi="Times New Roman"/>
                <w:color w:val="000000"/>
                <w:kern w:val="0"/>
                <w:sz w:val="16"/>
                <w:szCs w:val="16"/>
                <w:lang w:bidi="ar"/>
              </w:rPr>
              <w:br/>
              <w:t>0.002</w:t>
            </w:r>
          </w:p>
        </w:tc>
        <w:tc>
          <w:tcPr>
            <w:tcW w:w="674" w:type="dxa"/>
            <w:tcBorders>
              <w:top w:val="nil"/>
              <w:left w:val="nil"/>
              <w:bottom w:val="nil"/>
              <w:right w:val="nil"/>
            </w:tcBorders>
            <w:shd w:val="clear" w:color="auto" w:fill="auto"/>
            <w:textDirection w:val="btLr"/>
            <w:vAlign w:val="center"/>
          </w:tcPr>
          <w:p w14:paraId="6A46D4BA"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0.09(0.00,0.19)</w:t>
            </w:r>
            <w:r>
              <w:rPr>
                <w:rFonts w:ascii="Times New Roman" w:hAnsi="Times New Roman"/>
                <w:color w:val="000000"/>
                <w:kern w:val="0"/>
                <w:sz w:val="16"/>
                <w:szCs w:val="16"/>
                <w:lang w:bidi="ar"/>
              </w:rPr>
              <w:br/>
              <w:t>0.049</w:t>
            </w:r>
          </w:p>
        </w:tc>
        <w:tc>
          <w:tcPr>
            <w:tcW w:w="674" w:type="dxa"/>
            <w:tcBorders>
              <w:top w:val="nil"/>
              <w:left w:val="nil"/>
              <w:bottom w:val="nil"/>
              <w:right w:val="nil"/>
            </w:tcBorders>
            <w:shd w:val="clear" w:color="auto" w:fill="auto"/>
            <w:textDirection w:val="btLr"/>
            <w:vAlign w:val="center"/>
          </w:tcPr>
          <w:p w14:paraId="3A5BE4BF"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0.33(0.22,0.44)</w:t>
            </w:r>
            <w:r>
              <w:rPr>
                <w:rFonts w:ascii="Times New Roman" w:hAnsi="Times New Roman"/>
                <w:color w:val="000000"/>
                <w:kern w:val="0"/>
                <w:sz w:val="16"/>
                <w:szCs w:val="16"/>
                <w:lang w:bidi="ar"/>
              </w:rPr>
              <w:br/>
              <w:t>0.000</w:t>
            </w:r>
          </w:p>
        </w:tc>
        <w:tc>
          <w:tcPr>
            <w:tcW w:w="674" w:type="dxa"/>
            <w:tcBorders>
              <w:top w:val="nil"/>
              <w:left w:val="nil"/>
              <w:bottom w:val="nil"/>
              <w:right w:val="nil"/>
            </w:tcBorders>
            <w:shd w:val="clear" w:color="auto" w:fill="auto"/>
            <w:textDirection w:val="btLr"/>
            <w:vAlign w:val="center"/>
          </w:tcPr>
          <w:p w14:paraId="726352EB"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0.00(―0.18,0.19)</w:t>
            </w:r>
            <w:r>
              <w:rPr>
                <w:rFonts w:ascii="Times New Roman" w:hAnsi="Times New Roman"/>
                <w:color w:val="000000"/>
                <w:kern w:val="0"/>
                <w:sz w:val="16"/>
                <w:szCs w:val="16"/>
                <w:lang w:bidi="ar"/>
              </w:rPr>
              <w:br/>
              <w:t>0.978</w:t>
            </w:r>
          </w:p>
        </w:tc>
        <w:tc>
          <w:tcPr>
            <w:tcW w:w="674" w:type="dxa"/>
            <w:tcBorders>
              <w:top w:val="nil"/>
              <w:left w:val="nil"/>
              <w:bottom w:val="nil"/>
              <w:right w:val="nil"/>
            </w:tcBorders>
            <w:shd w:val="clear" w:color="auto" w:fill="auto"/>
            <w:textDirection w:val="btLr"/>
            <w:vAlign w:val="center"/>
          </w:tcPr>
          <w:p w14:paraId="6770F1E9"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0.29(0.15,0.43)</w:t>
            </w:r>
            <w:r>
              <w:rPr>
                <w:rFonts w:ascii="Times New Roman" w:hAnsi="Times New Roman"/>
                <w:color w:val="000000"/>
                <w:kern w:val="0"/>
                <w:sz w:val="16"/>
                <w:szCs w:val="16"/>
                <w:lang w:bidi="ar"/>
              </w:rPr>
              <w:br/>
              <w:t>0.000</w:t>
            </w:r>
          </w:p>
        </w:tc>
        <w:tc>
          <w:tcPr>
            <w:tcW w:w="674" w:type="dxa"/>
            <w:tcBorders>
              <w:top w:val="nil"/>
              <w:left w:val="nil"/>
              <w:bottom w:val="nil"/>
              <w:right w:val="nil"/>
            </w:tcBorders>
            <w:shd w:val="clear" w:color="auto" w:fill="auto"/>
            <w:textDirection w:val="btLr"/>
            <w:vAlign w:val="center"/>
          </w:tcPr>
          <w:p w14:paraId="72FD7140"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―0.17(―0.23,―0.11)</w:t>
            </w:r>
            <w:r>
              <w:rPr>
                <w:rFonts w:ascii="Times New Roman" w:hAnsi="Times New Roman"/>
                <w:color w:val="000000"/>
                <w:kern w:val="0"/>
                <w:sz w:val="16"/>
                <w:szCs w:val="16"/>
                <w:lang w:bidi="ar"/>
              </w:rPr>
              <w:br/>
              <w:t>0.000</w:t>
            </w:r>
          </w:p>
        </w:tc>
        <w:tc>
          <w:tcPr>
            <w:tcW w:w="674" w:type="dxa"/>
            <w:tcBorders>
              <w:top w:val="nil"/>
              <w:left w:val="nil"/>
              <w:bottom w:val="nil"/>
              <w:right w:val="nil"/>
            </w:tcBorders>
            <w:shd w:val="clear" w:color="auto" w:fill="auto"/>
            <w:textDirection w:val="btLr"/>
            <w:vAlign w:val="center"/>
          </w:tcPr>
          <w:p w14:paraId="7FEE9CE2"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0.14(―0.01,0.29)</w:t>
            </w:r>
            <w:r>
              <w:rPr>
                <w:rFonts w:ascii="Times New Roman" w:hAnsi="Times New Roman"/>
                <w:color w:val="000000"/>
                <w:kern w:val="0"/>
                <w:sz w:val="16"/>
                <w:szCs w:val="16"/>
                <w:lang w:bidi="ar"/>
              </w:rPr>
              <w:br/>
              <w:t>0.068</w:t>
            </w:r>
          </w:p>
        </w:tc>
        <w:tc>
          <w:tcPr>
            <w:tcW w:w="674" w:type="dxa"/>
            <w:tcBorders>
              <w:top w:val="nil"/>
              <w:left w:val="nil"/>
              <w:bottom w:val="nil"/>
              <w:right w:val="nil"/>
            </w:tcBorders>
            <w:shd w:val="clear" w:color="auto" w:fill="auto"/>
            <w:textDirection w:val="btLr"/>
            <w:vAlign w:val="center"/>
          </w:tcPr>
          <w:p w14:paraId="00057507"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0.03(0.02,0.04)</w:t>
            </w:r>
            <w:r>
              <w:rPr>
                <w:rFonts w:ascii="Times New Roman" w:hAnsi="Times New Roman"/>
                <w:color w:val="000000"/>
                <w:kern w:val="0"/>
                <w:sz w:val="16"/>
                <w:szCs w:val="16"/>
                <w:lang w:bidi="ar"/>
              </w:rPr>
              <w:br/>
              <w:t>0.000</w:t>
            </w:r>
          </w:p>
        </w:tc>
        <w:tc>
          <w:tcPr>
            <w:tcW w:w="674" w:type="dxa"/>
            <w:tcBorders>
              <w:top w:val="nil"/>
              <w:left w:val="nil"/>
              <w:bottom w:val="nil"/>
              <w:right w:val="nil"/>
            </w:tcBorders>
            <w:shd w:val="clear" w:color="auto" w:fill="auto"/>
            <w:textDirection w:val="btLr"/>
            <w:vAlign w:val="center"/>
          </w:tcPr>
          <w:p w14:paraId="6C6748CF"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9.28(3.78,14.78)</w:t>
            </w:r>
            <w:r>
              <w:rPr>
                <w:rFonts w:ascii="Times New Roman" w:hAnsi="Times New Roman"/>
                <w:color w:val="000000"/>
                <w:kern w:val="0"/>
                <w:sz w:val="16"/>
                <w:szCs w:val="16"/>
                <w:lang w:bidi="ar"/>
              </w:rPr>
              <w:br/>
              <w:t>0.001</w:t>
            </w:r>
          </w:p>
        </w:tc>
        <w:tc>
          <w:tcPr>
            <w:tcW w:w="674" w:type="dxa"/>
            <w:tcBorders>
              <w:top w:val="nil"/>
              <w:left w:val="nil"/>
              <w:bottom w:val="nil"/>
              <w:right w:val="single" w:sz="4" w:space="0" w:color="auto"/>
            </w:tcBorders>
            <w:shd w:val="clear" w:color="auto" w:fill="auto"/>
            <w:textDirection w:val="btLr"/>
            <w:vAlign w:val="center"/>
          </w:tcPr>
          <w:p w14:paraId="5161210A"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0.01(―0.00,0.03)</w:t>
            </w:r>
            <w:r>
              <w:rPr>
                <w:rFonts w:ascii="Times New Roman" w:hAnsi="Times New Roman"/>
                <w:color w:val="000000"/>
                <w:kern w:val="0"/>
                <w:sz w:val="16"/>
                <w:szCs w:val="16"/>
                <w:lang w:bidi="ar"/>
              </w:rPr>
              <w:br/>
              <w:t>0.121</w:t>
            </w:r>
          </w:p>
        </w:tc>
      </w:tr>
      <w:tr w:rsidR="0072369B" w14:paraId="57E22477" w14:textId="77777777" w:rsidTr="007A43BA">
        <w:trPr>
          <w:trHeight w:val="1060"/>
        </w:trPr>
        <w:tc>
          <w:tcPr>
            <w:tcW w:w="758" w:type="dxa"/>
            <w:vMerge/>
            <w:tcBorders>
              <w:top w:val="nil"/>
              <w:left w:val="nil"/>
              <w:bottom w:val="nil"/>
              <w:right w:val="single" w:sz="4" w:space="0" w:color="auto"/>
            </w:tcBorders>
            <w:shd w:val="clear" w:color="auto" w:fill="auto"/>
            <w:noWrap/>
            <w:textDirection w:val="btLr"/>
            <w:vAlign w:val="center"/>
          </w:tcPr>
          <w:p w14:paraId="4B33A5BB" w14:textId="77777777" w:rsidR="0072369B" w:rsidRDefault="0072369B">
            <w:pPr>
              <w:rPr>
                <w:rFonts w:ascii="Times New Roman" w:hAnsi="Times New Roman"/>
                <w:color w:val="000000"/>
                <w:sz w:val="16"/>
                <w:szCs w:val="16"/>
              </w:rPr>
            </w:pPr>
          </w:p>
        </w:tc>
        <w:tc>
          <w:tcPr>
            <w:tcW w:w="0" w:type="auto"/>
            <w:vMerge/>
            <w:tcBorders>
              <w:top w:val="nil"/>
              <w:left w:val="nil"/>
              <w:bottom w:val="nil"/>
              <w:right w:val="nil"/>
            </w:tcBorders>
            <w:shd w:val="clear" w:color="auto" w:fill="auto"/>
            <w:noWrap/>
            <w:textDirection w:val="btLr"/>
            <w:vAlign w:val="center"/>
          </w:tcPr>
          <w:p w14:paraId="1769D4D2" w14:textId="77777777" w:rsidR="0072369B" w:rsidRDefault="0072369B">
            <w:pPr>
              <w:jc w:val="center"/>
              <w:rPr>
                <w:rFonts w:ascii="Times New Roman" w:hAnsi="Times New Roman"/>
                <w:color w:val="000000"/>
                <w:sz w:val="16"/>
                <w:szCs w:val="16"/>
              </w:rPr>
            </w:pPr>
          </w:p>
        </w:tc>
        <w:tc>
          <w:tcPr>
            <w:tcW w:w="0" w:type="auto"/>
            <w:tcBorders>
              <w:top w:val="nil"/>
              <w:left w:val="single" w:sz="4" w:space="0" w:color="auto"/>
              <w:bottom w:val="nil"/>
              <w:right w:val="single" w:sz="4" w:space="0" w:color="auto"/>
            </w:tcBorders>
            <w:shd w:val="clear" w:color="auto" w:fill="auto"/>
            <w:noWrap/>
            <w:textDirection w:val="btLr"/>
            <w:vAlign w:val="center"/>
          </w:tcPr>
          <w:p w14:paraId="5216469E"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Traj 2</w:t>
            </w:r>
          </w:p>
        </w:tc>
        <w:tc>
          <w:tcPr>
            <w:tcW w:w="675" w:type="dxa"/>
            <w:vMerge/>
            <w:tcBorders>
              <w:top w:val="nil"/>
              <w:left w:val="single" w:sz="4" w:space="0" w:color="auto"/>
              <w:bottom w:val="nil"/>
              <w:right w:val="single" w:sz="4" w:space="0" w:color="auto"/>
            </w:tcBorders>
            <w:shd w:val="clear" w:color="auto" w:fill="auto"/>
            <w:textDirection w:val="btLr"/>
            <w:vAlign w:val="center"/>
          </w:tcPr>
          <w:p w14:paraId="3B9FFC6E" w14:textId="77777777" w:rsidR="0072369B" w:rsidRDefault="0072369B">
            <w:pPr>
              <w:jc w:val="center"/>
              <w:rPr>
                <w:rFonts w:ascii="Times New Roman" w:hAnsi="Times New Roman"/>
                <w:color w:val="000000"/>
                <w:sz w:val="16"/>
                <w:szCs w:val="16"/>
              </w:rPr>
            </w:pPr>
          </w:p>
        </w:tc>
        <w:tc>
          <w:tcPr>
            <w:tcW w:w="675" w:type="dxa"/>
            <w:tcBorders>
              <w:top w:val="nil"/>
              <w:left w:val="nil"/>
              <w:bottom w:val="nil"/>
              <w:right w:val="nil"/>
            </w:tcBorders>
            <w:shd w:val="clear" w:color="auto" w:fill="auto"/>
            <w:textDirection w:val="btLr"/>
            <w:vAlign w:val="center"/>
          </w:tcPr>
          <w:p w14:paraId="03A3EA6C"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Reference</w:t>
            </w:r>
          </w:p>
        </w:tc>
        <w:tc>
          <w:tcPr>
            <w:tcW w:w="674" w:type="dxa"/>
            <w:tcBorders>
              <w:top w:val="nil"/>
              <w:left w:val="nil"/>
              <w:bottom w:val="nil"/>
              <w:right w:val="nil"/>
            </w:tcBorders>
            <w:shd w:val="clear" w:color="auto" w:fill="auto"/>
            <w:textDirection w:val="btLr"/>
            <w:vAlign w:val="center"/>
          </w:tcPr>
          <w:p w14:paraId="4264D84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Reference</w:t>
            </w:r>
          </w:p>
        </w:tc>
        <w:tc>
          <w:tcPr>
            <w:tcW w:w="674" w:type="dxa"/>
            <w:tcBorders>
              <w:top w:val="nil"/>
              <w:left w:val="nil"/>
              <w:bottom w:val="nil"/>
              <w:right w:val="nil"/>
            </w:tcBorders>
            <w:shd w:val="clear" w:color="auto" w:fill="auto"/>
            <w:textDirection w:val="btLr"/>
            <w:vAlign w:val="center"/>
          </w:tcPr>
          <w:p w14:paraId="31C9C142"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Reference</w:t>
            </w:r>
          </w:p>
        </w:tc>
        <w:tc>
          <w:tcPr>
            <w:tcW w:w="674" w:type="dxa"/>
            <w:tcBorders>
              <w:top w:val="nil"/>
              <w:left w:val="nil"/>
              <w:bottom w:val="nil"/>
              <w:right w:val="nil"/>
            </w:tcBorders>
            <w:shd w:val="clear" w:color="auto" w:fill="auto"/>
            <w:textDirection w:val="btLr"/>
            <w:vAlign w:val="center"/>
          </w:tcPr>
          <w:p w14:paraId="2407D3ED"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Reference</w:t>
            </w:r>
          </w:p>
        </w:tc>
        <w:tc>
          <w:tcPr>
            <w:tcW w:w="674" w:type="dxa"/>
            <w:tcBorders>
              <w:top w:val="nil"/>
              <w:left w:val="nil"/>
              <w:bottom w:val="nil"/>
              <w:right w:val="nil"/>
            </w:tcBorders>
            <w:shd w:val="clear" w:color="auto" w:fill="auto"/>
            <w:textDirection w:val="btLr"/>
            <w:vAlign w:val="center"/>
          </w:tcPr>
          <w:p w14:paraId="5B59E17F"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Reference</w:t>
            </w:r>
          </w:p>
        </w:tc>
        <w:tc>
          <w:tcPr>
            <w:tcW w:w="674" w:type="dxa"/>
            <w:tcBorders>
              <w:top w:val="nil"/>
              <w:left w:val="nil"/>
              <w:bottom w:val="nil"/>
              <w:right w:val="nil"/>
            </w:tcBorders>
            <w:shd w:val="clear" w:color="auto" w:fill="auto"/>
            <w:textDirection w:val="btLr"/>
            <w:vAlign w:val="center"/>
          </w:tcPr>
          <w:p w14:paraId="222C9A08"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Reference</w:t>
            </w:r>
          </w:p>
        </w:tc>
        <w:tc>
          <w:tcPr>
            <w:tcW w:w="674" w:type="dxa"/>
            <w:tcBorders>
              <w:top w:val="nil"/>
              <w:left w:val="nil"/>
              <w:bottom w:val="nil"/>
              <w:right w:val="nil"/>
            </w:tcBorders>
            <w:shd w:val="clear" w:color="auto" w:fill="auto"/>
            <w:textDirection w:val="btLr"/>
            <w:vAlign w:val="center"/>
          </w:tcPr>
          <w:p w14:paraId="241DF708"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Reference</w:t>
            </w:r>
          </w:p>
        </w:tc>
        <w:tc>
          <w:tcPr>
            <w:tcW w:w="674" w:type="dxa"/>
            <w:tcBorders>
              <w:top w:val="nil"/>
              <w:left w:val="nil"/>
              <w:bottom w:val="nil"/>
              <w:right w:val="nil"/>
            </w:tcBorders>
            <w:shd w:val="clear" w:color="auto" w:fill="auto"/>
            <w:textDirection w:val="btLr"/>
            <w:vAlign w:val="center"/>
          </w:tcPr>
          <w:p w14:paraId="2C9AA461"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Reference</w:t>
            </w:r>
          </w:p>
        </w:tc>
        <w:tc>
          <w:tcPr>
            <w:tcW w:w="674" w:type="dxa"/>
            <w:tcBorders>
              <w:top w:val="nil"/>
              <w:left w:val="nil"/>
              <w:bottom w:val="nil"/>
              <w:right w:val="nil"/>
            </w:tcBorders>
            <w:shd w:val="clear" w:color="auto" w:fill="auto"/>
            <w:textDirection w:val="btLr"/>
            <w:vAlign w:val="center"/>
          </w:tcPr>
          <w:p w14:paraId="43A0F91A"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Reference</w:t>
            </w:r>
          </w:p>
        </w:tc>
        <w:tc>
          <w:tcPr>
            <w:tcW w:w="674" w:type="dxa"/>
            <w:tcBorders>
              <w:top w:val="nil"/>
              <w:left w:val="nil"/>
              <w:bottom w:val="nil"/>
              <w:right w:val="nil"/>
            </w:tcBorders>
            <w:shd w:val="clear" w:color="auto" w:fill="auto"/>
            <w:textDirection w:val="btLr"/>
            <w:vAlign w:val="center"/>
          </w:tcPr>
          <w:p w14:paraId="11812873"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Reference</w:t>
            </w:r>
          </w:p>
        </w:tc>
        <w:tc>
          <w:tcPr>
            <w:tcW w:w="674" w:type="dxa"/>
            <w:tcBorders>
              <w:top w:val="nil"/>
              <w:left w:val="nil"/>
              <w:bottom w:val="nil"/>
              <w:right w:val="single" w:sz="4" w:space="0" w:color="auto"/>
            </w:tcBorders>
            <w:shd w:val="clear" w:color="auto" w:fill="auto"/>
            <w:textDirection w:val="btLr"/>
            <w:vAlign w:val="center"/>
          </w:tcPr>
          <w:p w14:paraId="22F97AA1"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Reference</w:t>
            </w:r>
          </w:p>
        </w:tc>
      </w:tr>
      <w:tr w:rsidR="0072369B" w14:paraId="18731CC4" w14:textId="77777777" w:rsidTr="007A43BA">
        <w:trPr>
          <w:trHeight w:val="1760"/>
        </w:trPr>
        <w:tc>
          <w:tcPr>
            <w:tcW w:w="758" w:type="dxa"/>
            <w:vMerge/>
            <w:tcBorders>
              <w:top w:val="nil"/>
              <w:left w:val="nil"/>
              <w:bottom w:val="nil"/>
              <w:right w:val="single" w:sz="4" w:space="0" w:color="auto"/>
            </w:tcBorders>
            <w:shd w:val="clear" w:color="auto" w:fill="auto"/>
            <w:noWrap/>
            <w:textDirection w:val="btLr"/>
            <w:vAlign w:val="center"/>
          </w:tcPr>
          <w:p w14:paraId="199DC8FE" w14:textId="77777777" w:rsidR="0072369B" w:rsidRDefault="0072369B">
            <w:pPr>
              <w:rPr>
                <w:rFonts w:ascii="Times New Roman" w:hAnsi="Times New Roman"/>
                <w:color w:val="000000"/>
                <w:sz w:val="16"/>
                <w:szCs w:val="16"/>
              </w:rPr>
            </w:pPr>
          </w:p>
        </w:tc>
        <w:tc>
          <w:tcPr>
            <w:tcW w:w="0" w:type="auto"/>
            <w:vMerge/>
            <w:tcBorders>
              <w:top w:val="nil"/>
              <w:left w:val="nil"/>
              <w:bottom w:val="nil"/>
              <w:right w:val="nil"/>
            </w:tcBorders>
            <w:shd w:val="clear" w:color="auto" w:fill="auto"/>
            <w:noWrap/>
            <w:textDirection w:val="btLr"/>
            <w:vAlign w:val="center"/>
          </w:tcPr>
          <w:p w14:paraId="553470FE" w14:textId="77777777" w:rsidR="0072369B" w:rsidRDefault="0072369B">
            <w:pPr>
              <w:jc w:val="center"/>
              <w:rPr>
                <w:rFonts w:ascii="Times New Roman" w:hAnsi="Times New Roman"/>
                <w:color w:val="000000"/>
                <w:sz w:val="16"/>
                <w:szCs w:val="16"/>
              </w:rPr>
            </w:pPr>
          </w:p>
        </w:tc>
        <w:tc>
          <w:tcPr>
            <w:tcW w:w="0" w:type="auto"/>
            <w:tcBorders>
              <w:top w:val="nil"/>
              <w:left w:val="single" w:sz="4" w:space="0" w:color="auto"/>
              <w:bottom w:val="nil"/>
              <w:right w:val="single" w:sz="4" w:space="0" w:color="auto"/>
            </w:tcBorders>
            <w:shd w:val="clear" w:color="auto" w:fill="auto"/>
            <w:noWrap/>
            <w:textDirection w:val="btLr"/>
            <w:vAlign w:val="center"/>
          </w:tcPr>
          <w:p w14:paraId="57DFAD5E"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Traj 1</w:t>
            </w:r>
          </w:p>
        </w:tc>
        <w:tc>
          <w:tcPr>
            <w:tcW w:w="675" w:type="dxa"/>
            <w:vMerge/>
            <w:tcBorders>
              <w:top w:val="nil"/>
              <w:left w:val="single" w:sz="4" w:space="0" w:color="auto"/>
              <w:bottom w:val="nil"/>
              <w:right w:val="single" w:sz="4" w:space="0" w:color="auto"/>
            </w:tcBorders>
            <w:shd w:val="clear" w:color="auto" w:fill="auto"/>
            <w:textDirection w:val="btLr"/>
            <w:vAlign w:val="center"/>
          </w:tcPr>
          <w:p w14:paraId="3B0ADAF9" w14:textId="77777777" w:rsidR="0072369B" w:rsidRDefault="0072369B">
            <w:pPr>
              <w:jc w:val="center"/>
              <w:rPr>
                <w:rFonts w:ascii="Times New Roman" w:hAnsi="Times New Roman"/>
                <w:color w:val="000000"/>
                <w:sz w:val="16"/>
                <w:szCs w:val="16"/>
              </w:rPr>
            </w:pPr>
          </w:p>
        </w:tc>
        <w:tc>
          <w:tcPr>
            <w:tcW w:w="675" w:type="dxa"/>
            <w:tcBorders>
              <w:top w:val="nil"/>
              <w:left w:val="nil"/>
              <w:bottom w:val="nil"/>
              <w:right w:val="nil"/>
            </w:tcBorders>
            <w:shd w:val="clear" w:color="auto" w:fill="auto"/>
            <w:textDirection w:val="btLr"/>
            <w:vAlign w:val="center"/>
          </w:tcPr>
          <w:p w14:paraId="2A7F448C"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―0.01(―0.04,0.02)</w:t>
            </w:r>
            <w:r>
              <w:rPr>
                <w:rFonts w:ascii="Times New Roman" w:hAnsi="Times New Roman"/>
                <w:color w:val="000000"/>
                <w:kern w:val="0"/>
                <w:sz w:val="16"/>
                <w:szCs w:val="16"/>
                <w:lang w:bidi="ar"/>
              </w:rPr>
              <w:br/>
              <w:t>0.388</w:t>
            </w:r>
          </w:p>
        </w:tc>
        <w:tc>
          <w:tcPr>
            <w:tcW w:w="674" w:type="dxa"/>
            <w:tcBorders>
              <w:top w:val="nil"/>
              <w:left w:val="nil"/>
              <w:bottom w:val="nil"/>
              <w:right w:val="nil"/>
            </w:tcBorders>
            <w:shd w:val="clear" w:color="auto" w:fill="auto"/>
            <w:textDirection w:val="btLr"/>
            <w:vAlign w:val="center"/>
          </w:tcPr>
          <w:p w14:paraId="6F756A4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0.37(―1.79,2.53)</w:t>
            </w:r>
            <w:r>
              <w:rPr>
                <w:rFonts w:ascii="Times New Roman" w:hAnsi="Times New Roman"/>
                <w:color w:val="000000"/>
                <w:kern w:val="0"/>
                <w:sz w:val="16"/>
                <w:szCs w:val="16"/>
                <w:lang w:bidi="ar"/>
              </w:rPr>
              <w:br/>
              <w:t>0.735</w:t>
            </w:r>
          </w:p>
        </w:tc>
        <w:tc>
          <w:tcPr>
            <w:tcW w:w="674" w:type="dxa"/>
            <w:tcBorders>
              <w:top w:val="nil"/>
              <w:left w:val="nil"/>
              <w:bottom w:val="nil"/>
              <w:right w:val="nil"/>
            </w:tcBorders>
            <w:shd w:val="clear" w:color="auto" w:fill="auto"/>
            <w:textDirection w:val="btLr"/>
            <w:vAlign w:val="center"/>
          </w:tcPr>
          <w:p w14:paraId="067B013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0.03(―0.05,0.11)</w:t>
            </w:r>
            <w:r>
              <w:rPr>
                <w:rFonts w:ascii="Times New Roman" w:hAnsi="Times New Roman"/>
                <w:color w:val="000000"/>
                <w:kern w:val="0"/>
                <w:sz w:val="16"/>
                <w:szCs w:val="16"/>
                <w:lang w:bidi="ar"/>
              </w:rPr>
              <w:br/>
              <w:t>0.507</w:t>
            </w:r>
          </w:p>
        </w:tc>
        <w:tc>
          <w:tcPr>
            <w:tcW w:w="674" w:type="dxa"/>
            <w:tcBorders>
              <w:top w:val="nil"/>
              <w:left w:val="nil"/>
              <w:bottom w:val="nil"/>
              <w:right w:val="nil"/>
            </w:tcBorders>
            <w:shd w:val="clear" w:color="auto" w:fill="auto"/>
            <w:textDirection w:val="btLr"/>
            <w:vAlign w:val="center"/>
          </w:tcPr>
          <w:p w14:paraId="37EA18CF"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―0.13(―0.23,―0.04)</w:t>
            </w:r>
            <w:r>
              <w:rPr>
                <w:rFonts w:ascii="Times New Roman" w:hAnsi="Times New Roman"/>
                <w:color w:val="000000"/>
                <w:kern w:val="0"/>
                <w:sz w:val="16"/>
                <w:szCs w:val="16"/>
                <w:lang w:bidi="ar"/>
              </w:rPr>
              <w:br/>
              <w:t>0.007</w:t>
            </w:r>
          </w:p>
        </w:tc>
        <w:tc>
          <w:tcPr>
            <w:tcW w:w="674" w:type="dxa"/>
            <w:tcBorders>
              <w:top w:val="nil"/>
              <w:left w:val="nil"/>
              <w:bottom w:val="nil"/>
              <w:right w:val="nil"/>
            </w:tcBorders>
            <w:shd w:val="clear" w:color="auto" w:fill="auto"/>
            <w:textDirection w:val="btLr"/>
            <w:vAlign w:val="center"/>
          </w:tcPr>
          <w:p w14:paraId="2AC68CC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0.05(―0.11,0.22)</w:t>
            </w:r>
            <w:r>
              <w:rPr>
                <w:rFonts w:ascii="Times New Roman" w:hAnsi="Times New Roman"/>
                <w:color w:val="000000"/>
                <w:kern w:val="0"/>
                <w:sz w:val="16"/>
                <w:szCs w:val="16"/>
                <w:lang w:bidi="ar"/>
              </w:rPr>
              <w:br/>
              <w:t>0.543</w:t>
            </w:r>
          </w:p>
        </w:tc>
        <w:tc>
          <w:tcPr>
            <w:tcW w:w="674" w:type="dxa"/>
            <w:tcBorders>
              <w:top w:val="nil"/>
              <w:left w:val="nil"/>
              <w:bottom w:val="nil"/>
              <w:right w:val="nil"/>
            </w:tcBorders>
            <w:shd w:val="clear" w:color="auto" w:fill="auto"/>
            <w:textDirection w:val="btLr"/>
            <w:vAlign w:val="center"/>
          </w:tcPr>
          <w:p w14:paraId="1E135E0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―0.03(―0.15,0.09)</w:t>
            </w:r>
            <w:r>
              <w:rPr>
                <w:rFonts w:ascii="Times New Roman" w:hAnsi="Times New Roman"/>
                <w:color w:val="000000"/>
                <w:kern w:val="0"/>
                <w:sz w:val="16"/>
                <w:szCs w:val="16"/>
                <w:lang w:bidi="ar"/>
              </w:rPr>
              <w:br/>
              <w:t>0.621</w:t>
            </w:r>
          </w:p>
        </w:tc>
        <w:tc>
          <w:tcPr>
            <w:tcW w:w="674" w:type="dxa"/>
            <w:tcBorders>
              <w:top w:val="nil"/>
              <w:left w:val="nil"/>
              <w:bottom w:val="nil"/>
              <w:right w:val="nil"/>
            </w:tcBorders>
            <w:shd w:val="clear" w:color="auto" w:fill="auto"/>
            <w:textDirection w:val="btLr"/>
            <w:vAlign w:val="center"/>
          </w:tcPr>
          <w:p w14:paraId="680ADAB4"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0.08(0.03,0.13)</w:t>
            </w:r>
            <w:r>
              <w:rPr>
                <w:rFonts w:ascii="Times New Roman" w:hAnsi="Times New Roman"/>
                <w:color w:val="000000"/>
                <w:kern w:val="0"/>
                <w:sz w:val="16"/>
                <w:szCs w:val="16"/>
                <w:lang w:bidi="ar"/>
              </w:rPr>
              <w:br/>
              <w:t>0.004</w:t>
            </w:r>
          </w:p>
        </w:tc>
        <w:tc>
          <w:tcPr>
            <w:tcW w:w="674" w:type="dxa"/>
            <w:tcBorders>
              <w:top w:val="nil"/>
              <w:left w:val="nil"/>
              <w:bottom w:val="nil"/>
              <w:right w:val="nil"/>
            </w:tcBorders>
            <w:shd w:val="clear" w:color="auto" w:fill="auto"/>
            <w:textDirection w:val="btLr"/>
            <w:vAlign w:val="center"/>
          </w:tcPr>
          <w:p w14:paraId="03751305"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―0.02(―0.15,0.12)</w:t>
            </w:r>
            <w:r>
              <w:rPr>
                <w:rFonts w:ascii="Times New Roman" w:hAnsi="Times New Roman"/>
                <w:color w:val="000000"/>
                <w:kern w:val="0"/>
                <w:sz w:val="16"/>
                <w:szCs w:val="16"/>
                <w:lang w:bidi="ar"/>
              </w:rPr>
              <w:br/>
              <w:t>0.782</w:t>
            </w:r>
          </w:p>
        </w:tc>
        <w:tc>
          <w:tcPr>
            <w:tcW w:w="674" w:type="dxa"/>
            <w:tcBorders>
              <w:top w:val="nil"/>
              <w:left w:val="nil"/>
              <w:bottom w:val="nil"/>
              <w:right w:val="nil"/>
            </w:tcBorders>
            <w:shd w:val="clear" w:color="auto" w:fill="auto"/>
            <w:textDirection w:val="btLr"/>
            <w:vAlign w:val="center"/>
          </w:tcPr>
          <w:p w14:paraId="3D67624F"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―0.02(―0.03,―0.00)</w:t>
            </w:r>
            <w:r>
              <w:rPr>
                <w:rFonts w:ascii="Times New Roman" w:hAnsi="Times New Roman"/>
                <w:color w:val="000000"/>
                <w:kern w:val="0"/>
                <w:sz w:val="16"/>
                <w:szCs w:val="16"/>
                <w:lang w:bidi="ar"/>
              </w:rPr>
              <w:br/>
              <w:t>0.000</w:t>
            </w:r>
          </w:p>
        </w:tc>
        <w:tc>
          <w:tcPr>
            <w:tcW w:w="674" w:type="dxa"/>
            <w:tcBorders>
              <w:top w:val="nil"/>
              <w:left w:val="nil"/>
              <w:bottom w:val="nil"/>
              <w:right w:val="nil"/>
            </w:tcBorders>
            <w:shd w:val="clear" w:color="auto" w:fill="auto"/>
            <w:textDirection w:val="btLr"/>
            <w:vAlign w:val="center"/>
          </w:tcPr>
          <w:p w14:paraId="42335315"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―12.61(―17.51,―7.71)</w:t>
            </w:r>
            <w:r>
              <w:rPr>
                <w:rFonts w:ascii="Times New Roman" w:hAnsi="Times New Roman"/>
                <w:color w:val="000000"/>
                <w:kern w:val="0"/>
                <w:sz w:val="16"/>
                <w:szCs w:val="16"/>
                <w:lang w:bidi="ar"/>
              </w:rPr>
              <w:br/>
              <w:t>0.000</w:t>
            </w:r>
          </w:p>
        </w:tc>
        <w:tc>
          <w:tcPr>
            <w:tcW w:w="674" w:type="dxa"/>
            <w:tcBorders>
              <w:top w:val="nil"/>
              <w:left w:val="nil"/>
              <w:bottom w:val="nil"/>
              <w:right w:val="single" w:sz="4" w:space="0" w:color="auto"/>
            </w:tcBorders>
            <w:shd w:val="clear" w:color="auto" w:fill="auto"/>
            <w:textDirection w:val="btLr"/>
            <w:vAlign w:val="center"/>
          </w:tcPr>
          <w:p w14:paraId="46071310"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―0.00(―0.02,0.01)</w:t>
            </w:r>
            <w:r>
              <w:rPr>
                <w:rFonts w:ascii="Times New Roman" w:hAnsi="Times New Roman"/>
                <w:color w:val="000000"/>
                <w:kern w:val="0"/>
                <w:sz w:val="16"/>
                <w:szCs w:val="16"/>
                <w:lang w:bidi="ar"/>
              </w:rPr>
              <w:br/>
              <w:t>0.806</w:t>
            </w:r>
          </w:p>
        </w:tc>
      </w:tr>
      <w:tr w:rsidR="0072369B" w14:paraId="3BE9ACC1" w14:textId="77777777" w:rsidTr="007A43BA">
        <w:trPr>
          <w:trHeight w:val="260"/>
        </w:trPr>
        <w:tc>
          <w:tcPr>
            <w:tcW w:w="758" w:type="dxa"/>
            <w:vMerge/>
            <w:tcBorders>
              <w:top w:val="nil"/>
              <w:left w:val="nil"/>
              <w:bottom w:val="nil"/>
              <w:right w:val="single" w:sz="4" w:space="0" w:color="auto"/>
            </w:tcBorders>
            <w:shd w:val="clear" w:color="auto" w:fill="auto"/>
            <w:noWrap/>
            <w:textDirection w:val="btLr"/>
            <w:vAlign w:val="center"/>
          </w:tcPr>
          <w:p w14:paraId="1323376A"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4911976D" w14:textId="77777777" w:rsidR="0072369B" w:rsidRDefault="0072369B">
            <w:pPr>
              <w:jc w:val="cente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42EB1A19" w14:textId="77777777" w:rsidR="0072369B" w:rsidRDefault="0072369B">
            <w:pPr>
              <w:rPr>
                <w:rFonts w:ascii="Times New Roman" w:hAnsi="Times New Roman"/>
                <w:color w:val="000000"/>
                <w:sz w:val="16"/>
                <w:szCs w:val="16"/>
              </w:rPr>
            </w:pPr>
          </w:p>
        </w:tc>
        <w:tc>
          <w:tcPr>
            <w:tcW w:w="675" w:type="dxa"/>
            <w:tcBorders>
              <w:top w:val="nil"/>
              <w:left w:val="nil"/>
              <w:bottom w:val="nil"/>
              <w:right w:val="nil"/>
            </w:tcBorders>
            <w:shd w:val="clear" w:color="auto" w:fill="auto"/>
            <w:noWrap/>
            <w:vAlign w:val="center"/>
          </w:tcPr>
          <w:p w14:paraId="50550154" w14:textId="77777777" w:rsidR="0072369B" w:rsidRDefault="0072369B">
            <w:pPr>
              <w:jc w:val="center"/>
              <w:rPr>
                <w:rFonts w:ascii="Times New Roman" w:hAnsi="Times New Roman"/>
                <w:color w:val="000000"/>
                <w:sz w:val="16"/>
                <w:szCs w:val="16"/>
              </w:rPr>
            </w:pPr>
          </w:p>
        </w:tc>
        <w:tc>
          <w:tcPr>
            <w:tcW w:w="675" w:type="dxa"/>
            <w:tcBorders>
              <w:top w:val="nil"/>
              <w:left w:val="nil"/>
              <w:bottom w:val="nil"/>
              <w:right w:val="nil"/>
            </w:tcBorders>
            <w:shd w:val="clear" w:color="auto" w:fill="auto"/>
            <w:noWrap/>
            <w:vAlign w:val="center"/>
          </w:tcPr>
          <w:p w14:paraId="6820E1F5"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50896A2A"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42BAB841"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103B7E24"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5562ED77"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4F3CC585"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6972709B"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6656DCB9"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2D5E8D0F"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1F5648D9" w14:textId="77777777" w:rsidR="0072369B" w:rsidRDefault="0072369B">
            <w:pPr>
              <w:rPr>
                <w:rFonts w:ascii="Times New Roman" w:hAnsi="Times New Roman"/>
                <w:color w:val="000000"/>
                <w:sz w:val="16"/>
                <w:szCs w:val="16"/>
              </w:rPr>
            </w:pPr>
          </w:p>
        </w:tc>
        <w:tc>
          <w:tcPr>
            <w:tcW w:w="0" w:type="auto"/>
            <w:tcBorders>
              <w:top w:val="nil"/>
              <w:left w:val="nil"/>
              <w:bottom w:val="nil"/>
              <w:right w:val="single" w:sz="4" w:space="0" w:color="auto"/>
            </w:tcBorders>
            <w:shd w:val="clear" w:color="auto" w:fill="auto"/>
            <w:noWrap/>
            <w:vAlign w:val="center"/>
          </w:tcPr>
          <w:p w14:paraId="4C3582D9"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 xml:space="preserve">　</w:t>
            </w:r>
          </w:p>
        </w:tc>
      </w:tr>
      <w:tr w:rsidR="0072369B" w14:paraId="079790E5" w14:textId="77777777" w:rsidTr="007A43BA">
        <w:trPr>
          <w:trHeight w:val="1760"/>
        </w:trPr>
        <w:tc>
          <w:tcPr>
            <w:tcW w:w="758" w:type="dxa"/>
            <w:vMerge/>
            <w:tcBorders>
              <w:top w:val="nil"/>
              <w:left w:val="nil"/>
              <w:bottom w:val="nil"/>
              <w:right w:val="single" w:sz="4" w:space="0" w:color="auto"/>
            </w:tcBorders>
            <w:shd w:val="clear" w:color="auto" w:fill="auto"/>
            <w:noWrap/>
            <w:textDirection w:val="btLr"/>
            <w:vAlign w:val="center"/>
          </w:tcPr>
          <w:p w14:paraId="0E952D80" w14:textId="77777777" w:rsidR="0072369B" w:rsidRDefault="0072369B">
            <w:pPr>
              <w:rPr>
                <w:rFonts w:ascii="Times New Roman" w:hAnsi="Times New Roman"/>
                <w:color w:val="000000"/>
                <w:sz w:val="16"/>
                <w:szCs w:val="16"/>
              </w:rPr>
            </w:pPr>
          </w:p>
        </w:tc>
        <w:tc>
          <w:tcPr>
            <w:tcW w:w="0" w:type="auto"/>
            <w:vMerge w:val="restart"/>
            <w:tcBorders>
              <w:top w:val="nil"/>
              <w:left w:val="nil"/>
              <w:bottom w:val="nil"/>
              <w:right w:val="nil"/>
            </w:tcBorders>
            <w:shd w:val="clear" w:color="auto" w:fill="auto"/>
            <w:noWrap/>
            <w:textDirection w:val="btLr"/>
            <w:vAlign w:val="center"/>
          </w:tcPr>
          <w:p w14:paraId="0BFF429F" w14:textId="77777777" w:rsidR="0072369B" w:rsidRDefault="00E434B7">
            <w:pPr>
              <w:widowControl/>
              <w:jc w:val="center"/>
              <w:textAlignment w:val="center"/>
              <w:rPr>
                <w:rFonts w:ascii="Times New Roman" w:hAnsi="Times New Roman"/>
                <w:color w:val="000000"/>
                <w:sz w:val="16"/>
                <w:szCs w:val="16"/>
              </w:rPr>
            </w:pPr>
            <w:r>
              <w:rPr>
                <w:rFonts w:ascii="Times New Roman" w:hAnsi="Times New Roman"/>
                <w:color w:val="000000"/>
                <w:kern w:val="0"/>
                <w:sz w:val="16"/>
                <w:szCs w:val="16"/>
                <w:lang w:bidi="ar"/>
              </w:rPr>
              <w:t xml:space="preserve">Total BMI change </w:t>
            </w:r>
            <w:r>
              <w:rPr>
                <w:rStyle w:val="font61"/>
                <w:rFonts w:ascii="Times New Roman" w:hAnsi="Times New Roman" w:cs="Times New Roman" w:hint="default"/>
                <w:lang w:bidi="ar"/>
              </w:rPr>
              <w:t>＜</w:t>
            </w:r>
            <w:r>
              <w:rPr>
                <w:rStyle w:val="font51"/>
                <w:rFonts w:ascii="Times New Roman" w:hAnsi="Times New Roman" w:cs="Times New Roman"/>
                <w:lang w:bidi="ar"/>
              </w:rPr>
              <w:t>0</w:t>
            </w:r>
          </w:p>
        </w:tc>
        <w:tc>
          <w:tcPr>
            <w:tcW w:w="0" w:type="auto"/>
            <w:tcBorders>
              <w:top w:val="nil"/>
              <w:left w:val="single" w:sz="4" w:space="0" w:color="auto"/>
              <w:bottom w:val="nil"/>
              <w:right w:val="single" w:sz="4" w:space="0" w:color="auto"/>
            </w:tcBorders>
            <w:shd w:val="clear" w:color="auto" w:fill="auto"/>
            <w:noWrap/>
            <w:textDirection w:val="btLr"/>
            <w:vAlign w:val="center"/>
          </w:tcPr>
          <w:p w14:paraId="5AAB8D4D"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Traj 4</w:t>
            </w:r>
          </w:p>
        </w:tc>
        <w:tc>
          <w:tcPr>
            <w:tcW w:w="675" w:type="dxa"/>
            <w:vMerge w:val="restart"/>
            <w:tcBorders>
              <w:top w:val="nil"/>
              <w:left w:val="single" w:sz="4" w:space="0" w:color="auto"/>
              <w:bottom w:val="nil"/>
              <w:right w:val="single" w:sz="4" w:space="0" w:color="auto"/>
            </w:tcBorders>
            <w:shd w:val="clear" w:color="auto" w:fill="auto"/>
            <w:textDirection w:val="btLr"/>
            <w:vAlign w:val="center"/>
          </w:tcPr>
          <w:p w14:paraId="02589E04" w14:textId="4A25BB78" w:rsidR="0072369B" w:rsidRDefault="00E434B7">
            <w:pPr>
              <w:widowControl/>
              <w:jc w:val="center"/>
              <w:textAlignment w:val="center"/>
              <w:rPr>
                <w:rFonts w:ascii="Times New Roman" w:hAnsi="Times New Roman"/>
                <w:color w:val="000000"/>
                <w:sz w:val="16"/>
                <w:szCs w:val="16"/>
              </w:rPr>
            </w:pPr>
            <w:r>
              <w:rPr>
                <w:rFonts w:ascii="Times New Roman" w:hAnsi="Times New Roman"/>
                <w:color w:val="000000"/>
                <w:kern w:val="0"/>
                <w:sz w:val="16"/>
                <w:szCs w:val="16"/>
                <w:lang w:bidi="ar"/>
              </w:rPr>
              <w:t>β(95% CI)</w:t>
            </w:r>
            <w:r>
              <w:rPr>
                <w:rFonts w:ascii="Times New Roman" w:hAnsi="Times New Roman"/>
                <w:color w:val="000000"/>
                <w:kern w:val="0"/>
                <w:sz w:val="16"/>
                <w:szCs w:val="16"/>
              </w:rPr>
              <w:t xml:space="preserve"> </w:t>
            </w:r>
            <w:r w:rsidR="006379D7">
              <w:rPr>
                <w:rFonts w:ascii="Segoe UI Symbol" w:hAnsi="Segoe UI Symbol" w:cs="Segoe UI Symbol"/>
                <w:color w:val="000000"/>
                <w:kern w:val="0"/>
                <w:sz w:val="16"/>
                <w:szCs w:val="16"/>
              </w:rPr>
              <w:t>*</w:t>
            </w:r>
            <w:r w:rsidRPr="006379D7">
              <w:rPr>
                <w:rFonts w:ascii="Times New Roman" w:hAnsi="Times New Roman"/>
                <w:color w:val="000000"/>
                <w:kern w:val="0"/>
                <w:sz w:val="16"/>
                <w:szCs w:val="16"/>
                <w:vertAlign w:val="superscript"/>
              </w:rPr>
              <w:t>2</w:t>
            </w:r>
            <w:r>
              <w:rPr>
                <w:rStyle w:val="font51"/>
                <w:rFonts w:ascii="Times New Roman" w:hAnsi="Times New Roman" w:cs="Times New Roman"/>
                <w:lang w:bidi="ar"/>
              </w:rPr>
              <w:br/>
              <w:t>p</w:t>
            </w:r>
          </w:p>
        </w:tc>
        <w:tc>
          <w:tcPr>
            <w:tcW w:w="675" w:type="dxa"/>
            <w:tcBorders>
              <w:top w:val="nil"/>
              <w:left w:val="nil"/>
              <w:bottom w:val="nil"/>
              <w:right w:val="nil"/>
            </w:tcBorders>
            <w:shd w:val="clear" w:color="auto" w:fill="auto"/>
            <w:textDirection w:val="btLr"/>
            <w:vAlign w:val="center"/>
          </w:tcPr>
          <w:p w14:paraId="1CB2A72B"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0.03(―0.03,0.10)</w:t>
            </w:r>
            <w:r>
              <w:rPr>
                <w:rFonts w:ascii="Times New Roman" w:hAnsi="Times New Roman"/>
                <w:color w:val="000000"/>
                <w:kern w:val="0"/>
                <w:sz w:val="16"/>
                <w:szCs w:val="16"/>
                <w:lang w:bidi="ar"/>
              </w:rPr>
              <w:br/>
              <w:t>0.298</w:t>
            </w:r>
          </w:p>
        </w:tc>
        <w:tc>
          <w:tcPr>
            <w:tcW w:w="674" w:type="dxa"/>
            <w:tcBorders>
              <w:top w:val="nil"/>
              <w:left w:val="nil"/>
              <w:bottom w:val="nil"/>
              <w:right w:val="nil"/>
            </w:tcBorders>
            <w:shd w:val="clear" w:color="auto" w:fill="auto"/>
            <w:textDirection w:val="btLr"/>
            <w:vAlign w:val="center"/>
          </w:tcPr>
          <w:p w14:paraId="0CC3DA71"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3.13(―1.67,7.94)</w:t>
            </w:r>
            <w:r>
              <w:rPr>
                <w:rFonts w:ascii="Times New Roman" w:hAnsi="Times New Roman"/>
                <w:color w:val="000000"/>
                <w:kern w:val="0"/>
                <w:sz w:val="16"/>
                <w:szCs w:val="16"/>
                <w:lang w:bidi="ar"/>
              </w:rPr>
              <w:br/>
              <w:t>0.201</w:t>
            </w:r>
          </w:p>
        </w:tc>
        <w:tc>
          <w:tcPr>
            <w:tcW w:w="674" w:type="dxa"/>
            <w:tcBorders>
              <w:top w:val="nil"/>
              <w:left w:val="nil"/>
              <w:bottom w:val="nil"/>
              <w:right w:val="nil"/>
            </w:tcBorders>
            <w:shd w:val="clear" w:color="auto" w:fill="auto"/>
            <w:textDirection w:val="btLr"/>
            <w:vAlign w:val="center"/>
          </w:tcPr>
          <w:p w14:paraId="509FE5E9"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0.04(―0.14,0.23)</w:t>
            </w:r>
            <w:r>
              <w:rPr>
                <w:rFonts w:ascii="Times New Roman" w:hAnsi="Times New Roman"/>
                <w:color w:val="000000"/>
                <w:kern w:val="0"/>
                <w:sz w:val="16"/>
                <w:szCs w:val="16"/>
                <w:lang w:bidi="ar"/>
              </w:rPr>
              <w:br/>
              <w:t>0.667</w:t>
            </w:r>
          </w:p>
        </w:tc>
        <w:tc>
          <w:tcPr>
            <w:tcW w:w="674" w:type="dxa"/>
            <w:tcBorders>
              <w:top w:val="nil"/>
              <w:left w:val="nil"/>
              <w:bottom w:val="nil"/>
              <w:right w:val="nil"/>
            </w:tcBorders>
            <w:shd w:val="clear" w:color="auto" w:fill="auto"/>
            <w:textDirection w:val="btLr"/>
            <w:vAlign w:val="center"/>
          </w:tcPr>
          <w:p w14:paraId="2143F2B7"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0.24(0.02,0.46)</w:t>
            </w:r>
            <w:r>
              <w:rPr>
                <w:rFonts w:ascii="Times New Roman" w:hAnsi="Times New Roman"/>
                <w:color w:val="000000"/>
                <w:kern w:val="0"/>
                <w:sz w:val="16"/>
                <w:szCs w:val="16"/>
                <w:lang w:bidi="ar"/>
              </w:rPr>
              <w:br/>
              <w:t>0.033</w:t>
            </w:r>
          </w:p>
        </w:tc>
        <w:tc>
          <w:tcPr>
            <w:tcW w:w="674" w:type="dxa"/>
            <w:tcBorders>
              <w:top w:val="nil"/>
              <w:left w:val="nil"/>
              <w:bottom w:val="nil"/>
              <w:right w:val="nil"/>
            </w:tcBorders>
            <w:shd w:val="clear" w:color="auto" w:fill="auto"/>
            <w:textDirection w:val="btLr"/>
            <w:vAlign w:val="center"/>
          </w:tcPr>
          <w:p w14:paraId="46C30C81"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―0.10(―0.45,0.26)</w:t>
            </w:r>
            <w:r>
              <w:rPr>
                <w:rFonts w:ascii="Times New Roman" w:hAnsi="Times New Roman"/>
                <w:color w:val="000000"/>
                <w:kern w:val="0"/>
                <w:sz w:val="16"/>
                <w:szCs w:val="16"/>
                <w:lang w:bidi="ar"/>
              </w:rPr>
              <w:br/>
              <w:t>0.599</w:t>
            </w:r>
          </w:p>
        </w:tc>
        <w:tc>
          <w:tcPr>
            <w:tcW w:w="674" w:type="dxa"/>
            <w:tcBorders>
              <w:top w:val="nil"/>
              <w:left w:val="nil"/>
              <w:bottom w:val="nil"/>
              <w:right w:val="nil"/>
            </w:tcBorders>
            <w:shd w:val="clear" w:color="auto" w:fill="auto"/>
            <w:textDirection w:val="btLr"/>
            <w:vAlign w:val="center"/>
          </w:tcPr>
          <w:p w14:paraId="43C38947"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―0.07(―0.33,0.19)</w:t>
            </w:r>
            <w:r>
              <w:rPr>
                <w:rFonts w:ascii="Times New Roman" w:hAnsi="Times New Roman"/>
                <w:color w:val="000000"/>
                <w:kern w:val="0"/>
                <w:sz w:val="16"/>
                <w:szCs w:val="16"/>
                <w:lang w:bidi="ar"/>
              </w:rPr>
              <w:br/>
              <w:t>0.604</w:t>
            </w:r>
          </w:p>
        </w:tc>
        <w:tc>
          <w:tcPr>
            <w:tcW w:w="674" w:type="dxa"/>
            <w:tcBorders>
              <w:top w:val="nil"/>
              <w:left w:val="nil"/>
              <w:bottom w:val="nil"/>
              <w:right w:val="nil"/>
            </w:tcBorders>
            <w:shd w:val="clear" w:color="auto" w:fill="auto"/>
            <w:textDirection w:val="btLr"/>
            <w:vAlign w:val="center"/>
          </w:tcPr>
          <w:p w14:paraId="3F764F85"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―0.12(―0.24,―0.00)</w:t>
            </w:r>
            <w:r>
              <w:rPr>
                <w:rFonts w:ascii="Times New Roman" w:hAnsi="Times New Roman"/>
                <w:color w:val="000000"/>
                <w:kern w:val="0"/>
                <w:sz w:val="16"/>
                <w:szCs w:val="16"/>
                <w:lang w:bidi="ar"/>
              </w:rPr>
              <w:br/>
              <w:t>0.046</w:t>
            </w:r>
          </w:p>
        </w:tc>
        <w:tc>
          <w:tcPr>
            <w:tcW w:w="674" w:type="dxa"/>
            <w:tcBorders>
              <w:top w:val="nil"/>
              <w:left w:val="nil"/>
              <w:bottom w:val="nil"/>
              <w:right w:val="nil"/>
            </w:tcBorders>
            <w:shd w:val="clear" w:color="auto" w:fill="auto"/>
            <w:textDirection w:val="btLr"/>
            <w:vAlign w:val="center"/>
          </w:tcPr>
          <w:p w14:paraId="38D57C48"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―0.08(―0.37,0.21)</w:t>
            </w:r>
            <w:r>
              <w:rPr>
                <w:rFonts w:ascii="Times New Roman" w:hAnsi="Times New Roman"/>
                <w:color w:val="000000"/>
                <w:kern w:val="0"/>
                <w:sz w:val="16"/>
                <w:szCs w:val="16"/>
                <w:lang w:bidi="ar"/>
              </w:rPr>
              <w:br/>
              <w:t>0.604</w:t>
            </w:r>
          </w:p>
        </w:tc>
        <w:tc>
          <w:tcPr>
            <w:tcW w:w="674" w:type="dxa"/>
            <w:tcBorders>
              <w:top w:val="nil"/>
              <w:left w:val="nil"/>
              <w:bottom w:val="nil"/>
              <w:right w:val="nil"/>
            </w:tcBorders>
            <w:shd w:val="clear" w:color="auto" w:fill="auto"/>
            <w:textDirection w:val="btLr"/>
            <w:vAlign w:val="center"/>
          </w:tcPr>
          <w:p w14:paraId="710D9D43"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0.03(0.02,0.05)</w:t>
            </w:r>
            <w:r>
              <w:rPr>
                <w:rFonts w:ascii="Times New Roman" w:hAnsi="Times New Roman"/>
                <w:color w:val="000000"/>
                <w:kern w:val="0"/>
                <w:sz w:val="16"/>
                <w:szCs w:val="16"/>
                <w:lang w:bidi="ar"/>
              </w:rPr>
              <w:br/>
              <w:t>0.000</w:t>
            </w:r>
          </w:p>
        </w:tc>
        <w:tc>
          <w:tcPr>
            <w:tcW w:w="674" w:type="dxa"/>
            <w:tcBorders>
              <w:top w:val="nil"/>
              <w:left w:val="nil"/>
              <w:bottom w:val="nil"/>
              <w:right w:val="nil"/>
            </w:tcBorders>
            <w:shd w:val="clear" w:color="auto" w:fill="auto"/>
            <w:textDirection w:val="btLr"/>
            <w:vAlign w:val="center"/>
          </w:tcPr>
          <w:p w14:paraId="3256FBA4"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8.59(―2.30,19.47)</w:t>
            </w:r>
            <w:r>
              <w:rPr>
                <w:rFonts w:ascii="Times New Roman" w:hAnsi="Times New Roman"/>
                <w:color w:val="000000"/>
                <w:kern w:val="0"/>
                <w:sz w:val="16"/>
                <w:szCs w:val="16"/>
                <w:lang w:bidi="ar"/>
              </w:rPr>
              <w:br/>
              <w:t>0.122</w:t>
            </w:r>
          </w:p>
        </w:tc>
        <w:tc>
          <w:tcPr>
            <w:tcW w:w="674" w:type="dxa"/>
            <w:tcBorders>
              <w:top w:val="nil"/>
              <w:left w:val="nil"/>
              <w:bottom w:val="nil"/>
              <w:right w:val="single" w:sz="4" w:space="0" w:color="auto"/>
            </w:tcBorders>
            <w:shd w:val="clear" w:color="auto" w:fill="auto"/>
            <w:textDirection w:val="btLr"/>
            <w:vAlign w:val="center"/>
          </w:tcPr>
          <w:p w14:paraId="4E00966C"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0.02(―0.01,0.06)</w:t>
            </w:r>
            <w:r>
              <w:rPr>
                <w:rFonts w:ascii="Times New Roman" w:hAnsi="Times New Roman"/>
                <w:color w:val="000000"/>
                <w:kern w:val="0"/>
                <w:sz w:val="16"/>
                <w:szCs w:val="16"/>
                <w:lang w:bidi="ar"/>
              </w:rPr>
              <w:br/>
              <w:t>0.122</w:t>
            </w:r>
          </w:p>
        </w:tc>
      </w:tr>
      <w:tr w:rsidR="0072369B" w14:paraId="30384446" w14:textId="77777777" w:rsidTr="007A43BA">
        <w:trPr>
          <w:trHeight w:val="1760"/>
        </w:trPr>
        <w:tc>
          <w:tcPr>
            <w:tcW w:w="758" w:type="dxa"/>
            <w:vMerge/>
            <w:tcBorders>
              <w:top w:val="nil"/>
              <w:left w:val="nil"/>
              <w:bottom w:val="nil"/>
              <w:right w:val="single" w:sz="4" w:space="0" w:color="auto"/>
            </w:tcBorders>
            <w:shd w:val="clear" w:color="auto" w:fill="auto"/>
            <w:noWrap/>
            <w:textDirection w:val="btLr"/>
            <w:vAlign w:val="center"/>
          </w:tcPr>
          <w:p w14:paraId="5C9E44A2" w14:textId="77777777" w:rsidR="0072369B" w:rsidRDefault="0072369B">
            <w:pPr>
              <w:rPr>
                <w:rFonts w:ascii="Times New Roman" w:hAnsi="Times New Roman"/>
                <w:color w:val="000000"/>
                <w:sz w:val="16"/>
                <w:szCs w:val="16"/>
              </w:rPr>
            </w:pPr>
          </w:p>
        </w:tc>
        <w:tc>
          <w:tcPr>
            <w:tcW w:w="0" w:type="auto"/>
            <w:vMerge/>
            <w:tcBorders>
              <w:top w:val="nil"/>
              <w:left w:val="nil"/>
              <w:bottom w:val="nil"/>
              <w:right w:val="nil"/>
            </w:tcBorders>
            <w:shd w:val="clear" w:color="auto" w:fill="auto"/>
            <w:noWrap/>
            <w:textDirection w:val="btLr"/>
            <w:vAlign w:val="center"/>
          </w:tcPr>
          <w:p w14:paraId="3EBBD178" w14:textId="77777777" w:rsidR="0072369B" w:rsidRDefault="0072369B">
            <w:pPr>
              <w:jc w:val="center"/>
              <w:rPr>
                <w:rFonts w:ascii="Times New Roman" w:hAnsi="Times New Roman"/>
                <w:color w:val="000000"/>
                <w:sz w:val="16"/>
                <w:szCs w:val="16"/>
              </w:rPr>
            </w:pPr>
          </w:p>
        </w:tc>
        <w:tc>
          <w:tcPr>
            <w:tcW w:w="0" w:type="auto"/>
            <w:tcBorders>
              <w:top w:val="nil"/>
              <w:left w:val="single" w:sz="4" w:space="0" w:color="auto"/>
              <w:bottom w:val="nil"/>
              <w:right w:val="single" w:sz="4" w:space="0" w:color="auto"/>
            </w:tcBorders>
            <w:shd w:val="clear" w:color="auto" w:fill="auto"/>
            <w:noWrap/>
            <w:textDirection w:val="btLr"/>
            <w:vAlign w:val="center"/>
          </w:tcPr>
          <w:p w14:paraId="465FC189"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Traj 3</w:t>
            </w:r>
          </w:p>
        </w:tc>
        <w:tc>
          <w:tcPr>
            <w:tcW w:w="675" w:type="dxa"/>
            <w:vMerge/>
            <w:tcBorders>
              <w:top w:val="nil"/>
              <w:left w:val="single" w:sz="4" w:space="0" w:color="auto"/>
              <w:bottom w:val="nil"/>
              <w:right w:val="single" w:sz="4" w:space="0" w:color="auto"/>
            </w:tcBorders>
            <w:shd w:val="clear" w:color="auto" w:fill="auto"/>
            <w:textDirection w:val="btLr"/>
            <w:vAlign w:val="center"/>
          </w:tcPr>
          <w:p w14:paraId="62906F8C" w14:textId="77777777" w:rsidR="0072369B" w:rsidRDefault="0072369B">
            <w:pPr>
              <w:rPr>
                <w:rFonts w:ascii="Times New Roman" w:hAnsi="Times New Roman"/>
                <w:color w:val="000000"/>
                <w:sz w:val="16"/>
                <w:szCs w:val="16"/>
              </w:rPr>
            </w:pPr>
          </w:p>
        </w:tc>
        <w:tc>
          <w:tcPr>
            <w:tcW w:w="675" w:type="dxa"/>
            <w:tcBorders>
              <w:top w:val="nil"/>
              <w:left w:val="nil"/>
              <w:bottom w:val="nil"/>
              <w:right w:val="nil"/>
            </w:tcBorders>
            <w:shd w:val="clear" w:color="auto" w:fill="auto"/>
            <w:textDirection w:val="btLr"/>
            <w:vAlign w:val="center"/>
          </w:tcPr>
          <w:p w14:paraId="5A14325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0.05(0.00,0.08)</w:t>
            </w:r>
            <w:r>
              <w:rPr>
                <w:rFonts w:ascii="Times New Roman" w:hAnsi="Times New Roman"/>
                <w:color w:val="000000"/>
                <w:kern w:val="0"/>
                <w:sz w:val="16"/>
                <w:szCs w:val="16"/>
                <w:lang w:bidi="ar"/>
              </w:rPr>
              <w:br/>
              <w:t>0.016</w:t>
            </w:r>
          </w:p>
        </w:tc>
        <w:tc>
          <w:tcPr>
            <w:tcW w:w="674" w:type="dxa"/>
            <w:tcBorders>
              <w:top w:val="nil"/>
              <w:left w:val="nil"/>
              <w:bottom w:val="nil"/>
              <w:right w:val="nil"/>
            </w:tcBorders>
            <w:shd w:val="clear" w:color="auto" w:fill="auto"/>
            <w:textDirection w:val="btLr"/>
            <w:vAlign w:val="center"/>
          </w:tcPr>
          <w:p w14:paraId="53DBFD5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3.72(0.88,6.55)</w:t>
            </w:r>
            <w:r>
              <w:rPr>
                <w:rFonts w:ascii="Times New Roman" w:hAnsi="Times New Roman"/>
                <w:color w:val="000000"/>
                <w:kern w:val="0"/>
                <w:sz w:val="16"/>
                <w:szCs w:val="16"/>
                <w:lang w:bidi="ar"/>
              </w:rPr>
              <w:br/>
              <w:t>0.010</w:t>
            </w:r>
          </w:p>
        </w:tc>
        <w:tc>
          <w:tcPr>
            <w:tcW w:w="674" w:type="dxa"/>
            <w:tcBorders>
              <w:top w:val="nil"/>
              <w:left w:val="nil"/>
              <w:bottom w:val="nil"/>
              <w:right w:val="nil"/>
            </w:tcBorders>
            <w:shd w:val="clear" w:color="auto" w:fill="auto"/>
            <w:textDirection w:val="btLr"/>
            <w:vAlign w:val="center"/>
          </w:tcPr>
          <w:p w14:paraId="39929BE4"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0.07(―0.04,0.18)</w:t>
            </w:r>
            <w:r>
              <w:rPr>
                <w:rFonts w:ascii="Times New Roman" w:hAnsi="Times New Roman"/>
                <w:color w:val="000000"/>
                <w:kern w:val="0"/>
                <w:sz w:val="16"/>
                <w:szCs w:val="16"/>
                <w:lang w:bidi="ar"/>
              </w:rPr>
              <w:br/>
              <w:t>0.203</w:t>
            </w:r>
          </w:p>
        </w:tc>
        <w:tc>
          <w:tcPr>
            <w:tcW w:w="674" w:type="dxa"/>
            <w:tcBorders>
              <w:top w:val="nil"/>
              <w:left w:val="nil"/>
              <w:bottom w:val="nil"/>
              <w:right w:val="nil"/>
            </w:tcBorders>
            <w:shd w:val="clear" w:color="auto" w:fill="auto"/>
            <w:textDirection w:val="btLr"/>
            <w:vAlign w:val="center"/>
          </w:tcPr>
          <w:p w14:paraId="487356E4"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0.11(―0.02,0.24)</w:t>
            </w:r>
            <w:r>
              <w:rPr>
                <w:rFonts w:ascii="Times New Roman" w:hAnsi="Times New Roman"/>
                <w:color w:val="000000"/>
                <w:kern w:val="0"/>
                <w:sz w:val="16"/>
                <w:szCs w:val="16"/>
                <w:lang w:bidi="ar"/>
              </w:rPr>
              <w:br/>
              <w:t>0.087</w:t>
            </w:r>
          </w:p>
        </w:tc>
        <w:tc>
          <w:tcPr>
            <w:tcW w:w="674" w:type="dxa"/>
            <w:tcBorders>
              <w:top w:val="nil"/>
              <w:left w:val="nil"/>
              <w:bottom w:val="nil"/>
              <w:right w:val="nil"/>
            </w:tcBorders>
            <w:shd w:val="clear" w:color="auto" w:fill="auto"/>
            <w:textDirection w:val="btLr"/>
            <w:vAlign w:val="center"/>
          </w:tcPr>
          <w:p w14:paraId="0BD9333C"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0.05(―0.16,0.27)</w:t>
            </w:r>
            <w:r>
              <w:rPr>
                <w:rFonts w:ascii="Times New Roman" w:hAnsi="Times New Roman"/>
                <w:color w:val="000000"/>
                <w:kern w:val="0"/>
                <w:sz w:val="16"/>
                <w:szCs w:val="16"/>
                <w:lang w:bidi="ar"/>
              </w:rPr>
              <w:br/>
              <w:t>0.633</w:t>
            </w:r>
          </w:p>
        </w:tc>
        <w:tc>
          <w:tcPr>
            <w:tcW w:w="674" w:type="dxa"/>
            <w:tcBorders>
              <w:top w:val="nil"/>
              <w:left w:val="nil"/>
              <w:bottom w:val="nil"/>
              <w:right w:val="nil"/>
            </w:tcBorders>
            <w:shd w:val="clear" w:color="auto" w:fill="auto"/>
            <w:textDirection w:val="btLr"/>
            <w:vAlign w:val="center"/>
          </w:tcPr>
          <w:p w14:paraId="268F4670"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0.02(―0.14,0.18)</w:t>
            </w:r>
            <w:r>
              <w:rPr>
                <w:rFonts w:ascii="Times New Roman" w:hAnsi="Times New Roman"/>
                <w:color w:val="000000"/>
                <w:kern w:val="0"/>
                <w:sz w:val="16"/>
                <w:szCs w:val="16"/>
                <w:lang w:bidi="ar"/>
              </w:rPr>
              <w:br/>
              <w:t>0.780</w:t>
            </w:r>
          </w:p>
        </w:tc>
        <w:tc>
          <w:tcPr>
            <w:tcW w:w="674" w:type="dxa"/>
            <w:tcBorders>
              <w:top w:val="nil"/>
              <w:left w:val="nil"/>
              <w:bottom w:val="nil"/>
              <w:right w:val="nil"/>
            </w:tcBorders>
            <w:shd w:val="clear" w:color="auto" w:fill="auto"/>
            <w:textDirection w:val="btLr"/>
            <w:vAlign w:val="center"/>
          </w:tcPr>
          <w:p w14:paraId="618DEEA8"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―0.07(―0.14,―0.00)</w:t>
            </w:r>
            <w:r>
              <w:rPr>
                <w:rFonts w:ascii="Times New Roman" w:hAnsi="Times New Roman"/>
                <w:color w:val="000000"/>
                <w:kern w:val="0"/>
                <w:sz w:val="16"/>
                <w:szCs w:val="16"/>
                <w:lang w:bidi="ar"/>
              </w:rPr>
              <w:br/>
              <w:t>0.067</w:t>
            </w:r>
          </w:p>
        </w:tc>
        <w:tc>
          <w:tcPr>
            <w:tcW w:w="674" w:type="dxa"/>
            <w:tcBorders>
              <w:top w:val="nil"/>
              <w:left w:val="nil"/>
              <w:bottom w:val="nil"/>
              <w:right w:val="nil"/>
            </w:tcBorders>
            <w:shd w:val="clear" w:color="auto" w:fill="auto"/>
            <w:textDirection w:val="btLr"/>
            <w:vAlign w:val="center"/>
          </w:tcPr>
          <w:p w14:paraId="1D09972C"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0.09(―0.09,0.26)</w:t>
            </w:r>
            <w:r>
              <w:rPr>
                <w:rFonts w:ascii="Times New Roman" w:hAnsi="Times New Roman"/>
                <w:color w:val="000000"/>
                <w:kern w:val="0"/>
                <w:sz w:val="16"/>
                <w:szCs w:val="16"/>
                <w:lang w:bidi="ar"/>
              </w:rPr>
              <w:br/>
              <w:t>0.344</w:t>
            </w:r>
          </w:p>
        </w:tc>
        <w:tc>
          <w:tcPr>
            <w:tcW w:w="674" w:type="dxa"/>
            <w:tcBorders>
              <w:top w:val="nil"/>
              <w:left w:val="nil"/>
              <w:bottom w:val="nil"/>
              <w:right w:val="nil"/>
            </w:tcBorders>
            <w:shd w:val="clear" w:color="auto" w:fill="auto"/>
            <w:textDirection w:val="btLr"/>
            <w:vAlign w:val="center"/>
          </w:tcPr>
          <w:p w14:paraId="13F93B4B"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0.02(0.01,0.04)</w:t>
            </w:r>
            <w:r>
              <w:rPr>
                <w:rFonts w:ascii="Times New Roman" w:hAnsi="Times New Roman"/>
                <w:color w:val="000000"/>
                <w:kern w:val="0"/>
                <w:sz w:val="16"/>
                <w:szCs w:val="16"/>
                <w:lang w:bidi="ar"/>
              </w:rPr>
              <w:br/>
              <w:t>0.000</w:t>
            </w:r>
          </w:p>
        </w:tc>
        <w:tc>
          <w:tcPr>
            <w:tcW w:w="674" w:type="dxa"/>
            <w:tcBorders>
              <w:top w:val="nil"/>
              <w:left w:val="nil"/>
              <w:bottom w:val="nil"/>
              <w:right w:val="nil"/>
            </w:tcBorders>
            <w:shd w:val="clear" w:color="auto" w:fill="auto"/>
            <w:textDirection w:val="btLr"/>
            <w:vAlign w:val="center"/>
          </w:tcPr>
          <w:p w14:paraId="5B646A9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―2.23(―8.62,4.17)</w:t>
            </w:r>
            <w:r>
              <w:rPr>
                <w:rFonts w:ascii="Times New Roman" w:hAnsi="Times New Roman"/>
                <w:color w:val="000000"/>
                <w:kern w:val="0"/>
                <w:sz w:val="16"/>
                <w:szCs w:val="16"/>
                <w:lang w:bidi="ar"/>
              </w:rPr>
              <w:br/>
              <w:t>0.495</w:t>
            </w:r>
          </w:p>
        </w:tc>
        <w:tc>
          <w:tcPr>
            <w:tcW w:w="674" w:type="dxa"/>
            <w:tcBorders>
              <w:top w:val="nil"/>
              <w:left w:val="nil"/>
              <w:bottom w:val="nil"/>
              <w:right w:val="single" w:sz="4" w:space="0" w:color="auto"/>
            </w:tcBorders>
            <w:shd w:val="clear" w:color="auto" w:fill="auto"/>
            <w:textDirection w:val="btLr"/>
            <w:vAlign w:val="center"/>
          </w:tcPr>
          <w:p w14:paraId="3659DB21"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0.01(―0.01,0.02)</w:t>
            </w:r>
            <w:r>
              <w:rPr>
                <w:rFonts w:ascii="Times New Roman" w:hAnsi="Times New Roman"/>
                <w:color w:val="000000"/>
                <w:kern w:val="0"/>
                <w:sz w:val="16"/>
                <w:szCs w:val="16"/>
                <w:lang w:bidi="ar"/>
              </w:rPr>
              <w:br/>
              <w:t>0.563</w:t>
            </w:r>
          </w:p>
        </w:tc>
      </w:tr>
      <w:tr w:rsidR="0072369B" w14:paraId="7E4BF572" w14:textId="77777777" w:rsidTr="007A43BA">
        <w:trPr>
          <w:trHeight w:val="1760"/>
        </w:trPr>
        <w:tc>
          <w:tcPr>
            <w:tcW w:w="758" w:type="dxa"/>
            <w:vMerge/>
            <w:tcBorders>
              <w:top w:val="nil"/>
              <w:left w:val="nil"/>
              <w:bottom w:val="nil"/>
              <w:right w:val="single" w:sz="4" w:space="0" w:color="auto"/>
            </w:tcBorders>
            <w:shd w:val="clear" w:color="auto" w:fill="auto"/>
            <w:noWrap/>
            <w:textDirection w:val="btLr"/>
            <w:vAlign w:val="center"/>
          </w:tcPr>
          <w:p w14:paraId="79A00F9D" w14:textId="77777777" w:rsidR="0072369B" w:rsidRDefault="0072369B">
            <w:pPr>
              <w:rPr>
                <w:rFonts w:ascii="Times New Roman" w:hAnsi="Times New Roman"/>
                <w:color w:val="000000"/>
                <w:sz w:val="16"/>
                <w:szCs w:val="16"/>
              </w:rPr>
            </w:pPr>
          </w:p>
        </w:tc>
        <w:tc>
          <w:tcPr>
            <w:tcW w:w="0" w:type="auto"/>
            <w:vMerge/>
            <w:tcBorders>
              <w:top w:val="nil"/>
              <w:left w:val="nil"/>
              <w:bottom w:val="nil"/>
              <w:right w:val="nil"/>
            </w:tcBorders>
            <w:shd w:val="clear" w:color="auto" w:fill="auto"/>
            <w:noWrap/>
            <w:textDirection w:val="btLr"/>
            <w:vAlign w:val="center"/>
          </w:tcPr>
          <w:p w14:paraId="0C83E03E" w14:textId="77777777" w:rsidR="0072369B" w:rsidRDefault="0072369B">
            <w:pPr>
              <w:jc w:val="center"/>
              <w:rPr>
                <w:rFonts w:ascii="Times New Roman" w:hAnsi="Times New Roman"/>
                <w:color w:val="000000"/>
                <w:sz w:val="16"/>
                <w:szCs w:val="16"/>
              </w:rPr>
            </w:pPr>
          </w:p>
        </w:tc>
        <w:tc>
          <w:tcPr>
            <w:tcW w:w="0" w:type="auto"/>
            <w:tcBorders>
              <w:top w:val="nil"/>
              <w:left w:val="single" w:sz="4" w:space="0" w:color="auto"/>
              <w:bottom w:val="nil"/>
              <w:right w:val="single" w:sz="4" w:space="0" w:color="auto"/>
            </w:tcBorders>
            <w:shd w:val="clear" w:color="auto" w:fill="auto"/>
            <w:noWrap/>
            <w:textDirection w:val="btLr"/>
            <w:vAlign w:val="center"/>
          </w:tcPr>
          <w:p w14:paraId="3A3E54B5"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Traj 2</w:t>
            </w:r>
          </w:p>
        </w:tc>
        <w:tc>
          <w:tcPr>
            <w:tcW w:w="675" w:type="dxa"/>
            <w:vMerge/>
            <w:tcBorders>
              <w:top w:val="nil"/>
              <w:left w:val="single" w:sz="4" w:space="0" w:color="auto"/>
              <w:bottom w:val="nil"/>
              <w:right w:val="single" w:sz="4" w:space="0" w:color="auto"/>
            </w:tcBorders>
            <w:shd w:val="clear" w:color="auto" w:fill="auto"/>
            <w:textDirection w:val="btLr"/>
            <w:vAlign w:val="center"/>
          </w:tcPr>
          <w:p w14:paraId="044487B6" w14:textId="77777777" w:rsidR="0072369B" w:rsidRDefault="0072369B">
            <w:pPr>
              <w:rPr>
                <w:rFonts w:ascii="Times New Roman" w:hAnsi="Times New Roman"/>
                <w:color w:val="000000"/>
                <w:sz w:val="16"/>
                <w:szCs w:val="16"/>
              </w:rPr>
            </w:pPr>
          </w:p>
        </w:tc>
        <w:tc>
          <w:tcPr>
            <w:tcW w:w="675" w:type="dxa"/>
            <w:tcBorders>
              <w:top w:val="nil"/>
              <w:left w:val="nil"/>
              <w:bottom w:val="nil"/>
              <w:right w:val="nil"/>
            </w:tcBorders>
            <w:shd w:val="clear" w:color="auto" w:fill="auto"/>
            <w:textDirection w:val="btLr"/>
            <w:vAlign w:val="center"/>
          </w:tcPr>
          <w:p w14:paraId="5417106E"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―0.03(―0.07,0.00)</w:t>
            </w:r>
            <w:r>
              <w:rPr>
                <w:rFonts w:ascii="Times New Roman" w:hAnsi="Times New Roman"/>
                <w:color w:val="000000"/>
                <w:kern w:val="0"/>
                <w:sz w:val="16"/>
                <w:szCs w:val="16"/>
                <w:lang w:bidi="ar"/>
              </w:rPr>
              <w:br/>
              <w:t>0.052</w:t>
            </w:r>
          </w:p>
        </w:tc>
        <w:tc>
          <w:tcPr>
            <w:tcW w:w="674" w:type="dxa"/>
            <w:tcBorders>
              <w:top w:val="nil"/>
              <w:left w:val="nil"/>
              <w:bottom w:val="nil"/>
              <w:right w:val="nil"/>
            </w:tcBorders>
            <w:shd w:val="clear" w:color="auto" w:fill="auto"/>
            <w:textDirection w:val="btLr"/>
            <w:vAlign w:val="center"/>
          </w:tcPr>
          <w:p w14:paraId="13DE387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―0.14(―2.80,2.53)</w:t>
            </w:r>
            <w:r>
              <w:rPr>
                <w:rFonts w:ascii="Times New Roman" w:hAnsi="Times New Roman"/>
                <w:color w:val="000000"/>
                <w:kern w:val="0"/>
                <w:sz w:val="16"/>
                <w:szCs w:val="16"/>
                <w:lang w:bidi="ar"/>
              </w:rPr>
              <w:br/>
              <w:t>0.919</w:t>
            </w:r>
          </w:p>
        </w:tc>
        <w:tc>
          <w:tcPr>
            <w:tcW w:w="674" w:type="dxa"/>
            <w:tcBorders>
              <w:top w:val="nil"/>
              <w:left w:val="nil"/>
              <w:bottom w:val="nil"/>
              <w:right w:val="nil"/>
            </w:tcBorders>
            <w:shd w:val="clear" w:color="auto" w:fill="auto"/>
            <w:textDirection w:val="btLr"/>
            <w:vAlign w:val="center"/>
          </w:tcPr>
          <w:p w14:paraId="4F28BAF1"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0.00(―0.10,0.10)</w:t>
            </w:r>
            <w:r>
              <w:rPr>
                <w:rFonts w:ascii="Times New Roman" w:hAnsi="Times New Roman"/>
                <w:color w:val="000000"/>
                <w:kern w:val="0"/>
                <w:sz w:val="16"/>
                <w:szCs w:val="16"/>
                <w:lang w:bidi="ar"/>
              </w:rPr>
              <w:br/>
              <w:t>0.993</w:t>
            </w:r>
          </w:p>
        </w:tc>
        <w:tc>
          <w:tcPr>
            <w:tcW w:w="674" w:type="dxa"/>
            <w:tcBorders>
              <w:top w:val="nil"/>
              <w:left w:val="nil"/>
              <w:bottom w:val="nil"/>
              <w:right w:val="nil"/>
            </w:tcBorders>
            <w:shd w:val="clear" w:color="auto" w:fill="auto"/>
            <w:textDirection w:val="btLr"/>
            <w:vAlign w:val="center"/>
          </w:tcPr>
          <w:p w14:paraId="6898929B"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―0.15(―0.2,―0.03)</w:t>
            </w:r>
            <w:r>
              <w:rPr>
                <w:rFonts w:ascii="Times New Roman" w:hAnsi="Times New Roman"/>
                <w:color w:val="000000"/>
                <w:kern w:val="0"/>
                <w:sz w:val="16"/>
                <w:szCs w:val="16"/>
                <w:lang w:bidi="ar"/>
              </w:rPr>
              <w:br/>
              <w:t>0.016</w:t>
            </w:r>
          </w:p>
        </w:tc>
        <w:tc>
          <w:tcPr>
            <w:tcW w:w="674" w:type="dxa"/>
            <w:tcBorders>
              <w:top w:val="nil"/>
              <w:left w:val="nil"/>
              <w:bottom w:val="nil"/>
              <w:right w:val="nil"/>
            </w:tcBorders>
            <w:shd w:val="clear" w:color="auto" w:fill="auto"/>
            <w:textDirection w:val="btLr"/>
            <w:vAlign w:val="center"/>
          </w:tcPr>
          <w:p w14:paraId="403D2318"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0.11(―0.09,0.31)</w:t>
            </w:r>
            <w:r>
              <w:rPr>
                <w:rFonts w:ascii="Times New Roman" w:hAnsi="Times New Roman"/>
                <w:color w:val="000000"/>
                <w:kern w:val="0"/>
                <w:sz w:val="16"/>
                <w:szCs w:val="16"/>
                <w:lang w:bidi="ar"/>
              </w:rPr>
              <w:br/>
              <w:t>0.280</w:t>
            </w:r>
          </w:p>
        </w:tc>
        <w:tc>
          <w:tcPr>
            <w:tcW w:w="674" w:type="dxa"/>
            <w:tcBorders>
              <w:top w:val="nil"/>
              <w:left w:val="nil"/>
              <w:bottom w:val="nil"/>
              <w:right w:val="nil"/>
            </w:tcBorders>
            <w:shd w:val="clear" w:color="auto" w:fill="auto"/>
            <w:textDirection w:val="btLr"/>
            <w:vAlign w:val="center"/>
          </w:tcPr>
          <w:p w14:paraId="047820F2"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―0.04(―0.19,0.11)</w:t>
            </w:r>
            <w:r>
              <w:rPr>
                <w:rFonts w:ascii="Times New Roman" w:hAnsi="Times New Roman"/>
                <w:color w:val="000000"/>
                <w:kern w:val="0"/>
                <w:sz w:val="16"/>
                <w:szCs w:val="16"/>
                <w:lang w:bidi="ar"/>
              </w:rPr>
              <w:br/>
              <w:t>0.636</w:t>
            </w:r>
          </w:p>
        </w:tc>
        <w:tc>
          <w:tcPr>
            <w:tcW w:w="674" w:type="dxa"/>
            <w:tcBorders>
              <w:top w:val="nil"/>
              <w:left w:val="nil"/>
              <w:bottom w:val="nil"/>
              <w:right w:val="nil"/>
            </w:tcBorders>
            <w:shd w:val="clear" w:color="auto" w:fill="auto"/>
            <w:textDirection w:val="btLr"/>
            <w:vAlign w:val="center"/>
          </w:tcPr>
          <w:p w14:paraId="0F94937F"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0.06(―0.00,0.13)</w:t>
            </w:r>
            <w:r>
              <w:rPr>
                <w:rFonts w:ascii="Times New Roman" w:hAnsi="Times New Roman"/>
                <w:color w:val="000000"/>
                <w:kern w:val="0"/>
                <w:sz w:val="16"/>
                <w:szCs w:val="16"/>
                <w:lang w:bidi="ar"/>
              </w:rPr>
              <w:br/>
              <w:t>0.095</w:t>
            </w:r>
          </w:p>
        </w:tc>
        <w:tc>
          <w:tcPr>
            <w:tcW w:w="674" w:type="dxa"/>
            <w:tcBorders>
              <w:top w:val="nil"/>
              <w:left w:val="nil"/>
              <w:bottom w:val="nil"/>
              <w:right w:val="nil"/>
            </w:tcBorders>
            <w:shd w:val="clear" w:color="auto" w:fill="auto"/>
            <w:textDirection w:val="btLr"/>
            <w:vAlign w:val="center"/>
          </w:tcPr>
          <w:p w14:paraId="51EB2FB9"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0.05(―0.12,0.21)</w:t>
            </w:r>
            <w:r>
              <w:rPr>
                <w:rFonts w:ascii="Times New Roman" w:hAnsi="Times New Roman"/>
                <w:color w:val="000000"/>
                <w:kern w:val="0"/>
                <w:sz w:val="16"/>
                <w:szCs w:val="16"/>
                <w:lang w:bidi="ar"/>
              </w:rPr>
              <w:br/>
              <w:t>0.579</w:t>
            </w:r>
          </w:p>
        </w:tc>
        <w:tc>
          <w:tcPr>
            <w:tcW w:w="674" w:type="dxa"/>
            <w:tcBorders>
              <w:top w:val="nil"/>
              <w:left w:val="nil"/>
              <w:bottom w:val="nil"/>
              <w:right w:val="nil"/>
            </w:tcBorders>
            <w:shd w:val="clear" w:color="auto" w:fill="auto"/>
            <w:textDirection w:val="btLr"/>
            <w:vAlign w:val="center"/>
          </w:tcPr>
          <w:p w14:paraId="4692BC13"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―0.00(―0.02,0.00)</w:t>
            </w:r>
            <w:r>
              <w:rPr>
                <w:rFonts w:ascii="Times New Roman" w:hAnsi="Times New Roman"/>
                <w:color w:val="000000"/>
                <w:kern w:val="0"/>
                <w:sz w:val="16"/>
                <w:szCs w:val="16"/>
                <w:lang w:bidi="ar"/>
              </w:rPr>
              <w:br/>
              <w:t>0.093</w:t>
            </w:r>
          </w:p>
        </w:tc>
        <w:tc>
          <w:tcPr>
            <w:tcW w:w="674" w:type="dxa"/>
            <w:tcBorders>
              <w:top w:val="nil"/>
              <w:left w:val="nil"/>
              <w:bottom w:val="nil"/>
              <w:right w:val="nil"/>
            </w:tcBorders>
            <w:shd w:val="clear" w:color="auto" w:fill="auto"/>
            <w:textDirection w:val="btLr"/>
            <w:vAlign w:val="center"/>
          </w:tcPr>
          <w:p w14:paraId="06460603"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―9.89(―15.92,―3.85)</w:t>
            </w:r>
            <w:r>
              <w:rPr>
                <w:rFonts w:ascii="Times New Roman" w:hAnsi="Times New Roman"/>
                <w:color w:val="000000"/>
                <w:kern w:val="0"/>
                <w:sz w:val="16"/>
                <w:szCs w:val="16"/>
                <w:lang w:bidi="ar"/>
              </w:rPr>
              <w:br/>
              <w:t>0.001</w:t>
            </w:r>
          </w:p>
        </w:tc>
        <w:tc>
          <w:tcPr>
            <w:tcW w:w="674" w:type="dxa"/>
            <w:tcBorders>
              <w:top w:val="nil"/>
              <w:left w:val="nil"/>
              <w:bottom w:val="nil"/>
              <w:right w:val="single" w:sz="4" w:space="0" w:color="auto"/>
            </w:tcBorders>
            <w:shd w:val="clear" w:color="auto" w:fill="auto"/>
            <w:textDirection w:val="btLr"/>
            <w:vAlign w:val="center"/>
          </w:tcPr>
          <w:p w14:paraId="47616427"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―0.00(―0.02,0.01)</w:t>
            </w:r>
            <w:r>
              <w:rPr>
                <w:rFonts w:ascii="Times New Roman" w:hAnsi="Times New Roman"/>
                <w:color w:val="000000"/>
                <w:kern w:val="0"/>
                <w:sz w:val="16"/>
                <w:szCs w:val="16"/>
                <w:lang w:bidi="ar"/>
              </w:rPr>
              <w:br/>
              <w:t>0.601</w:t>
            </w:r>
          </w:p>
        </w:tc>
      </w:tr>
      <w:tr w:rsidR="0072369B" w14:paraId="7FA0E412" w14:textId="77777777" w:rsidTr="007A43BA">
        <w:trPr>
          <w:trHeight w:val="1760"/>
        </w:trPr>
        <w:tc>
          <w:tcPr>
            <w:tcW w:w="758" w:type="dxa"/>
            <w:vMerge/>
            <w:tcBorders>
              <w:top w:val="nil"/>
              <w:left w:val="nil"/>
              <w:bottom w:val="nil"/>
              <w:right w:val="single" w:sz="4" w:space="0" w:color="auto"/>
            </w:tcBorders>
            <w:shd w:val="clear" w:color="auto" w:fill="auto"/>
            <w:noWrap/>
            <w:textDirection w:val="btLr"/>
            <w:vAlign w:val="center"/>
          </w:tcPr>
          <w:p w14:paraId="431408FB" w14:textId="77777777" w:rsidR="0072369B" w:rsidRDefault="0072369B">
            <w:pPr>
              <w:rPr>
                <w:rFonts w:ascii="Times New Roman" w:hAnsi="Times New Roman"/>
                <w:color w:val="000000"/>
                <w:sz w:val="16"/>
                <w:szCs w:val="16"/>
              </w:rPr>
            </w:pPr>
          </w:p>
        </w:tc>
        <w:tc>
          <w:tcPr>
            <w:tcW w:w="0" w:type="auto"/>
            <w:vMerge/>
            <w:tcBorders>
              <w:top w:val="nil"/>
              <w:left w:val="nil"/>
              <w:bottom w:val="nil"/>
              <w:right w:val="nil"/>
            </w:tcBorders>
            <w:shd w:val="clear" w:color="auto" w:fill="auto"/>
            <w:noWrap/>
            <w:textDirection w:val="btLr"/>
            <w:vAlign w:val="center"/>
          </w:tcPr>
          <w:p w14:paraId="72A954AE" w14:textId="77777777" w:rsidR="0072369B" w:rsidRDefault="0072369B">
            <w:pPr>
              <w:jc w:val="center"/>
              <w:rPr>
                <w:rFonts w:ascii="Times New Roman" w:hAnsi="Times New Roman"/>
                <w:color w:val="000000"/>
                <w:sz w:val="16"/>
                <w:szCs w:val="16"/>
              </w:rPr>
            </w:pPr>
          </w:p>
        </w:tc>
        <w:tc>
          <w:tcPr>
            <w:tcW w:w="0" w:type="auto"/>
            <w:tcBorders>
              <w:top w:val="nil"/>
              <w:left w:val="single" w:sz="4" w:space="0" w:color="auto"/>
              <w:bottom w:val="nil"/>
              <w:right w:val="single" w:sz="4" w:space="0" w:color="auto"/>
            </w:tcBorders>
            <w:shd w:val="clear" w:color="auto" w:fill="auto"/>
            <w:noWrap/>
            <w:textDirection w:val="btLr"/>
            <w:vAlign w:val="center"/>
          </w:tcPr>
          <w:p w14:paraId="65228CB2"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Traj 1</w:t>
            </w:r>
          </w:p>
        </w:tc>
        <w:tc>
          <w:tcPr>
            <w:tcW w:w="675" w:type="dxa"/>
            <w:vMerge/>
            <w:tcBorders>
              <w:top w:val="nil"/>
              <w:left w:val="single" w:sz="4" w:space="0" w:color="auto"/>
              <w:bottom w:val="nil"/>
              <w:right w:val="single" w:sz="4" w:space="0" w:color="auto"/>
            </w:tcBorders>
            <w:shd w:val="clear" w:color="auto" w:fill="auto"/>
            <w:textDirection w:val="btLr"/>
            <w:vAlign w:val="center"/>
          </w:tcPr>
          <w:p w14:paraId="797C81AC" w14:textId="77777777" w:rsidR="0072369B" w:rsidRDefault="0072369B">
            <w:pPr>
              <w:rPr>
                <w:rFonts w:ascii="Times New Roman" w:hAnsi="Times New Roman"/>
                <w:color w:val="000000"/>
                <w:sz w:val="16"/>
                <w:szCs w:val="16"/>
              </w:rPr>
            </w:pPr>
          </w:p>
        </w:tc>
        <w:tc>
          <w:tcPr>
            <w:tcW w:w="675" w:type="dxa"/>
            <w:tcBorders>
              <w:top w:val="nil"/>
              <w:left w:val="nil"/>
              <w:bottom w:val="nil"/>
              <w:right w:val="nil"/>
            </w:tcBorders>
            <w:shd w:val="clear" w:color="auto" w:fill="auto"/>
            <w:textDirection w:val="btLr"/>
            <w:vAlign w:val="center"/>
          </w:tcPr>
          <w:p w14:paraId="38878ABD"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―0.02(―0.06,0.02)</w:t>
            </w:r>
            <w:r>
              <w:rPr>
                <w:rFonts w:ascii="Times New Roman" w:hAnsi="Times New Roman"/>
                <w:color w:val="000000"/>
                <w:kern w:val="0"/>
                <w:sz w:val="16"/>
                <w:szCs w:val="16"/>
                <w:lang w:bidi="ar"/>
              </w:rPr>
              <w:br/>
              <w:t>0.339</w:t>
            </w:r>
          </w:p>
        </w:tc>
        <w:tc>
          <w:tcPr>
            <w:tcW w:w="674" w:type="dxa"/>
            <w:tcBorders>
              <w:top w:val="nil"/>
              <w:left w:val="nil"/>
              <w:bottom w:val="nil"/>
              <w:right w:val="nil"/>
            </w:tcBorders>
            <w:shd w:val="clear" w:color="auto" w:fill="auto"/>
            <w:textDirection w:val="btLr"/>
            <w:vAlign w:val="center"/>
          </w:tcPr>
          <w:p w14:paraId="42E233D3"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0.83(―2.23,3.89)</w:t>
            </w:r>
            <w:r>
              <w:rPr>
                <w:rFonts w:ascii="Times New Roman" w:hAnsi="Times New Roman"/>
                <w:color w:val="000000"/>
                <w:kern w:val="0"/>
                <w:sz w:val="16"/>
                <w:szCs w:val="16"/>
                <w:lang w:bidi="ar"/>
              </w:rPr>
              <w:br/>
              <w:t>0.595</w:t>
            </w:r>
          </w:p>
        </w:tc>
        <w:tc>
          <w:tcPr>
            <w:tcW w:w="674" w:type="dxa"/>
            <w:tcBorders>
              <w:top w:val="nil"/>
              <w:left w:val="nil"/>
              <w:bottom w:val="nil"/>
              <w:right w:val="nil"/>
            </w:tcBorders>
            <w:shd w:val="clear" w:color="auto" w:fill="auto"/>
            <w:textDirection w:val="btLr"/>
            <w:vAlign w:val="center"/>
          </w:tcPr>
          <w:p w14:paraId="7AEB0435"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―0.11(―0.22,0.01)</w:t>
            </w:r>
            <w:r>
              <w:rPr>
                <w:rFonts w:ascii="Times New Roman" w:hAnsi="Times New Roman"/>
                <w:color w:val="000000"/>
                <w:kern w:val="0"/>
                <w:sz w:val="16"/>
                <w:szCs w:val="16"/>
                <w:lang w:bidi="ar"/>
              </w:rPr>
              <w:br/>
              <w:t>0.076</w:t>
            </w:r>
          </w:p>
        </w:tc>
        <w:tc>
          <w:tcPr>
            <w:tcW w:w="674" w:type="dxa"/>
            <w:tcBorders>
              <w:top w:val="nil"/>
              <w:left w:val="nil"/>
              <w:bottom w:val="nil"/>
              <w:right w:val="nil"/>
            </w:tcBorders>
            <w:shd w:val="clear" w:color="auto" w:fill="auto"/>
            <w:textDirection w:val="btLr"/>
            <w:vAlign w:val="center"/>
          </w:tcPr>
          <w:p w14:paraId="250D6E4D"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―0.29(―0.42,―0.15)</w:t>
            </w:r>
            <w:r>
              <w:rPr>
                <w:rFonts w:ascii="Times New Roman" w:hAnsi="Times New Roman"/>
                <w:color w:val="000000"/>
                <w:kern w:val="0"/>
                <w:sz w:val="16"/>
                <w:szCs w:val="16"/>
                <w:lang w:bidi="ar"/>
              </w:rPr>
              <w:br/>
              <w:t>0.000</w:t>
            </w:r>
          </w:p>
        </w:tc>
        <w:tc>
          <w:tcPr>
            <w:tcW w:w="674" w:type="dxa"/>
            <w:tcBorders>
              <w:top w:val="nil"/>
              <w:left w:val="nil"/>
              <w:bottom w:val="nil"/>
              <w:right w:val="nil"/>
            </w:tcBorders>
            <w:shd w:val="clear" w:color="auto" w:fill="auto"/>
            <w:textDirection w:val="btLr"/>
            <w:vAlign w:val="center"/>
          </w:tcPr>
          <w:p w14:paraId="0F4D3BFE"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0.13(―0.10,0.36)</w:t>
            </w:r>
            <w:r>
              <w:rPr>
                <w:rFonts w:ascii="Times New Roman" w:hAnsi="Times New Roman"/>
                <w:color w:val="000000"/>
                <w:kern w:val="0"/>
                <w:sz w:val="16"/>
                <w:szCs w:val="16"/>
                <w:lang w:bidi="ar"/>
              </w:rPr>
              <w:br/>
              <w:t>0.271</w:t>
            </w:r>
          </w:p>
        </w:tc>
        <w:tc>
          <w:tcPr>
            <w:tcW w:w="674" w:type="dxa"/>
            <w:tcBorders>
              <w:top w:val="nil"/>
              <w:left w:val="nil"/>
              <w:bottom w:val="nil"/>
              <w:right w:val="nil"/>
            </w:tcBorders>
            <w:shd w:val="clear" w:color="auto" w:fill="auto"/>
            <w:textDirection w:val="btLr"/>
            <w:vAlign w:val="center"/>
          </w:tcPr>
          <w:p w14:paraId="210345B5"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―0.02(―0.19,0.14)</w:t>
            </w:r>
            <w:r>
              <w:rPr>
                <w:rFonts w:ascii="Times New Roman" w:hAnsi="Times New Roman"/>
                <w:color w:val="000000"/>
                <w:kern w:val="0"/>
                <w:sz w:val="16"/>
                <w:szCs w:val="16"/>
                <w:lang w:bidi="ar"/>
              </w:rPr>
              <w:br/>
              <w:t>0.782</w:t>
            </w:r>
          </w:p>
        </w:tc>
        <w:tc>
          <w:tcPr>
            <w:tcW w:w="674" w:type="dxa"/>
            <w:tcBorders>
              <w:top w:val="nil"/>
              <w:left w:val="nil"/>
              <w:bottom w:val="nil"/>
              <w:right w:val="nil"/>
            </w:tcBorders>
            <w:shd w:val="clear" w:color="auto" w:fill="auto"/>
            <w:textDirection w:val="btLr"/>
            <w:vAlign w:val="center"/>
          </w:tcPr>
          <w:p w14:paraId="159600B5"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0.13(0.06,0.21)</w:t>
            </w:r>
            <w:r>
              <w:rPr>
                <w:rFonts w:ascii="Times New Roman" w:hAnsi="Times New Roman"/>
                <w:color w:val="000000"/>
                <w:kern w:val="0"/>
                <w:sz w:val="16"/>
                <w:szCs w:val="16"/>
                <w:lang w:bidi="ar"/>
              </w:rPr>
              <w:br/>
              <w:t>0.001</w:t>
            </w:r>
          </w:p>
        </w:tc>
        <w:tc>
          <w:tcPr>
            <w:tcW w:w="674" w:type="dxa"/>
            <w:tcBorders>
              <w:top w:val="nil"/>
              <w:left w:val="nil"/>
              <w:bottom w:val="nil"/>
              <w:right w:val="nil"/>
            </w:tcBorders>
            <w:shd w:val="clear" w:color="auto" w:fill="auto"/>
            <w:textDirection w:val="btLr"/>
            <w:vAlign w:val="center"/>
          </w:tcPr>
          <w:p w14:paraId="36A5CBF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―0.01(―0.19,0.18)</w:t>
            </w:r>
            <w:r>
              <w:rPr>
                <w:rFonts w:ascii="Times New Roman" w:hAnsi="Times New Roman"/>
                <w:color w:val="000000"/>
                <w:kern w:val="0"/>
                <w:sz w:val="16"/>
                <w:szCs w:val="16"/>
                <w:lang w:bidi="ar"/>
              </w:rPr>
              <w:br/>
              <w:t>0.958</w:t>
            </w:r>
          </w:p>
        </w:tc>
        <w:tc>
          <w:tcPr>
            <w:tcW w:w="674" w:type="dxa"/>
            <w:tcBorders>
              <w:top w:val="nil"/>
              <w:left w:val="nil"/>
              <w:bottom w:val="nil"/>
              <w:right w:val="nil"/>
            </w:tcBorders>
            <w:shd w:val="clear" w:color="auto" w:fill="auto"/>
            <w:textDirection w:val="btLr"/>
            <w:vAlign w:val="center"/>
          </w:tcPr>
          <w:p w14:paraId="118E7CA7"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―0.03(―0.04,―0.02)</w:t>
            </w:r>
            <w:r>
              <w:rPr>
                <w:rFonts w:ascii="Times New Roman" w:hAnsi="Times New Roman"/>
                <w:color w:val="000000"/>
                <w:kern w:val="0"/>
                <w:sz w:val="16"/>
                <w:szCs w:val="16"/>
                <w:lang w:bidi="ar"/>
              </w:rPr>
              <w:br/>
              <w:t>0.000</w:t>
            </w:r>
          </w:p>
        </w:tc>
        <w:tc>
          <w:tcPr>
            <w:tcW w:w="674" w:type="dxa"/>
            <w:tcBorders>
              <w:top w:val="nil"/>
              <w:left w:val="nil"/>
              <w:bottom w:val="nil"/>
              <w:right w:val="nil"/>
            </w:tcBorders>
            <w:shd w:val="clear" w:color="auto" w:fill="auto"/>
            <w:textDirection w:val="btLr"/>
            <w:vAlign w:val="center"/>
          </w:tcPr>
          <w:p w14:paraId="2250D5CE"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―16.88(―23.81,―9.95)</w:t>
            </w:r>
            <w:r>
              <w:rPr>
                <w:rFonts w:ascii="Times New Roman" w:hAnsi="Times New Roman"/>
                <w:color w:val="000000"/>
                <w:kern w:val="0"/>
                <w:sz w:val="16"/>
                <w:szCs w:val="16"/>
                <w:lang w:bidi="ar"/>
              </w:rPr>
              <w:br/>
              <w:t>0.000</w:t>
            </w:r>
          </w:p>
        </w:tc>
        <w:tc>
          <w:tcPr>
            <w:tcW w:w="674" w:type="dxa"/>
            <w:tcBorders>
              <w:top w:val="nil"/>
              <w:left w:val="nil"/>
              <w:bottom w:val="nil"/>
              <w:right w:val="single" w:sz="4" w:space="0" w:color="auto"/>
            </w:tcBorders>
            <w:shd w:val="clear" w:color="auto" w:fill="auto"/>
            <w:textDirection w:val="btLr"/>
            <w:vAlign w:val="center"/>
          </w:tcPr>
          <w:p w14:paraId="1227101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―0.01(―0.03,0.01)</w:t>
            </w:r>
            <w:r>
              <w:rPr>
                <w:rFonts w:ascii="Times New Roman" w:hAnsi="Times New Roman"/>
                <w:color w:val="000000"/>
                <w:kern w:val="0"/>
                <w:sz w:val="16"/>
                <w:szCs w:val="16"/>
                <w:lang w:bidi="ar"/>
              </w:rPr>
              <w:br/>
              <w:t>0.618</w:t>
            </w:r>
          </w:p>
        </w:tc>
      </w:tr>
      <w:tr w:rsidR="0072369B" w14:paraId="68ACEB5C" w14:textId="77777777" w:rsidTr="007A43BA">
        <w:trPr>
          <w:trHeight w:val="1600"/>
        </w:trPr>
        <w:tc>
          <w:tcPr>
            <w:tcW w:w="758" w:type="dxa"/>
            <w:vMerge/>
            <w:tcBorders>
              <w:top w:val="nil"/>
              <w:left w:val="nil"/>
              <w:bottom w:val="nil"/>
              <w:right w:val="single" w:sz="4" w:space="0" w:color="auto"/>
            </w:tcBorders>
            <w:shd w:val="clear" w:color="auto" w:fill="auto"/>
            <w:noWrap/>
            <w:textDirection w:val="btLr"/>
            <w:vAlign w:val="center"/>
          </w:tcPr>
          <w:p w14:paraId="5A5A7CB3"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textDirection w:val="btLr"/>
            <w:vAlign w:val="center"/>
          </w:tcPr>
          <w:p w14:paraId="5C6ECA19" w14:textId="77777777" w:rsidR="0072369B" w:rsidRDefault="0072369B">
            <w:pPr>
              <w:jc w:val="center"/>
              <w:rPr>
                <w:rFonts w:ascii="Times New Roman" w:hAnsi="Times New Roman"/>
                <w:color w:val="000000"/>
                <w:sz w:val="16"/>
                <w:szCs w:val="16"/>
              </w:rPr>
            </w:pPr>
          </w:p>
        </w:tc>
        <w:tc>
          <w:tcPr>
            <w:tcW w:w="0" w:type="auto"/>
            <w:tcBorders>
              <w:top w:val="nil"/>
              <w:left w:val="nil"/>
              <w:bottom w:val="nil"/>
              <w:right w:val="nil"/>
            </w:tcBorders>
            <w:shd w:val="clear" w:color="auto" w:fill="auto"/>
            <w:noWrap/>
            <w:textDirection w:val="btLr"/>
            <w:vAlign w:val="center"/>
          </w:tcPr>
          <w:p w14:paraId="214C1094" w14:textId="77777777" w:rsidR="0072369B" w:rsidRDefault="0072369B">
            <w:pPr>
              <w:rPr>
                <w:rFonts w:ascii="Times New Roman" w:hAnsi="Times New Roman"/>
                <w:color w:val="000000"/>
                <w:sz w:val="16"/>
                <w:szCs w:val="16"/>
              </w:rPr>
            </w:pPr>
          </w:p>
        </w:tc>
        <w:tc>
          <w:tcPr>
            <w:tcW w:w="675" w:type="dxa"/>
            <w:tcBorders>
              <w:top w:val="nil"/>
              <w:left w:val="nil"/>
              <w:bottom w:val="nil"/>
              <w:right w:val="nil"/>
            </w:tcBorders>
            <w:shd w:val="clear" w:color="auto" w:fill="auto"/>
            <w:textDirection w:val="btLr"/>
            <w:vAlign w:val="center"/>
          </w:tcPr>
          <w:p w14:paraId="7E24BC07"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outcome</w:t>
            </w:r>
            <w:r>
              <w:rPr>
                <w:rFonts w:ascii="Times New Roman" w:hAnsi="Times New Roman"/>
                <w:color w:val="000000"/>
                <w:kern w:val="0"/>
                <w:sz w:val="16"/>
                <w:szCs w:val="16"/>
                <w:lang w:bidi="ar"/>
              </w:rPr>
              <w:br/>
              <w:t xml:space="preserve"> variables</w:t>
            </w:r>
          </w:p>
        </w:tc>
        <w:tc>
          <w:tcPr>
            <w:tcW w:w="675" w:type="dxa"/>
            <w:tcBorders>
              <w:top w:val="nil"/>
              <w:left w:val="nil"/>
              <w:bottom w:val="nil"/>
              <w:right w:val="nil"/>
            </w:tcBorders>
            <w:shd w:val="clear" w:color="auto" w:fill="auto"/>
            <w:noWrap/>
            <w:textDirection w:val="btLr"/>
            <w:vAlign w:val="center"/>
          </w:tcPr>
          <w:p w14:paraId="624E5692" w14:textId="27F85CC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SBP</w:t>
            </w:r>
            <w:r w:rsidR="006379D7">
              <w:rPr>
                <w:rFonts w:ascii="Segoe UI Symbol" w:hAnsi="Segoe UI Symbol" w:cs="Segoe UI Symbol"/>
                <w:color w:val="000000"/>
                <w:kern w:val="0"/>
                <w:sz w:val="16"/>
                <w:szCs w:val="16"/>
              </w:rPr>
              <w:t>*</w:t>
            </w:r>
            <w:r w:rsidRPr="006379D7">
              <w:rPr>
                <w:rFonts w:ascii="Times New Roman" w:hAnsi="Times New Roman"/>
                <w:color w:val="000000"/>
                <w:kern w:val="0"/>
                <w:sz w:val="16"/>
                <w:szCs w:val="16"/>
                <w:vertAlign w:val="superscript"/>
              </w:rPr>
              <w:t>5</w:t>
            </w:r>
          </w:p>
        </w:tc>
        <w:tc>
          <w:tcPr>
            <w:tcW w:w="0" w:type="auto"/>
            <w:tcBorders>
              <w:top w:val="nil"/>
              <w:left w:val="nil"/>
              <w:bottom w:val="nil"/>
              <w:right w:val="nil"/>
            </w:tcBorders>
            <w:shd w:val="clear" w:color="auto" w:fill="auto"/>
            <w:noWrap/>
            <w:textDirection w:val="btLr"/>
            <w:vAlign w:val="center"/>
          </w:tcPr>
          <w:p w14:paraId="725C0CF5"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DBP</w:t>
            </w:r>
          </w:p>
        </w:tc>
        <w:tc>
          <w:tcPr>
            <w:tcW w:w="674" w:type="dxa"/>
            <w:tcBorders>
              <w:top w:val="nil"/>
              <w:left w:val="nil"/>
              <w:bottom w:val="nil"/>
              <w:right w:val="nil"/>
            </w:tcBorders>
            <w:shd w:val="clear" w:color="auto" w:fill="auto"/>
            <w:textDirection w:val="btLr"/>
            <w:vAlign w:val="center"/>
          </w:tcPr>
          <w:p w14:paraId="5069FEC0"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FPG</w:t>
            </w:r>
          </w:p>
        </w:tc>
        <w:tc>
          <w:tcPr>
            <w:tcW w:w="0" w:type="auto"/>
            <w:tcBorders>
              <w:top w:val="nil"/>
              <w:left w:val="nil"/>
              <w:bottom w:val="nil"/>
              <w:right w:val="nil"/>
            </w:tcBorders>
            <w:shd w:val="clear" w:color="auto" w:fill="auto"/>
            <w:noWrap/>
            <w:textDirection w:val="btLr"/>
            <w:vAlign w:val="center"/>
          </w:tcPr>
          <w:p w14:paraId="0D5EED63" w14:textId="30CA44BE"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HOMA-IR</w:t>
            </w:r>
            <w:r w:rsidR="006379D7">
              <w:rPr>
                <w:rFonts w:ascii="Segoe UI Symbol" w:hAnsi="Segoe UI Symbol" w:cs="Segoe UI Symbol"/>
                <w:color w:val="000000"/>
                <w:kern w:val="0"/>
                <w:sz w:val="16"/>
                <w:szCs w:val="16"/>
              </w:rPr>
              <w:t>*</w:t>
            </w:r>
            <w:r w:rsidRPr="006379D7">
              <w:rPr>
                <w:rFonts w:ascii="Times New Roman" w:hAnsi="Times New Roman"/>
                <w:color w:val="000000"/>
                <w:kern w:val="0"/>
                <w:sz w:val="16"/>
                <w:szCs w:val="16"/>
                <w:vertAlign w:val="superscript"/>
              </w:rPr>
              <w:t>6</w:t>
            </w:r>
          </w:p>
        </w:tc>
        <w:tc>
          <w:tcPr>
            <w:tcW w:w="0" w:type="auto"/>
            <w:tcBorders>
              <w:top w:val="nil"/>
              <w:left w:val="nil"/>
              <w:bottom w:val="nil"/>
              <w:right w:val="nil"/>
            </w:tcBorders>
            <w:shd w:val="clear" w:color="auto" w:fill="auto"/>
            <w:noWrap/>
            <w:textDirection w:val="btLr"/>
            <w:vAlign w:val="center"/>
          </w:tcPr>
          <w:p w14:paraId="0DC59615"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TC</w:t>
            </w:r>
          </w:p>
        </w:tc>
        <w:tc>
          <w:tcPr>
            <w:tcW w:w="0" w:type="auto"/>
            <w:tcBorders>
              <w:top w:val="nil"/>
              <w:left w:val="nil"/>
              <w:bottom w:val="nil"/>
              <w:right w:val="nil"/>
            </w:tcBorders>
            <w:shd w:val="clear" w:color="auto" w:fill="auto"/>
            <w:noWrap/>
            <w:textDirection w:val="btLr"/>
            <w:vAlign w:val="center"/>
          </w:tcPr>
          <w:p w14:paraId="701B500F" w14:textId="760A8FE0"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TG</w:t>
            </w:r>
            <w:r w:rsidR="006379D7">
              <w:rPr>
                <w:rFonts w:ascii="Segoe UI Symbol" w:hAnsi="Segoe UI Symbol" w:cs="Segoe UI Symbol"/>
                <w:color w:val="000000"/>
                <w:kern w:val="0"/>
                <w:sz w:val="16"/>
                <w:szCs w:val="16"/>
              </w:rPr>
              <w:t>*</w:t>
            </w:r>
            <w:r w:rsidRPr="006379D7">
              <w:rPr>
                <w:rFonts w:ascii="Times New Roman" w:hAnsi="Times New Roman"/>
                <w:color w:val="000000"/>
                <w:kern w:val="0"/>
                <w:sz w:val="16"/>
                <w:szCs w:val="16"/>
                <w:vertAlign w:val="superscript"/>
              </w:rPr>
              <w:t>7</w:t>
            </w:r>
          </w:p>
        </w:tc>
        <w:tc>
          <w:tcPr>
            <w:tcW w:w="0" w:type="auto"/>
            <w:tcBorders>
              <w:top w:val="nil"/>
              <w:left w:val="nil"/>
              <w:bottom w:val="nil"/>
              <w:right w:val="nil"/>
            </w:tcBorders>
            <w:shd w:val="clear" w:color="auto" w:fill="auto"/>
            <w:noWrap/>
            <w:textDirection w:val="btLr"/>
            <w:vAlign w:val="center"/>
          </w:tcPr>
          <w:p w14:paraId="62DB44A3"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HDL-C</w:t>
            </w:r>
          </w:p>
        </w:tc>
        <w:tc>
          <w:tcPr>
            <w:tcW w:w="0" w:type="auto"/>
            <w:tcBorders>
              <w:top w:val="nil"/>
              <w:left w:val="nil"/>
              <w:bottom w:val="nil"/>
              <w:right w:val="nil"/>
            </w:tcBorders>
            <w:shd w:val="clear" w:color="auto" w:fill="auto"/>
            <w:noWrap/>
            <w:textDirection w:val="btLr"/>
            <w:vAlign w:val="center"/>
          </w:tcPr>
          <w:p w14:paraId="10E4FE5B"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LDL-C</w:t>
            </w:r>
          </w:p>
        </w:tc>
        <w:tc>
          <w:tcPr>
            <w:tcW w:w="0" w:type="auto"/>
            <w:tcBorders>
              <w:top w:val="nil"/>
              <w:left w:val="nil"/>
              <w:bottom w:val="nil"/>
              <w:right w:val="nil"/>
            </w:tcBorders>
            <w:shd w:val="clear" w:color="auto" w:fill="auto"/>
            <w:noWrap/>
            <w:textDirection w:val="btLr"/>
            <w:vAlign w:val="center"/>
          </w:tcPr>
          <w:p w14:paraId="3BFE9411"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WHR</w:t>
            </w:r>
          </w:p>
        </w:tc>
        <w:tc>
          <w:tcPr>
            <w:tcW w:w="0" w:type="auto"/>
            <w:tcBorders>
              <w:top w:val="nil"/>
              <w:left w:val="nil"/>
              <w:bottom w:val="nil"/>
              <w:right w:val="nil"/>
            </w:tcBorders>
            <w:shd w:val="clear" w:color="auto" w:fill="auto"/>
            <w:noWrap/>
            <w:textDirection w:val="btLr"/>
            <w:vAlign w:val="center"/>
          </w:tcPr>
          <w:p w14:paraId="3083340E"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BF%</w:t>
            </w:r>
          </w:p>
        </w:tc>
        <w:tc>
          <w:tcPr>
            <w:tcW w:w="674" w:type="dxa"/>
            <w:tcBorders>
              <w:top w:val="nil"/>
              <w:left w:val="nil"/>
              <w:bottom w:val="nil"/>
              <w:right w:val="single" w:sz="4" w:space="0" w:color="auto"/>
            </w:tcBorders>
            <w:shd w:val="clear" w:color="auto" w:fill="auto"/>
            <w:textDirection w:val="btLr"/>
            <w:vAlign w:val="center"/>
          </w:tcPr>
          <w:p w14:paraId="3470DBCC"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CIMT max</w:t>
            </w:r>
          </w:p>
        </w:tc>
      </w:tr>
    </w:tbl>
    <w:p w14:paraId="4CCE28D9" w14:textId="77777777" w:rsidR="0072369B" w:rsidRDefault="00E434B7">
      <w:pPr>
        <w:spacing w:line="360" w:lineRule="auto"/>
        <w:rPr>
          <w:rFonts w:ascii="Times New Roman" w:hAnsi="Times New Roman"/>
          <w:color w:val="231F20"/>
          <w:kern w:val="0"/>
          <w:sz w:val="20"/>
          <w:szCs w:val="20"/>
        </w:rPr>
      </w:pPr>
      <w:r>
        <w:rPr>
          <w:rFonts w:ascii="Times New Roman" w:hAnsi="Times New Roman"/>
          <w:noProof/>
          <w:sz w:val="20"/>
          <w:szCs w:val="20"/>
        </w:rPr>
        <mc:AlternateContent>
          <mc:Choice Requires="wps">
            <w:drawing>
              <wp:anchor distT="0" distB="0" distL="114300" distR="114300" simplePos="0" relativeHeight="251661312" behindDoc="0" locked="0" layoutInCell="1" allowOverlap="1" wp14:anchorId="1A658BD5" wp14:editId="44B230F6">
                <wp:simplePos x="0" y="0"/>
                <wp:positionH relativeFrom="column">
                  <wp:posOffset>1905</wp:posOffset>
                </wp:positionH>
                <wp:positionV relativeFrom="paragraph">
                  <wp:posOffset>111760</wp:posOffset>
                </wp:positionV>
                <wp:extent cx="6149975" cy="1660525"/>
                <wp:effectExtent l="0" t="0" r="3175" b="0"/>
                <wp:wrapNone/>
                <wp:docPr id="25" name="文本框 25"/>
                <wp:cNvGraphicFramePr/>
                <a:graphic xmlns:a="http://schemas.openxmlformats.org/drawingml/2006/main">
                  <a:graphicData uri="http://schemas.microsoft.com/office/word/2010/wordprocessingShape">
                    <wps:wsp>
                      <wps:cNvSpPr txBox="1"/>
                      <wps:spPr>
                        <a:xfrm>
                          <a:off x="0" y="0"/>
                          <a:ext cx="6149975" cy="1660358"/>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FFDE5BB" w14:textId="77777777" w:rsidR="0072369B" w:rsidRDefault="00E434B7">
                            <w:pPr>
                              <w:rPr>
                                <w:rFonts w:ascii="Times New Roman" w:hAnsi="Times New Roman"/>
                                <w:color w:val="231F20"/>
                                <w:kern w:val="0"/>
                                <w:sz w:val="16"/>
                                <w:szCs w:val="16"/>
                              </w:rPr>
                            </w:pPr>
                            <w:r>
                              <w:rPr>
                                <w:rFonts w:ascii="Times New Roman" w:hAnsi="Times New Roman"/>
                                <w:color w:val="231F20"/>
                                <w:kern w:val="0"/>
                                <w:sz w:val="16"/>
                                <w:szCs w:val="16"/>
                              </w:rPr>
                              <w:t xml:space="preserve">Note: </w:t>
                            </w:r>
                          </w:p>
                          <w:p w14:paraId="2A632441" w14:textId="59A80057" w:rsidR="0072369B" w:rsidRDefault="006379D7">
                            <w:pPr>
                              <w:rPr>
                                <w:rFonts w:ascii="Times New Roman" w:hAnsi="Times New Roman"/>
                                <w:color w:val="231F20"/>
                                <w:kern w:val="0"/>
                                <w:sz w:val="16"/>
                                <w:szCs w:val="16"/>
                              </w:rPr>
                            </w:pPr>
                            <w:r>
                              <w:rPr>
                                <w:rFonts w:ascii="Segoe UI Symbol" w:hAnsi="Segoe UI Symbol" w:cs="Segoe UI Symbol"/>
                                <w:color w:val="000000"/>
                                <w:kern w:val="0"/>
                                <w:sz w:val="16"/>
                                <w:szCs w:val="16"/>
                              </w:rPr>
                              <w:t>*</w:t>
                            </w:r>
                            <w:r w:rsidRPr="006379D7">
                              <w:rPr>
                                <w:rFonts w:ascii="Times New Roman" w:hAnsi="Times New Roman"/>
                                <w:color w:val="000000"/>
                                <w:kern w:val="0"/>
                                <w:sz w:val="16"/>
                                <w:szCs w:val="16"/>
                                <w:vertAlign w:val="superscript"/>
                              </w:rPr>
                              <w:t>1</w:t>
                            </w:r>
                            <w:r>
                              <w:rPr>
                                <w:rFonts w:ascii="Times New Roman" w:hAnsi="Times New Roman"/>
                                <w:color w:val="000000"/>
                                <w:kern w:val="0"/>
                                <w:sz w:val="16"/>
                                <w:szCs w:val="16"/>
                              </w:rPr>
                              <w:t xml:space="preserve">: </w:t>
                            </w:r>
                            <w:r>
                              <w:rPr>
                                <w:rFonts w:ascii="Times New Roman" w:hAnsi="Times New Roman"/>
                                <w:color w:val="231F20"/>
                                <w:kern w:val="0"/>
                                <w:sz w:val="16"/>
                                <w:szCs w:val="16"/>
                              </w:rPr>
                              <w:t xml:space="preserve">Adjusted for sociodemographic information, diabetes, hypertensive disorders of pregnancy, and </w:t>
                            </w:r>
                            <w:r w:rsidR="00F6386F">
                              <w:rPr>
                                <w:rFonts w:ascii="Times New Roman" w:hAnsi="Times New Roman"/>
                                <w:color w:val="231F20"/>
                                <w:kern w:val="0"/>
                                <w:sz w:val="16"/>
                                <w:szCs w:val="16"/>
                              </w:rPr>
                              <w:t>infant’s gender</w:t>
                            </w:r>
                          </w:p>
                          <w:p w14:paraId="3872ABFA" w14:textId="11977F79" w:rsidR="0072369B" w:rsidRDefault="006379D7">
                            <w:pPr>
                              <w:rPr>
                                <w:rFonts w:ascii="Times New Roman" w:hAnsi="Times New Roman"/>
                                <w:color w:val="231F20"/>
                                <w:kern w:val="0"/>
                                <w:sz w:val="16"/>
                                <w:szCs w:val="16"/>
                              </w:rPr>
                            </w:pPr>
                            <w:r>
                              <w:rPr>
                                <w:rFonts w:ascii="Segoe UI Symbol" w:hAnsi="Segoe UI Symbol" w:cs="Segoe UI Symbol"/>
                                <w:color w:val="000000"/>
                                <w:kern w:val="0"/>
                                <w:sz w:val="16"/>
                                <w:szCs w:val="16"/>
                              </w:rPr>
                              <w:t>*</w:t>
                            </w:r>
                            <w:r>
                              <w:rPr>
                                <w:rFonts w:ascii="Times New Roman" w:hAnsi="Times New Roman"/>
                                <w:color w:val="000000"/>
                                <w:kern w:val="0"/>
                                <w:sz w:val="16"/>
                                <w:szCs w:val="16"/>
                                <w:vertAlign w:val="superscript"/>
                              </w:rPr>
                              <w:t>2</w:t>
                            </w:r>
                            <w:r>
                              <w:rPr>
                                <w:rFonts w:ascii="Times New Roman" w:hAnsi="Times New Roman"/>
                                <w:color w:val="000000"/>
                                <w:kern w:val="0"/>
                                <w:sz w:val="16"/>
                                <w:szCs w:val="16"/>
                              </w:rPr>
                              <w:t xml:space="preserve">, </w:t>
                            </w:r>
                            <w:r>
                              <w:rPr>
                                <w:rFonts w:ascii="Segoe UI Symbol" w:hAnsi="Segoe UI Symbol" w:cs="Segoe UI Symbol"/>
                                <w:color w:val="000000"/>
                                <w:kern w:val="0"/>
                                <w:sz w:val="16"/>
                                <w:szCs w:val="16"/>
                              </w:rPr>
                              <w:t>*</w:t>
                            </w:r>
                            <w:r>
                              <w:rPr>
                                <w:rFonts w:ascii="Times New Roman" w:hAnsi="Times New Roman"/>
                                <w:color w:val="000000"/>
                                <w:kern w:val="0"/>
                                <w:sz w:val="16"/>
                                <w:szCs w:val="16"/>
                                <w:vertAlign w:val="superscript"/>
                              </w:rPr>
                              <w:t>3</w:t>
                            </w:r>
                            <w:r>
                              <w:rPr>
                                <w:rFonts w:ascii="Times New Roman" w:hAnsi="Times New Roman"/>
                                <w:color w:val="000000"/>
                                <w:kern w:val="0"/>
                                <w:sz w:val="16"/>
                                <w:szCs w:val="16"/>
                              </w:rPr>
                              <w:t xml:space="preserve">, </w:t>
                            </w:r>
                            <w:r>
                              <w:rPr>
                                <w:rFonts w:ascii="Segoe UI Symbol" w:hAnsi="Segoe UI Symbol" w:cs="Segoe UI Symbol"/>
                                <w:color w:val="000000"/>
                                <w:kern w:val="0"/>
                                <w:sz w:val="16"/>
                                <w:szCs w:val="16"/>
                              </w:rPr>
                              <w:t>*</w:t>
                            </w:r>
                            <w:r>
                              <w:rPr>
                                <w:rFonts w:ascii="Times New Roman" w:hAnsi="Times New Roman"/>
                                <w:color w:val="000000"/>
                                <w:kern w:val="0"/>
                                <w:sz w:val="16"/>
                                <w:szCs w:val="16"/>
                                <w:vertAlign w:val="superscript"/>
                              </w:rPr>
                              <w:t>4</w:t>
                            </w:r>
                            <w:r>
                              <w:rPr>
                                <w:rFonts w:ascii="Times New Roman" w:hAnsi="Times New Roman"/>
                                <w:color w:val="000000"/>
                                <w:kern w:val="0"/>
                                <w:sz w:val="16"/>
                                <w:szCs w:val="16"/>
                              </w:rPr>
                              <w:t xml:space="preserve">: </w:t>
                            </w:r>
                            <w:r>
                              <w:rPr>
                                <w:rFonts w:ascii="Times New Roman" w:hAnsi="Times New Roman"/>
                                <w:color w:val="231F20"/>
                                <w:kern w:val="0"/>
                                <w:sz w:val="16"/>
                                <w:szCs w:val="16"/>
                              </w:rPr>
                              <w:t xml:space="preserve">Multiple linear regression models to estimate </w:t>
                            </w:r>
                            <w:r>
                              <w:rPr>
                                <w:rFonts w:ascii="Times New Roman" w:hAnsi="Times New Roman"/>
                                <w:b/>
                                <w:bCs/>
                                <w:color w:val="231F20"/>
                                <w:kern w:val="0"/>
                                <w:sz w:val="16"/>
                                <w:szCs w:val="16"/>
                              </w:rPr>
                              <w:t xml:space="preserve">β </w:t>
                            </w:r>
                            <w:r>
                              <w:rPr>
                                <w:rFonts w:ascii="Times New Roman" w:hAnsi="Times New Roman"/>
                                <w:color w:val="231F20"/>
                                <w:kern w:val="0"/>
                                <w:sz w:val="16"/>
                                <w:szCs w:val="16"/>
                              </w:rPr>
                              <w:t>coef and 95% CI considering Bonferroni's correction (corrected P&lt;0.005)</w:t>
                            </w:r>
                          </w:p>
                          <w:p w14:paraId="223C71E9" w14:textId="38B0AFBD" w:rsidR="0072369B" w:rsidRDefault="006379D7">
                            <w:pPr>
                              <w:rPr>
                                <w:rFonts w:ascii="Times New Roman" w:hAnsi="Times New Roman"/>
                                <w:color w:val="231F20"/>
                                <w:kern w:val="0"/>
                                <w:sz w:val="16"/>
                                <w:szCs w:val="16"/>
                              </w:rPr>
                            </w:pPr>
                            <w:r>
                              <w:rPr>
                                <w:rFonts w:ascii="Segoe UI Symbol" w:hAnsi="Segoe UI Symbol" w:cs="Segoe UI Symbol"/>
                                <w:color w:val="000000"/>
                                <w:kern w:val="0"/>
                                <w:sz w:val="16"/>
                                <w:szCs w:val="16"/>
                              </w:rPr>
                              <w:t>*</w:t>
                            </w:r>
                            <w:r>
                              <w:rPr>
                                <w:rFonts w:ascii="Times New Roman" w:hAnsi="Times New Roman"/>
                                <w:color w:val="000000"/>
                                <w:kern w:val="0"/>
                                <w:sz w:val="16"/>
                                <w:szCs w:val="16"/>
                                <w:vertAlign w:val="superscript"/>
                              </w:rPr>
                              <w:t>5</w:t>
                            </w:r>
                            <w:r>
                              <w:rPr>
                                <w:rFonts w:ascii="Times New Roman" w:hAnsi="Times New Roman"/>
                                <w:color w:val="000000"/>
                                <w:kern w:val="0"/>
                                <w:sz w:val="16"/>
                                <w:szCs w:val="16"/>
                              </w:rPr>
                              <w:t xml:space="preserve">, </w:t>
                            </w:r>
                            <w:r>
                              <w:rPr>
                                <w:rFonts w:ascii="Segoe UI Symbol" w:hAnsi="Segoe UI Symbol" w:cs="Segoe UI Symbol"/>
                                <w:color w:val="000000"/>
                                <w:kern w:val="0"/>
                                <w:sz w:val="16"/>
                                <w:szCs w:val="16"/>
                              </w:rPr>
                              <w:t>*</w:t>
                            </w:r>
                            <w:r>
                              <w:rPr>
                                <w:rFonts w:ascii="Times New Roman" w:hAnsi="Times New Roman"/>
                                <w:color w:val="000000"/>
                                <w:kern w:val="0"/>
                                <w:sz w:val="16"/>
                                <w:szCs w:val="16"/>
                                <w:vertAlign w:val="superscript"/>
                              </w:rPr>
                              <w:t>6</w:t>
                            </w:r>
                            <w:r>
                              <w:rPr>
                                <w:rFonts w:ascii="Times New Roman" w:hAnsi="Times New Roman"/>
                                <w:color w:val="000000"/>
                                <w:kern w:val="0"/>
                                <w:sz w:val="16"/>
                                <w:szCs w:val="16"/>
                              </w:rPr>
                              <w:t xml:space="preserve">, </w:t>
                            </w:r>
                            <w:r>
                              <w:rPr>
                                <w:rFonts w:ascii="Segoe UI Symbol" w:hAnsi="Segoe UI Symbol" w:cs="Segoe UI Symbol"/>
                                <w:color w:val="000000"/>
                                <w:kern w:val="0"/>
                                <w:sz w:val="16"/>
                                <w:szCs w:val="16"/>
                              </w:rPr>
                              <w:t>*</w:t>
                            </w:r>
                            <w:r>
                              <w:rPr>
                                <w:rFonts w:ascii="Times New Roman" w:hAnsi="Times New Roman"/>
                                <w:color w:val="000000"/>
                                <w:kern w:val="0"/>
                                <w:sz w:val="16"/>
                                <w:szCs w:val="16"/>
                                <w:vertAlign w:val="superscript"/>
                              </w:rPr>
                              <w:t>7</w:t>
                            </w:r>
                            <w:r>
                              <w:rPr>
                                <w:rFonts w:ascii="Times New Roman" w:hAnsi="Times New Roman"/>
                                <w:color w:val="000000"/>
                                <w:kern w:val="0"/>
                                <w:sz w:val="16"/>
                                <w:szCs w:val="16"/>
                              </w:rPr>
                              <w:t xml:space="preserve">: </w:t>
                            </w:r>
                            <w:r>
                              <w:rPr>
                                <w:rFonts w:ascii="Times New Roman" w:hAnsi="Times New Roman"/>
                                <w:color w:val="231F20"/>
                                <w:kern w:val="0"/>
                                <w:sz w:val="16"/>
                                <w:szCs w:val="16"/>
                              </w:rPr>
                              <w:t>Log-transformed variables before analysis: SBP, HOMA-IR, TG</w:t>
                            </w:r>
                          </w:p>
                          <w:p w14:paraId="03EAB431" w14:textId="77777777" w:rsidR="0072369B" w:rsidRDefault="00E434B7">
                            <w:pPr>
                              <w:rPr>
                                <w:rFonts w:ascii="Times New Roman" w:hAnsi="Times New Roman"/>
                                <w:color w:val="231F20"/>
                                <w:kern w:val="0"/>
                                <w:sz w:val="16"/>
                                <w:szCs w:val="16"/>
                              </w:rPr>
                            </w:pPr>
                            <w:r>
                              <w:rPr>
                                <w:rFonts w:ascii="Times New Roman" w:hAnsi="Times New Roman"/>
                                <w:b/>
                                <w:bCs/>
                                <w:color w:val="231F20"/>
                                <w:kern w:val="0"/>
                                <w:sz w:val="16"/>
                                <w:szCs w:val="16"/>
                              </w:rPr>
                              <w:t>β</w:t>
                            </w:r>
                            <w:r>
                              <w:rPr>
                                <w:rFonts w:ascii="Times New Roman" w:hAnsi="Times New Roman"/>
                                <w:color w:val="231F20"/>
                                <w:kern w:val="0"/>
                                <w:sz w:val="16"/>
                                <w:szCs w:val="16"/>
                              </w:rPr>
                              <w:t>coef,</w:t>
                            </w:r>
                            <w:r>
                              <w:rPr>
                                <w:rFonts w:ascii="Times New Roman" w:hAnsi="Times New Roman"/>
                                <w:b/>
                                <w:bCs/>
                                <w:color w:val="231F20"/>
                                <w:kern w:val="0"/>
                                <w:sz w:val="16"/>
                                <w:szCs w:val="16"/>
                              </w:rPr>
                              <w:t>β</w:t>
                            </w:r>
                            <w:r>
                              <w:rPr>
                                <w:rFonts w:ascii="Times New Roman" w:hAnsi="Times New Roman"/>
                                <w:color w:val="231F20"/>
                                <w:kern w:val="0"/>
                                <w:sz w:val="16"/>
                                <w:szCs w:val="16"/>
                              </w:rPr>
                              <w:t>coefficients; SBP, systolic blood pressure; DBP, diastolic blood pressure; FPG, fasting plasma glucose; HOMA-IR, homeostasis model as</w:t>
                            </w:r>
                            <w:r>
                              <w:rPr>
                                <w:rFonts w:ascii="Times New Roman" w:hAnsi="Times New Roman"/>
                                <w:color w:val="231F20"/>
                                <w:kern w:val="0"/>
                                <w:sz w:val="16"/>
                                <w:szCs w:val="16"/>
                              </w:rPr>
                              <w:t>sessment of insulin resistance; TC, total cholesterol; TG, triglyceride; HDL-C, high-density lipoprotein cholesterol; LDL-c, low-density lipoprotein cholesterol; BF%, body fat percentage; WHR, waist-to-hip ratio; CIMT max, the maximum of carotid intima-med</w:t>
                            </w:r>
                            <w:r>
                              <w:rPr>
                                <w:rFonts w:ascii="Times New Roman" w:hAnsi="Times New Roman"/>
                                <w:color w:val="231F20"/>
                                <w:kern w:val="0"/>
                                <w:sz w:val="16"/>
                                <w:szCs w:val="16"/>
                              </w:rPr>
                              <w:t>ia thickness.</w:t>
                            </w:r>
                          </w:p>
                          <w:p w14:paraId="5E0F6649" w14:textId="77777777" w:rsidR="0072369B" w:rsidRDefault="0072369B">
                            <w:pPr>
                              <w:rPr>
                                <w:rFonts w:ascii="Times New Roman" w:hAnsi="Times New Roman"/>
                                <w:color w:val="231F20"/>
                                <w:kern w:val="0"/>
                                <w:sz w:val="16"/>
                                <w:szCs w:val="16"/>
                              </w:rPr>
                            </w:pPr>
                          </w:p>
                          <w:p w14:paraId="0FD3D7FD" w14:textId="77777777" w:rsidR="0072369B" w:rsidRDefault="0072369B">
                            <w:pPr>
                              <w:rPr>
                                <w:rFonts w:ascii="Times New Roman" w:hAnsi="Times New Roman"/>
                                <w:sz w:val="16"/>
                                <w:szCs w:val="16"/>
                              </w:rPr>
                            </w:pPr>
                          </w:p>
                        </w:txbxContent>
                      </wps:txbx>
                      <wps:bodyPr rot="0" spcFirstLastPara="0" vertOverflow="overflow" horzOverflow="overflow" vert="horz" wrap="square" numCol="1" spcCol="0" rtlCol="0" fromWordArt="0" anchor="t" anchorCtr="0" forceAA="0" compatLnSpc="1">
                        <a:noAutofit/>
                      </wps:bodyPr>
                    </wps:wsp>
                  </a:graphicData>
                </a:graphic>
              </wp:anchor>
            </w:drawing>
          </mc:Choice>
          <mc:Fallback>
            <w:pict>
              <v:shapetype w14:anchorId="1A658BD5" id="_x0000_t202" coordsize="21600,21600" o:spt="202" path="m,l,21600r21600,l21600,xe">
                <v:stroke joinstyle="miter"/>
                <v:path gradientshapeok="t" o:connecttype="rect"/>
              </v:shapetype>
              <v:shape id="文本框 25" o:spid="_x0000_s1026" type="#_x0000_t202" style="position:absolute;left:0;text-align:left;margin-left:.15pt;margin-top:8.8pt;width:484.25pt;height:130.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" fillcolor="white [3201]" stroked="f" strokeweight=".5pt">
                <v:textbox>
                  <w:txbxContent>
                    <w:p w14:paraId="5FFDE5BB" w14:textId="77777777" w:rsidR="0072369B" w:rsidRDefault="00E434B7">
                      <w:pPr>
                        <w:rPr>
                          <w:rFonts w:ascii="Times New Roman" w:hAnsi="Times New Roman"/>
                          <w:color w:val="231F20"/>
                          <w:kern w:val="0"/>
                          <w:sz w:val="16"/>
                          <w:szCs w:val="16"/>
                        </w:rPr>
                      </w:pPr>
                      <w:r>
                        <w:rPr>
                          <w:rFonts w:ascii="Times New Roman" w:hAnsi="Times New Roman"/>
                          <w:color w:val="231F20"/>
                          <w:kern w:val="0"/>
                          <w:sz w:val="16"/>
                          <w:szCs w:val="16"/>
                        </w:rPr>
                        <w:t xml:space="preserve">Note: </w:t>
                      </w:r>
                    </w:p>
                    <w:p w14:paraId="2A632441" w14:textId="59A80057" w:rsidR="0072369B" w:rsidRDefault="006379D7">
                      <w:pPr>
                        <w:rPr>
                          <w:rFonts w:ascii="Times New Roman" w:hAnsi="Times New Roman"/>
                          <w:color w:val="231F20"/>
                          <w:kern w:val="0"/>
                          <w:sz w:val="16"/>
                          <w:szCs w:val="16"/>
                        </w:rPr>
                      </w:pPr>
                      <w:r>
                        <w:rPr>
                          <w:rFonts w:ascii="Segoe UI Symbol" w:hAnsi="Segoe UI Symbol" w:cs="Segoe UI Symbol"/>
                          <w:color w:val="000000"/>
                          <w:kern w:val="0"/>
                          <w:sz w:val="16"/>
                          <w:szCs w:val="16"/>
                        </w:rPr>
                        <w:t>*</w:t>
                      </w:r>
                      <w:r w:rsidRPr="006379D7">
                        <w:rPr>
                          <w:rFonts w:ascii="Times New Roman" w:hAnsi="Times New Roman"/>
                          <w:color w:val="000000"/>
                          <w:kern w:val="0"/>
                          <w:sz w:val="16"/>
                          <w:szCs w:val="16"/>
                          <w:vertAlign w:val="superscript"/>
                        </w:rPr>
                        <w:t>1</w:t>
                      </w:r>
                      <w:r>
                        <w:rPr>
                          <w:rFonts w:ascii="Times New Roman" w:hAnsi="Times New Roman"/>
                          <w:color w:val="000000"/>
                          <w:kern w:val="0"/>
                          <w:sz w:val="16"/>
                          <w:szCs w:val="16"/>
                        </w:rPr>
                        <w:t xml:space="preserve">: </w:t>
                      </w:r>
                      <w:r>
                        <w:rPr>
                          <w:rFonts w:ascii="Times New Roman" w:hAnsi="Times New Roman"/>
                          <w:color w:val="231F20"/>
                          <w:kern w:val="0"/>
                          <w:sz w:val="16"/>
                          <w:szCs w:val="16"/>
                        </w:rPr>
                        <w:t xml:space="preserve">Adjusted for sociodemographic information, diabetes, hypertensive disorders of pregnancy, and </w:t>
                      </w:r>
                      <w:r w:rsidR="00F6386F">
                        <w:rPr>
                          <w:rFonts w:ascii="Times New Roman" w:hAnsi="Times New Roman"/>
                          <w:color w:val="231F20"/>
                          <w:kern w:val="0"/>
                          <w:sz w:val="16"/>
                          <w:szCs w:val="16"/>
                        </w:rPr>
                        <w:t>infant’s gender</w:t>
                      </w:r>
                    </w:p>
                    <w:p w14:paraId="3872ABFA" w14:textId="11977F79" w:rsidR="0072369B" w:rsidRDefault="006379D7">
                      <w:pPr>
                        <w:rPr>
                          <w:rFonts w:ascii="Times New Roman" w:hAnsi="Times New Roman"/>
                          <w:color w:val="231F20"/>
                          <w:kern w:val="0"/>
                          <w:sz w:val="16"/>
                          <w:szCs w:val="16"/>
                        </w:rPr>
                      </w:pPr>
                      <w:r>
                        <w:rPr>
                          <w:rFonts w:ascii="Segoe UI Symbol" w:hAnsi="Segoe UI Symbol" w:cs="Segoe UI Symbol"/>
                          <w:color w:val="000000"/>
                          <w:kern w:val="0"/>
                          <w:sz w:val="16"/>
                          <w:szCs w:val="16"/>
                        </w:rPr>
                        <w:t>*</w:t>
                      </w:r>
                      <w:r>
                        <w:rPr>
                          <w:rFonts w:ascii="Times New Roman" w:hAnsi="Times New Roman"/>
                          <w:color w:val="000000"/>
                          <w:kern w:val="0"/>
                          <w:sz w:val="16"/>
                          <w:szCs w:val="16"/>
                          <w:vertAlign w:val="superscript"/>
                        </w:rPr>
                        <w:t>2</w:t>
                      </w:r>
                      <w:r>
                        <w:rPr>
                          <w:rFonts w:ascii="Times New Roman" w:hAnsi="Times New Roman"/>
                          <w:color w:val="000000"/>
                          <w:kern w:val="0"/>
                          <w:sz w:val="16"/>
                          <w:szCs w:val="16"/>
                        </w:rPr>
                        <w:t xml:space="preserve">, </w:t>
                      </w:r>
                      <w:r>
                        <w:rPr>
                          <w:rFonts w:ascii="Segoe UI Symbol" w:hAnsi="Segoe UI Symbol" w:cs="Segoe UI Symbol"/>
                          <w:color w:val="000000"/>
                          <w:kern w:val="0"/>
                          <w:sz w:val="16"/>
                          <w:szCs w:val="16"/>
                        </w:rPr>
                        <w:t>*</w:t>
                      </w:r>
                      <w:r>
                        <w:rPr>
                          <w:rFonts w:ascii="Times New Roman" w:hAnsi="Times New Roman"/>
                          <w:color w:val="000000"/>
                          <w:kern w:val="0"/>
                          <w:sz w:val="16"/>
                          <w:szCs w:val="16"/>
                          <w:vertAlign w:val="superscript"/>
                        </w:rPr>
                        <w:t>3</w:t>
                      </w:r>
                      <w:r>
                        <w:rPr>
                          <w:rFonts w:ascii="Times New Roman" w:hAnsi="Times New Roman"/>
                          <w:color w:val="000000"/>
                          <w:kern w:val="0"/>
                          <w:sz w:val="16"/>
                          <w:szCs w:val="16"/>
                        </w:rPr>
                        <w:t xml:space="preserve">, </w:t>
                      </w:r>
                      <w:r>
                        <w:rPr>
                          <w:rFonts w:ascii="Segoe UI Symbol" w:hAnsi="Segoe UI Symbol" w:cs="Segoe UI Symbol"/>
                          <w:color w:val="000000"/>
                          <w:kern w:val="0"/>
                          <w:sz w:val="16"/>
                          <w:szCs w:val="16"/>
                        </w:rPr>
                        <w:t>*</w:t>
                      </w:r>
                      <w:r>
                        <w:rPr>
                          <w:rFonts w:ascii="Times New Roman" w:hAnsi="Times New Roman"/>
                          <w:color w:val="000000"/>
                          <w:kern w:val="0"/>
                          <w:sz w:val="16"/>
                          <w:szCs w:val="16"/>
                          <w:vertAlign w:val="superscript"/>
                        </w:rPr>
                        <w:t>4</w:t>
                      </w:r>
                      <w:r>
                        <w:rPr>
                          <w:rFonts w:ascii="Times New Roman" w:hAnsi="Times New Roman"/>
                          <w:color w:val="000000"/>
                          <w:kern w:val="0"/>
                          <w:sz w:val="16"/>
                          <w:szCs w:val="16"/>
                        </w:rPr>
                        <w:t xml:space="preserve">: </w:t>
                      </w:r>
                      <w:r>
                        <w:rPr>
                          <w:rFonts w:ascii="Times New Roman" w:hAnsi="Times New Roman"/>
                          <w:color w:val="231F20"/>
                          <w:kern w:val="0"/>
                          <w:sz w:val="16"/>
                          <w:szCs w:val="16"/>
                        </w:rPr>
                        <w:t xml:space="preserve">Multiple linear regression models to estimate </w:t>
                      </w:r>
                      <w:r>
                        <w:rPr>
                          <w:rFonts w:ascii="Times New Roman" w:hAnsi="Times New Roman"/>
                          <w:b/>
                          <w:bCs/>
                          <w:color w:val="231F20"/>
                          <w:kern w:val="0"/>
                          <w:sz w:val="16"/>
                          <w:szCs w:val="16"/>
                        </w:rPr>
                        <w:t xml:space="preserve">β </w:t>
                      </w:r>
                      <w:r>
                        <w:rPr>
                          <w:rFonts w:ascii="Times New Roman" w:hAnsi="Times New Roman"/>
                          <w:color w:val="231F20"/>
                          <w:kern w:val="0"/>
                          <w:sz w:val="16"/>
                          <w:szCs w:val="16"/>
                        </w:rPr>
                        <w:t>coef and 95% CI considering Bonferroni's correction (corrected P&lt;0.005)</w:t>
                      </w:r>
                    </w:p>
                    <w:p w14:paraId="223C71E9" w14:textId="38B0AFBD" w:rsidR="0072369B" w:rsidRDefault="006379D7">
                      <w:pPr>
                        <w:rPr>
                          <w:rFonts w:ascii="Times New Roman" w:hAnsi="Times New Roman"/>
                          <w:color w:val="231F20"/>
                          <w:kern w:val="0"/>
                          <w:sz w:val="16"/>
                          <w:szCs w:val="16"/>
                        </w:rPr>
                      </w:pPr>
                      <w:r>
                        <w:rPr>
                          <w:rFonts w:ascii="Segoe UI Symbol" w:hAnsi="Segoe UI Symbol" w:cs="Segoe UI Symbol"/>
                          <w:color w:val="000000"/>
                          <w:kern w:val="0"/>
                          <w:sz w:val="16"/>
                          <w:szCs w:val="16"/>
                        </w:rPr>
                        <w:t>*</w:t>
                      </w:r>
                      <w:r>
                        <w:rPr>
                          <w:rFonts w:ascii="Times New Roman" w:hAnsi="Times New Roman"/>
                          <w:color w:val="000000"/>
                          <w:kern w:val="0"/>
                          <w:sz w:val="16"/>
                          <w:szCs w:val="16"/>
                          <w:vertAlign w:val="superscript"/>
                        </w:rPr>
                        <w:t>5</w:t>
                      </w:r>
                      <w:r>
                        <w:rPr>
                          <w:rFonts w:ascii="Times New Roman" w:hAnsi="Times New Roman"/>
                          <w:color w:val="000000"/>
                          <w:kern w:val="0"/>
                          <w:sz w:val="16"/>
                          <w:szCs w:val="16"/>
                        </w:rPr>
                        <w:t xml:space="preserve">, </w:t>
                      </w:r>
                      <w:r>
                        <w:rPr>
                          <w:rFonts w:ascii="Segoe UI Symbol" w:hAnsi="Segoe UI Symbol" w:cs="Segoe UI Symbol"/>
                          <w:color w:val="000000"/>
                          <w:kern w:val="0"/>
                          <w:sz w:val="16"/>
                          <w:szCs w:val="16"/>
                        </w:rPr>
                        <w:t>*</w:t>
                      </w:r>
                      <w:r>
                        <w:rPr>
                          <w:rFonts w:ascii="Times New Roman" w:hAnsi="Times New Roman"/>
                          <w:color w:val="000000"/>
                          <w:kern w:val="0"/>
                          <w:sz w:val="16"/>
                          <w:szCs w:val="16"/>
                          <w:vertAlign w:val="superscript"/>
                        </w:rPr>
                        <w:t>6</w:t>
                      </w:r>
                      <w:r>
                        <w:rPr>
                          <w:rFonts w:ascii="Times New Roman" w:hAnsi="Times New Roman"/>
                          <w:color w:val="000000"/>
                          <w:kern w:val="0"/>
                          <w:sz w:val="16"/>
                          <w:szCs w:val="16"/>
                        </w:rPr>
                        <w:t xml:space="preserve">, </w:t>
                      </w:r>
                      <w:r>
                        <w:rPr>
                          <w:rFonts w:ascii="Segoe UI Symbol" w:hAnsi="Segoe UI Symbol" w:cs="Segoe UI Symbol"/>
                          <w:color w:val="000000"/>
                          <w:kern w:val="0"/>
                          <w:sz w:val="16"/>
                          <w:szCs w:val="16"/>
                        </w:rPr>
                        <w:t>*</w:t>
                      </w:r>
                      <w:r>
                        <w:rPr>
                          <w:rFonts w:ascii="Times New Roman" w:hAnsi="Times New Roman"/>
                          <w:color w:val="000000"/>
                          <w:kern w:val="0"/>
                          <w:sz w:val="16"/>
                          <w:szCs w:val="16"/>
                          <w:vertAlign w:val="superscript"/>
                        </w:rPr>
                        <w:t>7</w:t>
                      </w:r>
                      <w:r>
                        <w:rPr>
                          <w:rFonts w:ascii="Times New Roman" w:hAnsi="Times New Roman"/>
                          <w:color w:val="000000"/>
                          <w:kern w:val="0"/>
                          <w:sz w:val="16"/>
                          <w:szCs w:val="16"/>
                        </w:rPr>
                        <w:t xml:space="preserve">: </w:t>
                      </w:r>
                      <w:r>
                        <w:rPr>
                          <w:rFonts w:ascii="Times New Roman" w:hAnsi="Times New Roman"/>
                          <w:color w:val="231F20"/>
                          <w:kern w:val="0"/>
                          <w:sz w:val="16"/>
                          <w:szCs w:val="16"/>
                        </w:rPr>
                        <w:t>Log-transformed variables before analysis: SBP, HOMA-IR, TG</w:t>
                      </w:r>
                    </w:p>
                    <w:p w14:paraId="03EAB431" w14:textId="77777777" w:rsidR="0072369B" w:rsidRDefault="00E434B7">
                      <w:pPr>
                        <w:rPr>
                          <w:rFonts w:ascii="Times New Roman" w:hAnsi="Times New Roman"/>
                          <w:color w:val="231F20"/>
                          <w:kern w:val="0"/>
                          <w:sz w:val="16"/>
                          <w:szCs w:val="16"/>
                        </w:rPr>
                      </w:pPr>
                      <w:r>
                        <w:rPr>
                          <w:rFonts w:ascii="Times New Roman" w:hAnsi="Times New Roman"/>
                          <w:b/>
                          <w:bCs/>
                          <w:color w:val="231F20"/>
                          <w:kern w:val="0"/>
                          <w:sz w:val="16"/>
                          <w:szCs w:val="16"/>
                        </w:rPr>
                        <w:t>β</w:t>
                      </w:r>
                      <w:r>
                        <w:rPr>
                          <w:rFonts w:ascii="Times New Roman" w:hAnsi="Times New Roman"/>
                          <w:color w:val="231F20"/>
                          <w:kern w:val="0"/>
                          <w:sz w:val="16"/>
                          <w:szCs w:val="16"/>
                        </w:rPr>
                        <w:t>coef,</w:t>
                      </w:r>
                      <w:r>
                        <w:rPr>
                          <w:rFonts w:ascii="Times New Roman" w:hAnsi="Times New Roman"/>
                          <w:b/>
                          <w:bCs/>
                          <w:color w:val="231F20"/>
                          <w:kern w:val="0"/>
                          <w:sz w:val="16"/>
                          <w:szCs w:val="16"/>
                        </w:rPr>
                        <w:t>β</w:t>
                      </w:r>
                      <w:r>
                        <w:rPr>
                          <w:rFonts w:ascii="Times New Roman" w:hAnsi="Times New Roman"/>
                          <w:color w:val="231F20"/>
                          <w:kern w:val="0"/>
                          <w:sz w:val="16"/>
                          <w:szCs w:val="16"/>
                        </w:rPr>
                        <w:t>coefficients; SBP, systolic blood pressure; DBP, diastolic blood pressure; FPG, fasting plasma glucose; HOMA-IR, homeostasis model as</w:t>
                      </w:r>
                      <w:r>
                        <w:rPr>
                          <w:rFonts w:ascii="Times New Roman" w:hAnsi="Times New Roman"/>
                          <w:color w:val="231F20"/>
                          <w:kern w:val="0"/>
                          <w:sz w:val="16"/>
                          <w:szCs w:val="16"/>
                        </w:rPr>
                        <w:t>sessment of insulin resistance; TC, total cholesterol; TG, triglyceride; HDL-C, high-density lipoprotein cholesterol; LDL-c, low-density lipoprotein cholesterol; BF%, body fat percentage; WHR, waist-to-hip ratio; CIMT max, the maximum of carotid intima-med</w:t>
                      </w:r>
                      <w:r>
                        <w:rPr>
                          <w:rFonts w:ascii="Times New Roman" w:hAnsi="Times New Roman"/>
                          <w:color w:val="231F20"/>
                          <w:kern w:val="0"/>
                          <w:sz w:val="16"/>
                          <w:szCs w:val="16"/>
                        </w:rPr>
                        <w:t>ia thickness.</w:t>
                      </w:r>
                    </w:p>
                    <w:p w14:paraId="5E0F6649" w14:textId="77777777" w:rsidR="0072369B" w:rsidRDefault="0072369B">
                      <w:pPr>
                        <w:rPr>
                          <w:rFonts w:ascii="Times New Roman" w:hAnsi="Times New Roman"/>
                          <w:color w:val="231F20"/>
                          <w:kern w:val="0"/>
                          <w:sz w:val="16"/>
                          <w:szCs w:val="16"/>
                        </w:rPr>
                      </w:pPr>
                    </w:p>
                    <w:p w14:paraId="0FD3D7FD" w14:textId="77777777" w:rsidR="0072369B" w:rsidRDefault="0072369B">
                      <w:pPr>
                        <w:rPr>
                          <w:rFonts w:ascii="Times New Roman" w:hAnsi="Times New Roman"/>
                          <w:sz w:val="16"/>
                          <w:szCs w:val="16"/>
                        </w:rPr>
                      </w:pPr>
                    </w:p>
                  </w:txbxContent>
                </v:textbox>
              </v:shape>
            </w:pict>
          </mc:Fallback>
        </mc:AlternateContent>
      </w:r>
    </w:p>
    <w:p w14:paraId="1C01F369" w14:textId="77777777" w:rsidR="0072369B" w:rsidRDefault="0072369B">
      <w:pPr>
        <w:spacing w:line="360" w:lineRule="auto"/>
        <w:rPr>
          <w:rFonts w:ascii="Times New Roman" w:hAnsi="Times New Roman"/>
          <w:color w:val="231F20"/>
          <w:kern w:val="0"/>
          <w:sz w:val="20"/>
          <w:szCs w:val="20"/>
        </w:rPr>
      </w:pPr>
    </w:p>
    <w:p w14:paraId="11E3D02D" w14:textId="77777777" w:rsidR="0072369B" w:rsidRDefault="0072369B">
      <w:pPr>
        <w:spacing w:line="360" w:lineRule="auto"/>
        <w:rPr>
          <w:rFonts w:ascii="Times New Roman" w:hAnsi="Times New Roman"/>
          <w:color w:val="000000"/>
          <w:kern w:val="0"/>
          <w:sz w:val="20"/>
          <w:szCs w:val="20"/>
        </w:rPr>
      </w:pPr>
    </w:p>
    <w:p w14:paraId="6BB5F755" w14:textId="77777777" w:rsidR="0072369B" w:rsidRDefault="0072369B">
      <w:pPr>
        <w:spacing w:line="360" w:lineRule="auto"/>
        <w:rPr>
          <w:rFonts w:ascii="Times New Roman" w:hAnsi="Times New Roman"/>
          <w:color w:val="231F20"/>
          <w:kern w:val="0"/>
          <w:sz w:val="20"/>
          <w:szCs w:val="20"/>
        </w:rPr>
      </w:pPr>
    </w:p>
    <w:p w14:paraId="3EDE5F6E" w14:textId="77777777" w:rsidR="0072369B" w:rsidRDefault="0072369B">
      <w:pPr>
        <w:spacing w:line="360" w:lineRule="auto"/>
        <w:rPr>
          <w:rFonts w:ascii="Times New Roman" w:hAnsi="Times New Roman"/>
          <w:color w:val="231F20"/>
          <w:kern w:val="0"/>
          <w:sz w:val="20"/>
          <w:szCs w:val="20"/>
        </w:rPr>
      </w:pPr>
    </w:p>
    <w:p w14:paraId="73FFD9FF" w14:textId="77777777" w:rsidR="0072369B" w:rsidRDefault="0072369B">
      <w:pPr>
        <w:spacing w:line="360" w:lineRule="auto"/>
        <w:rPr>
          <w:rFonts w:ascii="Times New Roman" w:hAnsi="Times New Roman"/>
          <w:color w:val="231F20"/>
          <w:kern w:val="0"/>
          <w:sz w:val="20"/>
          <w:szCs w:val="20"/>
        </w:rPr>
      </w:pPr>
    </w:p>
    <w:p w14:paraId="395B0013" w14:textId="77777777" w:rsidR="0072369B" w:rsidRDefault="0072369B">
      <w:pPr>
        <w:spacing w:line="360" w:lineRule="auto"/>
        <w:rPr>
          <w:rFonts w:ascii="Times New Roman" w:hAnsi="Times New Roman"/>
          <w:color w:val="231F20"/>
          <w:kern w:val="0"/>
          <w:sz w:val="20"/>
          <w:szCs w:val="20"/>
        </w:rPr>
      </w:pPr>
    </w:p>
    <w:p w14:paraId="6CC51CE2" w14:textId="326E26AE" w:rsidR="0072369B" w:rsidRDefault="0072369B">
      <w:pPr>
        <w:rPr>
          <w:rFonts w:ascii="Times New Roman" w:hAnsi="Times New Roman"/>
          <w:sz w:val="20"/>
          <w:szCs w:val="20"/>
        </w:rPr>
      </w:pPr>
    </w:p>
    <w:p w14:paraId="46CE9D4E" w14:textId="7F7586BC" w:rsidR="007A43BA" w:rsidRDefault="007A43BA">
      <w:pPr>
        <w:rPr>
          <w:rFonts w:ascii="Times New Roman" w:hAnsi="Times New Roman"/>
          <w:sz w:val="20"/>
          <w:szCs w:val="20"/>
        </w:rPr>
      </w:pPr>
    </w:p>
    <w:p w14:paraId="5ABECC7C" w14:textId="64B7AA5B" w:rsidR="007A43BA" w:rsidRDefault="007A43BA">
      <w:pPr>
        <w:rPr>
          <w:rFonts w:ascii="Times New Roman" w:hAnsi="Times New Roman"/>
          <w:sz w:val="20"/>
          <w:szCs w:val="20"/>
        </w:rPr>
      </w:pPr>
    </w:p>
    <w:p w14:paraId="750F41D1" w14:textId="655CEA2E" w:rsidR="007A43BA" w:rsidRDefault="007A43BA">
      <w:pPr>
        <w:rPr>
          <w:rFonts w:ascii="Times New Roman" w:hAnsi="Times New Roman"/>
          <w:sz w:val="20"/>
          <w:szCs w:val="20"/>
        </w:rPr>
      </w:pPr>
    </w:p>
    <w:p w14:paraId="3890DF45" w14:textId="28D23DDF" w:rsidR="007A43BA" w:rsidRDefault="007A43BA">
      <w:pPr>
        <w:rPr>
          <w:rFonts w:ascii="Times New Roman" w:hAnsi="Times New Roman"/>
          <w:sz w:val="20"/>
          <w:szCs w:val="20"/>
        </w:rPr>
      </w:pPr>
    </w:p>
    <w:p w14:paraId="249C6BC1" w14:textId="77777777" w:rsidR="007A43BA" w:rsidRDefault="007A43BA">
      <w:pPr>
        <w:rPr>
          <w:rFonts w:ascii="Times New Roman" w:hAnsi="Times New Roman"/>
          <w:sz w:val="20"/>
          <w:szCs w:val="20"/>
        </w:rPr>
      </w:pPr>
    </w:p>
    <w:tbl>
      <w:tblPr>
        <w:tblW w:w="9640" w:type="dxa"/>
        <w:tblInd w:w="98" w:type="dxa"/>
        <w:tblLook w:val="04A0" w:firstRow="1" w:lastRow="0" w:firstColumn="1" w:lastColumn="0" w:noHBand="0" w:noVBand="1"/>
      </w:tblPr>
      <w:tblGrid>
        <w:gridCol w:w="681"/>
        <w:gridCol w:w="515"/>
        <w:gridCol w:w="514"/>
        <w:gridCol w:w="680"/>
        <w:gridCol w:w="680"/>
        <w:gridCol w:w="680"/>
        <w:gridCol w:w="680"/>
        <w:gridCol w:w="680"/>
        <w:gridCol w:w="680"/>
        <w:gridCol w:w="680"/>
        <w:gridCol w:w="680"/>
        <w:gridCol w:w="680"/>
        <w:gridCol w:w="680"/>
        <w:gridCol w:w="680"/>
        <w:gridCol w:w="680"/>
      </w:tblGrid>
      <w:tr w:rsidR="0072369B" w14:paraId="221C5D9D" w14:textId="77777777">
        <w:trPr>
          <w:trHeight w:val="1760"/>
        </w:trPr>
        <w:tc>
          <w:tcPr>
            <w:tcW w:w="960" w:type="dxa"/>
            <w:vMerge w:val="restart"/>
            <w:tcBorders>
              <w:top w:val="nil"/>
              <w:left w:val="nil"/>
              <w:bottom w:val="nil"/>
              <w:right w:val="nil"/>
            </w:tcBorders>
            <w:shd w:val="clear" w:color="auto" w:fill="auto"/>
            <w:textDirection w:val="btLr"/>
            <w:vAlign w:val="center"/>
          </w:tcPr>
          <w:p w14:paraId="60F1F253" w14:textId="44443FEA" w:rsidR="0072369B" w:rsidRDefault="00E434B7">
            <w:pPr>
              <w:rPr>
                <w:rFonts w:ascii="Times New Roman" w:hAnsi="Times New Roman"/>
                <w:sz w:val="16"/>
                <w:szCs w:val="16"/>
              </w:rPr>
            </w:pPr>
            <w:r>
              <w:rPr>
                <w:rFonts w:ascii="Times New Roman" w:hAnsi="Times New Roman"/>
                <w:color w:val="000000"/>
                <w:kern w:val="0"/>
                <w:sz w:val="16"/>
                <w:szCs w:val="16"/>
                <w:lang w:bidi="ar"/>
              </w:rPr>
              <w:lastRenderedPageBreak/>
              <w:br/>
            </w:r>
            <w:r>
              <w:rPr>
                <w:rFonts w:ascii="Times New Roman" w:hAnsi="Times New Roman"/>
                <w:b/>
                <w:bCs/>
                <w:color w:val="231F20"/>
                <w:kern w:val="0"/>
                <w:sz w:val="16"/>
                <w:szCs w:val="16"/>
              </w:rPr>
              <w:t xml:space="preserve">Table 3 </w:t>
            </w:r>
            <w:r>
              <w:rPr>
                <w:rFonts w:ascii="Times New Roman" w:hAnsi="Times New Roman"/>
                <w:color w:val="231F20"/>
                <w:kern w:val="0"/>
                <w:sz w:val="16"/>
                <w:szCs w:val="16"/>
              </w:rPr>
              <w:t xml:space="preserve">β coef and 95% CI for associations between the total BMI change and cardiometabolic risk factors stratified by BMI trajectories in women with normal prepregnant </w:t>
            </w:r>
            <w:r>
              <w:rPr>
                <w:rFonts w:ascii="Times New Roman" w:hAnsi="Times New Roman"/>
                <w:color w:val="231F20"/>
                <w:kern w:val="0"/>
                <w:sz w:val="16"/>
                <w:szCs w:val="16"/>
              </w:rPr>
              <w:t>BMI(n=916)</w:t>
            </w:r>
            <w:r>
              <w:rPr>
                <w:rFonts w:ascii="Times New Roman" w:hAnsi="Times New Roman"/>
                <w:color w:val="000000"/>
                <w:kern w:val="0"/>
                <w:sz w:val="16"/>
                <w:szCs w:val="16"/>
              </w:rPr>
              <w:t xml:space="preserve"> </w:t>
            </w:r>
            <w:r w:rsidR="00495282">
              <w:rPr>
                <w:rFonts w:ascii="Segoe UI Symbol" w:hAnsi="Segoe UI Symbol" w:cs="Segoe UI Symbol"/>
                <w:color w:val="000000"/>
                <w:kern w:val="0"/>
                <w:sz w:val="16"/>
                <w:szCs w:val="16"/>
              </w:rPr>
              <w:t>*</w:t>
            </w:r>
            <w:r w:rsidRPr="00495282">
              <w:rPr>
                <w:rFonts w:ascii="Times New Roman" w:hAnsi="Times New Roman"/>
                <w:color w:val="000000"/>
                <w:kern w:val="0"/>
                <w:sz w:val="16"/>
                <w:szCs w:val="16"/>
                <w:vertAlign w:val="superscript"/>
              </w:rPr>
              <w:t>1</w:t>
            </w:r>
          </w:p>
          <w:p w14:paraId="3CEA4D78" w14:textId="77777777" w:rsidR="0072369B" w:rsidRDefault="0072369B">
            <w:pPr>
              <w:widowControl/>
              <w:textAlignment w:val="center"/>
              <w:rPr>
                <w:rFonts w:ascii="Times New Roman" w:hAnsi="Times New Roman"/>
                <w:color w:val="000000"/>
                <w:sz w:val="16"/>
                <w:szCs w:val="16"/>
              </w:rPr>
            </w:pPr>
          </w:p>
        </w:tc>
        <w:tc>
          <w:tcPr>
            <w:tcW w:w="620" w:type="dxa"/>
            <w:vMerge w:val="restart"/>
            <w:tcBorders>
              <w:top w:val="nil"/>
              <w:left w:val="single" w:sz="4" w:space="0" w:color="auto"/>
              <w:bottom w:val="nil"/>
              <w:right w:val="nil"/>
            </w:tcBorders>
            <w:shd w:val="clear" w:color="auto" w:fill="auto"/>
            <w:noWrap/>
            <w:textDirection w:val="btLr"/>
            <w:vAlign w:val="center"/>
          </w:tcPr>
          <w:p w14:paraId="03AABCFA" w14:textId="05135105" w:rsidR="0072369B" w:rsidRDefault="00E434B7">
            <w:pPr>
              <w:widowControl/>
              <w:jc w:val="center"/>
              <w:textAlignment w:val="center"/>
              <w:rPr>
                <w:rFonts w:ascii="Times New Roman" w:hAnsi="Times New Roman"/>
                <w:color w:val="000000"/>
                <w:sz w:val="16"/>
                <w:szCs w:val="16"/>
              </w:rPr>
            </w:pPr>
            <w:r>
              <w:rPr>
                <w:rFonts w:ascii="Times New Roman" w:hAnsi="Times New Roman"/>
                <w:color w:val="000000"/>
                <w:kern w:val="0"/>
                <w:sz w:val="16"/>
                <w:szCs w:val="16"/>
                <w:lang w:bidi="ar"/>
              </w:rPr>
              <w:t>Total BMI change</w:t>
            </w:r>
            <w:r w:rsidR="00C51B51">
              <w:rPr>
                <w:rFonts w:ascii="Times New Roman" w:hAnsi="Times New Roman"/>
                <w:color w:val="000000"/>
                <w:kern w:val="0"/>
                <w:sz w:val="16"/>
                <w:szCs w:val="16"/>
                <w:lang w:bidi="ar"/>
              </w:rPr>
              <w:t xml:space="preserve"> </w:t>
            </w:r>
            <w:r>
              <w:rPr>
                <w:rFonts w:ascii="Times New Roman" w:hAnsi="Times New Roman"/>
                <w:color w:val="000000"/>
                <w:kern w:val="0"/>
                <w:sz w:val="16"/>
                <w:szCs w:val="16"/>
                <w:lang w:bidi="ar"/>
              </w:rPr>
              <w:t>＞</w:t>
            </w:r>
            <w:r>
              <w:rPr>
                <w:rStyle w:val="font71"/>
                <w:rFonts w:ascii="Times New Roman" w:hAnsi="Times New Roman" w:cs="Times New Roman"/>
                <w:lang w:bidi="ar"/>
              </w:rPr>
              <w:t>1.7</w:t>
            </w:r>
          </w:p>
        </w:tc>
        <w:tc>
          <w:tcPr>
            <w:tcW w:w="620" w:type="dxa"/>
            <w:tcBorders>
              <w:top w:val="nil"/>
              <w:left w:val="single" w:sz="4" w:space="0" w:color="auto"/>
              <w:bottom w:val="nil"/>
              <w:right w:val="single" w:sz="4" w:space="0" w:color="auto"/>
            </w:tcBorders>
            <w:shd w:val="clear" w:color="auto" w:fill="auto"/>
            <w:noWrap/>
            <w:textDirection w:val="btLr"/>
            <w:vAlign w:val="center"/>
          </w:tcPr>
          <w:p w14:paraId="48208821"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Traj 4</w:t>
            </w:r>
          </w:p>
        </w:tc>
        <w:tc>
          <w:tcPr>
            <w:tcW w:w="620" w:type="dxa"/>
            <w:vMerge w:val="restart"/>
            <w:tcBorders>
              <w:top w:val="nil"/>
              <w:left w:val="nil"/>
              <w:bottom w:val="nil"/>
              <w:right w:val="single" w:sz="4" w:space="0" w:color="auto"/>
            </w:tcBorders>
            <w:shd w:val="clear" w:color="auto" w:fill="auto"/>
            <w:textDirection w:val="btLr"/>
            <w:vAlign w:val="center"/>
          </w:tcPr>
          <w:p w14:paraId="23133481" w14:textId="3E3FF527" w:rsidR="0072369B" w:rsidRDefault="00E434B7">
            <w:pPr>
              <w:widowControl/>
              <w:jc w:val="center"/>
              <w:textAlignment w:val="center"/>
              <w:rPr>
                <w:rFonts w:ascii="Times New Roman" w:hAnsi="Times New Roman"/>
                <w:color w:val="000000"/>
                <w:sz w:val="16"/>
                <w:szCs w:val="16"/>
              </w:rPr>
            </w:pPr>
            <w:r>
              <w:rPr>
                <w:rFonts w:ascii="Times New Roman" w:hAnsi="Times New Roman"/>
                <w:color w:val="000000"/>
                <w:kern w:val="0"/>
                <w:sz w:val="16"/>
                <w:szCs w:val="16"/>
                <w:lang w:bidi="ar"/>
              </w:rPr>
              <w:t>β(95% CI)</w:t>
            </w:r>
            <w:r>
              <w:rPr>
                <w:rFonts w:ascii="Times New Roman" w:hAnsi="Times New Roman"/>
                <w:color w:val="000000"/>
                <w:kern w:val="0"/>
                <w:sz w:val="16"/>
                <w:szCs w:val="16"/>
              </w:rPr>
              <w:t xml:space="preserve"> </w:t>
            </w:r>
            <w:r w:rsidR="00495282">
              <w:rPr>
                <w:rFonts w:ascii="Segoe UI Symbol" w:hAnsi="Segoe UI Symbol" w:cs="Segoe UI Symbol"/>
                <w:color w:val="000000"/>
                <w:kern w:val="0"/>
                <w:sz w:val="16"/>
                <w:szCs w:val="16"/>
              </w:rPr>
              <w:t>*</w:t>
            </w:r>
            <w:r w:rsidR="00495282" w:rsidRPr="00495282">
              <w:rPr>
                <w:rFonts w:ascii="Segoe UI Symbol" w:hAnsi="Segoe UI Symbol" w:cs="Segoe UI Symbol"/>
                <w:color w:val="000000"/>
                <w:kern w:val="0"/>
                <w:sz w:val="16"/>
                <w:szCs w:val="16"/>
                <w:vertAlign w:val="superscript"/>
              </w:rPr>
              <w:t>4</w:t>
            </w:r>
            <w:r>
              <w:rPr>
                <w:rStyle w:val="font71"/>
                <w:rFonts w:ascii="Times New Roman" w:hAnsi="Times New Roman" w:cs="Times New Roman"/>
                <w:lang w:bidi="ar"/>
              </w:rPr>
              <w:br/>
              <w:t>p</w:t>
            </w:r>
          </w:p>
        </w:tc>
        <w:tc>
          <w:tcPr>
            <w:tcW w:w="620" w:type="dxa"/>
            <w:tcBorders>
              <w:top w:val="nil"/>
              <w:left w:val="nil"/>
              <w:bottom w:val="nil"/>
              <w:right w:val="nil"/>
            </w:tcBorders>
            <w:shd w:val="clear" w:color="auto" w:fill="auto"/>
            <w:textDirection w:val="btLr"/>
            <w:vAlign w:val="center"/>
          </w:tcPr>
          <w:p w14:paraId="32D1FC8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2.94(―0.10,5.99)</w:t>
            </w:r>
            <w:r>
              <w:rPr>
                <w:rFonts w:ascii="Times New Roman" w:hAnsi="Times New Roman"/>
                <w:color w:val="000000"/>
                <w:kern w:val="0"/>
                <w:sz w:val="16"/>
                <w:szCs w:val="16"/>
                <w:lang w:bidi="ar"/>
              </w:rPr>
              <w:br/>
              <w:t>0.058</w:t>
            </w:r>
          </w:p>
        </w:tc>
        <w:tc>
          <w:tcPr>
            <w:tcW w:w="620" w:type="dxa"/>
            <w:tcBorders>
              <w:top w:val="nil"/>
              <w:left w:val="nil"/>
              <w:bottom w:val="nil"/>
              <w:right w:val="nil"/>
            </w:tcBorders>
            <w:shd w:val="clear" w:color="auto" w:fill="auto"/>
            <w:textDirection w:val="btLr"/>
            <w:vAlign w:val="center"/>
          </w:tcPr>
          <w:p w14:paraId="3CD17B58"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2.51(0.16,4.86)</w:t>
            </w:r>
            <w:r>
              <w:rPr>
                <w:rFonts w:ascii="Times New Roman" w:hAnsi="Times New Roman"/>
                <w:color w:val="000000"/>
                <w:kern w:val="0"/>
                <w:sz w:val="16"/>
                <w:szCs w:val="16"/>
                <w:lang w:bidi="ar"/>
              </w:rPr>
              <w:br/>
              <w:t>0.036</w:t>
            </w:r>
          </w:p>
        </w:tc>
        <w:tc>
          <w:tcPr>
            <w:tcW w:w="620" w:type="dxa"/>
            <w:tcBorders>
              <w:top w:val="nil"/>
              <w:left w:val="nil"/>
              <w:bottom w:val="nil"/>
              <w:right w:val="nil"/>
            </w:tcBorders>
            <w:shd w:val="clear" w:color="auto" w:fill="auto"/>
            <w:textDirection w:val="btLr"/>
            <w:vAlign w:val="center"/>
          </w:tcPr>
          <w:p w14:paraId="4B75B091"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0.16(0.04,0.28)</w:t>
            </w:r>
            <w:r>
              <w:rPr>
                <w:rFonts w:ascii="Times New Roman" w:hAnsi="Times New Roman"/>
                <w:color w:val="000000"/>
                <w:kern w:val="0"/>
                <w:sz w:val="16"/>
                <w:szCs w:val="16"/>
                <w:lang w:bidi="ar"/>
              </w:rPr>
              <w:br/>
              <w:t>0.011</w:t>
            </w:r>
          </w:p>
        </w:tc>
        <w:tc>
          <w:tcPr>
            <w:tcW w:w="620" w:type="dxa"/>
            <w:tcBorders>
              <w:top w:val="nil"/>
              <w:left w:val="nil"/>
              <w:bottom w:val="nil"/>
              <w:right w:val="nil"/>
            </w:tcBorders>
            <w:shd w:val="clear" w:color="auto" w:fill="auto"/>
            <w:textDirection w:val="btLr"/>
            <w:vAlign w:val="center"/>
          </w:tcPr>
          <w:p w14:paraId="7D037D18"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0.43(0.28,0.58)</w:t>
            </w:r>
            <w:r>
              <w:rPr>
                <w:rFonts w:ascii="Times New Roman" w:hAnsi="Times New Roman"/>
                <w:color w:val="000000"/>
                <w:kern w:val="0"/>
                <w:sz w:val="16"/>
                <w:szCs w:val="16"/>
                <w:lang w:bidi="ar"/>
              </w:rPr>
              <w:br/>
              <w:t>0.000</w:t>
            </w:r>
          </w:p>
        </w:tc>
        <w:tc>
          <w:tcPr>
            <w:tcW w:w="620" w:type="dxa"/>
            <w:tcBorders>
              <w:top w:val="nil"/>
              <w:left w:val="nil"/>
              <w:bottom w:val="nil"/>
              <w:right w:val="nil"/>
            </w:tcBorders>
            <w:shd w:val="clear" w:color="auto" w:fill="auto"/>
            <w:textDirection w:val="btLr"/>
            <w:vAlign w:val="center"/>
          </w:tcPr>
          <w:p w14:paraId="09E2FA6F"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0.29(0.03,0.55)</w:t>
            </w:r>
            <w:r>
              <w:rPr>
                <w:rFonts w:ascii="Times New Roman" w:hAnsi="Times New Roman"/>
                <w:color w:val="000000"/>
                <w:kern w:val="0"/>
                <w:sz w:val="16"/>
                <w:szCs w:val="16"/>
                <w:lang w:bidi="ar"/>
              </w:rPr>
              <w:br/>
              <w:t>0.029</w:t>
            </w:r>
          </w:p>
        </w:tc>
        <w:tc>
          <w:tcPr>
            <w:tcW w:w="620" w:type="dxa"/>
            <w:tcBorders>
              <w:top w:val="nil"/>
              <w:left w:val="nil"/>
              <w:bottom w:val="nil"/>
              <w:right w:val="nil"/>
            </w:tcBorders>
            <w:shd w:val="clear" w:color="auto" w:fill="auto"/>
            <w:textDirection w:val="btLr"/>
            <w:vAlign w:val="center"/>
          </w:tcPr>
          <w:p w14:paraId="63AE1969"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0.25(0.05,0.44)</w:t>
            </w:r>
            <w:r>
              <w:rPr>
                <w:rFonts w:ascii="Times New Roman" w:hAnsi="Times New Roman"/>
                <w:color w:val="000000"/>
                <w:kern w:val="0"/>
                <w:sz w:val="16"/>
                <w:szCs w:val="16"/>
                <w:lang w:bidi="ar"/>
              </w:rPr>
              <w:br/>
              <w:t>0.014</w:t>
            </w:r>
          </w:p>
        </w:tc>
        <w:tc>
          <w:tcPr>
            <w:tcW w:w="620" w:type="dxa"/>
            <w:tcBorders>
              <w:top w:val="nil"/>
              <w:left w:val="nil"/>
              <w:bottom w:val="nil"/>
              <w:right w:val="nil"/>
            </w:tcBorders>
            <w:shd w:val="clear" w:color="auto" w:fill="auto"/>
            <w:textDirection w:val="btLr"/>
            <w:vAlign w:val="center"/>
          </w:tcPr>
          <w:p w14:paraId="2911CDFA"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―0.05(―0.14,0.05)</w:t>
            </w:r>
            <w:r>
              <w:rPr>
                <w:rFonts w:ascii="Times New Roman" w:hAnsi="Times New Roman"/>
                <w:color w:val="000000"/>
                <w:kern w:val="0"/>
                <w:sz w:val="16"/>
                <w:szCs w:val="16"/>
                <w:lang w:bidi="ar"/>
              </w:rPr>
              <w:br/>
              <w:t>0.321</w:t>
            </w:r>
          </w:p>
        </w:tc>
        <w:tc>
          <w:tcPr>
            <w:tcW w:w="620" w:type="dxa"/>
            <w:tcBorders>
              <w:top w:val="nil"/>
              <w:left w:val="nil"/>
              <w:bottom w:val="nil"/>
              <w:right w:val="nil"/>
            </w:tcBorders>
            <w:shd w:val="clear" w:color="auto" w:fill="auto"/>
            <w:textDirection w:val="btLr"/>
            <w:vAlign w:val="center"/>
          </w:tcPr>
          <w:p w14:paraId="2B17BAD3"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0.27(0.04,0.49)</w:t>
            </w:r>
            <w:r>
              <w:rPr>
                <w:rFonts w:ascii="Times New Roman" w:hAnsi="Times New Roman"/>
                <w:color w:val="000000"/>
                <w:kern w:val="0"/>
                <w:sz w:val="16"/>
                <w:szCs w:val="16"/>
                <w:lang w:bidi="ar"/>
              </w:rPr>
              <w:br/>
              <w:t>0.021</w:t>
            </w:r>
          </w:p>
        </w:tc>
        <w:tc>
          <w:tcPr>
            <w:tcW w:w="620" w:type="dxa"/>
            <w:tcBorders>
              <w:top w:val="nil"/>
              <w:left w:val="nil"/>
              <w:bottom w:val="nil"/>
              <w:right w:val="nil"/>
            </w:tcBorders>
            <w:shd w:val="clear" w:color="auto" w:fill="auto"/>
            <w:textDirection w:val="btLr"/>
            <w:vAlign w:val="center"/>
          </w:tcPr>
          <w:p w14:paraId="486703AC"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0.03(0.01,0.04)</w:t>
            </w:r>
            <w:r>
              <w:rPr>
                <w:rFonts w:ascii="Times New Roman" w:hAnsi="Times New Roman"/>
                <w:color w:val="000000"/>
                <w:kern w:val="0"/>
                <w:sz w:val="16"/>
                <w:szCs w:val="16"/>
                <w:lang w:bidi="ar"/>
              </w:rPr>
              <w:br/>
              <w:t>0.000</w:t>
            </w:r>
          </w:p>
        </w:tc>
        <w:tc>
          <w:tcPr>
            <w:tcW w:w="620" w:type="dxa"/>
            <w:tcBorders>
              <w:top w:val="nil"/>
              <w:left w:val="nil"/>
              <w:bottom w:val="nil"/>
              <w:right w:val="nil"/>
            </w:tcBorders>
            <w:shd w:val="clear" w:color="auto" w:fill="auto"/>
            <w:textDirection w:val="btLr"/>
            <w:vAlign w:val="center"/>
          </w:tcPr>
          <w:p w14:paraId="3304C137"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3.81(2.17,5.44)</w:t>
            </w:r>
            <w:r>
              <w:rPr>
                <w:rFonts w:ascii="Times New Roman" w:hAnsi="Times New Roman"/>
                <w:color w:val="000000"/>
                <w:kern w:val="0"/>
                <w:sz w:val="16"/>
                <w:szCs w:val="16"/>
                <w:lang w:bidi="ar"/>
              </w:rPr>
              <w:br/>
              <w:t>0.000</w:t>
            </w:r>
          </w:p>
        </w:tc>
        <w:tc>
          <w:tcPr>
            <w:tcW w:w="620" w:type="dxa"/>
            <w:tcBorders>
              <w:top w:val="nil"/>
              <w:left w:val="nil"/>
              <w:bottom w:val="nil"/>
              <w:right w:val="single" w:sz="4" w:space="0" w:color="auto"/>
            </w:tcBorders>
            <w:shd w:val="clear" w:color="auto" w:fill="auto"/>
            <w:textDirection w:val="btLr"/>
            <w:vAlign w:val="center"/>
          </w:tcPr>
          <w:p w14:paraId="58752BC1"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0.01(―0.01,0.03)</w:t>
            </w:r>
            <w:r>
              <w:rPr>
                <w:rFonts w:ascii="Times New Roman" w:hAnsi="Times New Roman"/>
                <w:color w:val="000000"/>
                <w:kern w:val="0"/>
                <w:sz w:val="16"/>
                <w:szCs w:val="16"/>
                <w:lang w:bidi="ar"/>
              </w:rPr>
              <w:br/>
              <w:t>0.145</w:t>
            </w:r>
          </w:p>
        </w:tc>
      </w:tr>
      <w:tr w:rsidR="0072369B" w14:paraId="3543405F" w14:textId="77777777">
        <w:trPr>
          <w:trHeight w:val="1930"/>
        </w:trPr>
        <w:tc>
          <w:tcPr>
            <w:tcW w:w="960" w:type="dxa"/>
            <w:vMerge/>
            <w:tcBorders>
              <w:top w:val="nil"/>
              <w:left w:val="nil"/>
              <w:bottom w:val="nil"/>
              <w:right w:val="nil"/>
            </w:tcBorders>
            <w:shd w:val="clear" w:color="auto" w:fill="auto"/>
            <w:textDirection w:val="btLr"/>
            <w:vAlign w:val="center"/>
          </w:tcPr>
          <w:p w14:paraId="354002FD" w14:textId="77777777" w:rsidR="0072369B" w:rsidRDefault="0072369B">
            <w:pPr>
              <w:rPr>
                <w:rFonts w:ascii="Times New Roman" w:hAnsi="Times New Roman"/>
                <w:color w:val="000000"/>
                <w:sz w:val="16"/>
                <w:szCs w:val="16"/>
              </w:rPr>
            </w:pPr>
          </w:p>
        </w:tc>
        <w:tc>
          <w:tcPr>
            <w:tcW w:w="620" w:type="dxa"/>
            <w:vMerge/>
            <w:tcBorders>
              <w:top w:val="nil"/>
              <w:left w:val="single" w:sz="4" w:space="0" w:color="auto"/>
              <w:bottom w:val="nil"/>
              <w:right w:val="nil"/>
            </w:tcBorders>
            <w:shd w:val="clear" w:color="auto" w:fill="auto"/>
            <w:noWrap/>
            <w:textDirection w:val="btLr"/>
            <w:vAlign w:val="center"/>
          </w:tcPr>
          <w:p w14:paraId="73BF6B2A" w14:textId="77777777" w:rsidR="0072369B" w:rsidRDefault="0072369B">
            <w:pPr>
              <w:jc w:val="center"/>
              <w:rPr>
                <w:rFonts w:ascii="Times New Roman" w:hAnsi="Times New Roman"/>
                <w:color w:val="000000"/>
                <w:sz w:val="16"/>
                <w:szCs w:val="16"/>
              </w:rPr>
            </w:pPr>
          </w:p>
        </w:tc>
        <w:tc>
          <w:tcPr>
            <w:tcW w:w="0" w:type="auto"/>
            <w:tcBorders>
              <w:top w:val="nil"/>
              <w:left w:val="single" w:sz="4" w:space="0" w:color="auto"/>
              <w:bottom w:val="nil"/>
              <w:right w:val="single" w:sz="4" w:space="0" w:color="auto"/>
            </w:tcBorders>
            <w:shd w:val="clear" w:color="auto" w:fill="auto"/>
            <w:noWrap/>
            <w:textDirection w:val="btLr"/>
            <w:vAlign w:val="center"/>
          </w:tcPr>
          <w:p w14:paraId="117F207F"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Traj 3</w:t>
            </w:r>
          </w:p>
        </w:tc>
        <w:tc>
          <w:tcPr>
            <w:tcW w:w="620" w:type="dxa"/>
            <w:vMerge/>
            <w:tcBorders>
              <w:top w:val="nil"/>
              <w:left w:val="nil"/>
              <w:bottom w:val="nil"/>
              <w:right w:val="single" w:sz="4" w:space="0" w:color="auto"/>
            </w:tcBorders>
            <w:shd w:val="clear" w:color="auto" w:fill="auto"/>
            <w:textDirection w:val="btLr"/>
            <w:vAlign w:val="center"/>
          </w:tcPr>
          <w:p w14:paraId="550E73E3" w14:textId="77777777" w:rsidR="0072369B" w:rsidRDefault="0072369B">
            <w:pPr>
              <w:jc w:val="center"/>
              <w:rPr>
                <w:rFonts w:ascii="Times New Roman" w:hAnsi="Times New Roman"/>
                <w:color w:val="000000"/>
                <w:sz w:val="16"/>
                <w:szCs w:val="16"/>
              </w:rPr>
            </w:pPr>
          </w:p>
        </w:tc>
        <w:tc>
          <w:tcPr>
            <w:tcW w:w="620" w:type="dxa"/>
            <w:tcBorders>
              <w:top w:val="nil"/>
              <w:left w:val="nil"/>
              <w:bottom w:val="nil"/>
              <w:right w:val="nil"/>
            </w:tcBorders>
            <w:shd w:val="clear" w:color="auto" w:fill="auto"/>
            <w:textDirection w:val="btLr"/>
            <w:vAlign w:val="center"/>
          </w:tcPr>
          <w:p w14:paraId="2680BDCF"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3.75(1.11,6.39)</w:t>
            </w:r>
            <w:r>
              <w:rPr>
                <w:rFonts w:ascii="Times New Roman" w:hAnsi="Times New Roman"/>
                <w:color w:val="000000"/>
                <w:kern w:val="0"/>
                <w:sz w:val="16"/>
                <w:szCs w:val="16"/>
                <w:lang w:bidi="ar"/>
              </w:rPr>
              <w:br/>
              <w:t>0.005</w:t>
            </w:r>
          </w:p>
        </w:tc>
        <w:tc>
          <w:tcPr>
            <w:tcW w:w="620" w:type="dxa"/>
            <w:tcBorders>
              <w:top w:val="nil"/>
              <w:left w:val="nil"/>
              <w:bottom w:val="nil"/>
              <w:right w:val="nil"/>
            </w:tcBorders>
            <w:shd w:val="clear" w:color="auto" w:fill="auto"/>
            <w:textDirection w:val="btLr"/>
            <w:vAlign w:val="center"/>
          </w:tcPr>
          <w:p w14:paraId="33FE68B8"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3.41(1.37,5.44)</w:t>
            </w:r>
            <w:r>
              <w:rPr>
                <w:rFonts w:ascii="Times New Roman" w:hAnsi="Times New Roman"/>
                <w:color w:val="000000"/>
                <w:kern w:val="0"/>
                <w:sz w:val="16"/>
                <w:szCs w:val="16"/>
                <w:lang w:bidi="ar"/>
              </w:rPr>
              <w:br/>
              <w:t>0.001</w:t>
            </w:r>
          </w:p>
        </w:tc>
        <w:tc>
          <w:tcPr>
            <w:tcW w:w="620" w:type="dxa"/>
            <w:tcBorders>
              <w:top w:val="nil"/>
              <w:left w:val="nil"/>
              <w:bottom w:val="nil"/>
              <w:right w:val="nil"/>
            </w:tcBorders>
            <w:shd w:val="clear" w:color="auto" w:fill="auto"/>
            <w:textDirection w:val="btLr"/>
            <w:vAlign w:val="center"/>
          </w:tcPr>
          <w:p w14:paraId="42042F5D"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0.14(0.03,0.25)</w:t>
            </w:r>
            <w:r>
              <w:rPr>
                <w:rFonts w:ascii="Times New Roman" w:hAnsi="Times New Roman"/>
                <w:color w:val="000000"/>
                <w:kern w:val="0"/>
                <w:sz w:val="16"/>
                <w:szCs w:val="16"/>
                <w:lang w:bidi="ar"/>
              </w:rPr>
              <w:br/>
              <w:t>0.010</w:t>
            </w:r>
          </w:p>
        </w:tc>
        <w:tc>
          <w:tcPr>
            <w:tcW w:w="620" w:type="dxa"/>
            <w:tcBorders>
              <w:top w:val="nil"/>
              <w:left w:val="nil"/>
              <w:bottom w:val="nil"/>
              <w:right w:val="nil"/>
            </w:tcBorders>
            <w:shd w:val="clear" w:color="auto" w:fill="auto"/>
            <w:textDirection w:val="btLr"/>
            <w:vAlign w:val="center"/>
          </w:tcPr>
          <w:p w14:paraId="3599D86E"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0.35(0.21,0.48)</w:t>
            </w:r>
            <w:r>
              <w:rPr>
                <w:rFonts w:ascii="Times New Roman" w:hAnsi="Times New Roman"/>
                <w:color w:val="000000"/>
                <w:kern w:val="0"/>
                <w:sz w:val="16"/>
                <w:szCs w:val="16"/>
                <w:lang w:bidi="ar"/>
              </w:rPr>
              <w:br/>
              <w:t>0.000</w:t>
            </w:r>
          </w:p>
        </w:tc>
        <w:tc>
          <w:tcPr>
            <w:tcW w:w="620" w:type="dxa"/>
            <w:tcBorders>
              <w:top w:val="nil"/>
              <w:left w:val="nil"/>
              <w:bottom w:val="nil"/>
              <w:right w:val="nil"/>
            </w:tcBorders>
            <w:shd w:val="clear" w:color="auto" w:fill="auto"/>
            <w:textDirection w:val="btLr"/>
            <w:vAlign w:val="center"/>
          </w:tcPr>
          <w:p w14:paraId="6A10BF09"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0.40(0.17,0.64)</w:t>
            </w:r>
            <w:r>
              <w:rPr>
                <w:rFonts w:ascii="Times New Roman" w:hAnsi="Times New Roman"/>
                <w:color w:val="000000"/>
                <w:kern w:val="0"/>
                <w:sz w:val="16"/>
                <w:szCs w:val="16"/>
                <w:lang w:bidi="ar"/>
              </w:rPr>
              <w:br/>
              <w:t>0.001</w:t>
            </w:r>
          </w:p>
        </w:tc>
        <w:tc>
          <w:tcPr>
            <w:tcW w:w="620" w:type="dxa"/>
            <w:tcBorders>
              <w:top w:val="nil"/>
              <w:left w:val="nil"/>
              <w:bottom w:val="nil"/>
              <w:right w:val="nil"/>
            </w:tcBorders>
            <w:shd w:val="clear" w:color="auto" w:fill="auto"/>
            <w:textDirection w:val="btLr"/>
            <w:vAlign w:val="center"/>
          </w:tcPr>
          <w:p w14:paraId="1F7DBCA0"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0.38(0.21,0.55)</w:t>
            </w:r>
            <w:r>
              <w:rPr>
                <w:rFonts w:ascii="Times New Roman" w:hAnsi="Times New Roman"/>
                <w:color w:val="000000"/>
                <w:kern w:val="0"/>
                <w:sz w:val="16"/>
                <w:szCs w:val="16"/>
                <w:lang w:bidi="ar"/>
              </w:rPr>
              <w:br/>
              <w:t>0.000</w:t>
            </w:r>
          </w:p>
        </w:tc>
        <w:tc>
          <w:tcPr>
            <w:tcW w:w="620" w:type="dxa"/>
            <w:tcBorders>
              <w:top w:val="nil"/>
              <w:left w:val="nil"/>
              <w:bottom w:val="nil"/>
              <w:right w:val="nil"/>
            </w:tcBorders>
            <w:shd w:val="clear" w:color="auto" w:fill="auto"/>
            <w:textDirection w:val="btLr"/>
            <w:vAlign w:val="center"/>
          </w:tcPr>
          <w:p w14:paraId="35B9FF5F"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―0.14(―0.22,―0.06)</w:t>
            </w:r>
            <w:r>
              <w:rPr>
                <w:rFonts w:ascii="Times New Roman" w:hAnsi="Times New Roman"/>
                <w:color w:val="000000"/>
                <w:kern w:val="0"/>
                <w:sz w:val="16"/>
                <w:szCs w:val="16"/>
                <w:lang w:bidi="ar"/>
              </w:rPr>
              <w:br/>
              <w:t>0.001</w:t>
            </w:r>
          </w:p>
        </w:tc>
        <w:tc>
          <w:tcPr>
            <w:tcW w:w="620" w:type="dxa"/>
            <w:tcBorders>
              <w:top w:val="nil"/>
              <w:left w:val="nil"/>
              <w:bottom w:val="nil"/>
              <w:right w:val="nil"/>
            </w:tcBorders>
            <w:shd w:val="clear" w:color="auto" w:fill="auto"/>
            <w:textDirection w:val="btLr"/>
            <w:vAlign w:val="center"/>
          </w:tcPr>
          <w:p w14:paraId="3B86B0A9"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0.40(0.20,0.59)</w:t>
            </w:r>
            <w:r>
              <w:rPr>
                <w:rFonts w:ascii="Times New Roman" w:hAnsi="Times New Roman"/>
                <w:color w:val="000000"/>
                <w:kern w:val="0"/>
                <w:sz w:val="16"/>
                <w:szCs w:val="16"/>
                <w:lang w:bidi="ar"/>
              </w:rPr>
              <w:br/>
              <w:t>0.000</w:t>
            </w:r>
          </w:p>
        </w:tc>
        <w:tc>
          <w:tcPr>
            <w:tcW w:w="620" w:type="dxa"/>
            <w:tcBorders>
              <w:top w:val="nil"/>
              <w:left w:val="nil"/>
              <w:bottom w:val="nil"/>
              <w:right w:val="nil"/>
            </w:tcBorders>
            <w:shd w:val="clear" w:color="auto" w:fill="auto"/>
            <w:textDirection w:val="btLr"/>
            <w:vAlign w:val="center"/>
          </w:tcPr>
          <w:p w14:paraId="3934125F"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0.01(0.00,0.02)</w:t>
            </w:r>
            <w:r>
              <w:rPr>
                <w:rFonts w:ascii="Times New Roman" w:hAnsi="Times New Roman"/>
                <w:color w:val="000000"/>
                <w:kern w:val="0"/>
                <w:sz w:val="16"/>
                <w:szCs w:val="16"/>
                <w:lang w:bidi="ar"/>
              </w:rPr>
              <w:br/>
              <w:t>0.050</w:t>
            </w:r>
          </w:p>
        </w:tc>
        <w:tc>
          <w:tcPr>
            <w:tcW w:w="620" w:type="dxa"/>
            <w:tcBorders>
              <w:top w:val="nil"/>
              <w:left w:val="nil"/>
              <w:bottom w:val="nil"/>
              <w:right w:val="nil"/>
            </w:tcBorders>
            <w:shd w:val="clear" w:color="auto" w:fill="auto"/>
            <w:textDirection w:val="btLr"/>
            <w:vAlign w:val="center"/>
          </w:tcPr>
          <w:p w14:paraId="1DB18B39"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1.68(0.26,3.10)</w:t>
            </w:r>
            <w:r>
              <w:rPr>
                <w:rFonts w:ascii="Times New Roman" w:hAnsi="Times New Roman"/>
                <w:color w:val="000000"/>
                <w:kern w:val="0"/>
                <w:sz w:val="16"/>
                <w:szCs w:val="16"/>
                <w:lang w:bidi="ar"/>
              </w:rPr>
              <w:br/>
              <w:t>0.021</w:t>
            </w:r>
          </w:p>
        </w:tc>
        <w:tc>
          <w:tcPr>
            <w:tcW w:w="620" w:type="dxa"/>
            <w:tcBorders>
              <w:top w:val="nil"/>
              <w:left w:val="nil"/>
              <w:bottom w:val="nil"/>
              <w:right w:val="single" w:sz="4" w:space="0" w:color="auto"/>
            </w:tcBorders>
            <w:shd w:val="clear" w:color="auto" w:fill="auto"/>
            <w:textDirection w:val="btLr"/>
            <w:vAlign w:val="center"/>
          </w:tcPr>
          <w:p w14:paraId="3F36D2D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0.02(―0.00,0.03)</w:t>
            </w:r>
            <w:r>
              <w:rPr>
                <w:rFonts w:ascii="Times New Roman" w:hAnsi="Times New Roman"/>
                <w:color w:val="000000"/>
                <w:kern w:val="0"/>
                <w:sz w:val="16"/>
                <w:szCs w:val="16"/>
                <w:lang w:bidi="ar"/>
              </w:rPr>
              <w:br/>
              <w:t>0.065</w:t>
            </w:r>
          </w:p>
        </w:tc>
      </w:tr>
      <w:tr w:rsidR="0072369B" w14:paraId="297D3A87" w14:textId="77777777">
        <w:trPr>
          <w:trHeight w:val="1760"/>
        </w:trPr>
        <w:tc>
          <w:tcPr>
            <w:tcW w:w="960" w:type="dxa"/>
            <w:vMerge/>
            <w:tcBorders>
              <w:top w:val="nil"/>
              <w:left w:val="nil"/>
              <w:bottom w:val="nil"/>
              <w:right w:val="nil"/>
            </w:tcBorders>
            <w:shd w:val="clear" w:color="auto" w:fill="auto"/>
            <w:textDirection w:val="btLr"/>
            <w:vAlign w:val="center"/>
          </w:tcPr>
          <w:p w14:paraId="7009542D" w14:textId="77777777" w:rsidR="0072369B" w:rsidRDefault="0072369B">
            <w:pPr>
              <w:rPr>
                <w:rFonts w:ascii="Times New Roman" w:hAnsi="Times New Roman"/>
                <w:color w:val="000000"/>
                <w:sz w:val="16"/>
                <w:szCs w:val="16"/>
              </w:rPr>
            </w:pPr>
          </w:p>
        </w:tc>
        <w:tc>
          <w:tcPr>
            <w:tcW w:w="620" w:type="dxa"/>
            <w:vMerge/>
            <w:tcBorders>
              <w:top w:val="nil"/>
              <w:left w:val="single" w:sz="4" w:space="0" w:color="auto"/>
              <w:bottom w:val="nil"/>
              <w:right w:val="nil"/>
            </w:tcBorders>
            <w:shd w:val="clear" w:color="auto" w:fill="auto"/>
            <w:noWrap/>
            <w:textDirection w:val="btLr"/>
            <w:vAlign w:val="center"/>
          </w:tcPr>
          <w:p w14:paraId="30EF301E" w14:textId="77777777" w:rsidR="0072369B" w:rsidRDefault="0072369B">
            <w:pPr>
              <w:jc w:val="center"/>
              <w:rPr>
                <w:rFonts w:ascii="Times New Roman" w:hAnsi="Times New Roman"/>
                <w:color w:val="000000"/>
                <w:sz w:val="16"/>
                <w:szCs w:val="16"/>
              </w:rPr>
            </w:pPr>
          </w:p>
        </w:tc>
        <w:tc>
          <w:tcPr>
            <w:tcW w:w="0" w:type="auto"/>
            <w:tcBorders>
              <w:top w:val="nil"/>
              <w:left w:val="single" w:sz="4" w:space="0" w:color="auto"/>
              <w:bottom w:val="nil"/>
              <w:right w:val="single" w:sz="4" w:space="0" w:color="auto"/>
            </w:tcBorders>
            <w:shd w:val="clear" w:color="auto" w:fill="auto"/>
            <w:noWrap/>
            <w:textDirection w:val="btLr"/>
            <w:vAlign w:val="center"/>
          </w:tcPr>
          <w:p w14:paraId="6315CCC8"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Traj 2</w:t>
            </w:r>
          </w:p>
        </w:tc>
        <w:tc>
          <w:tcPr>
            <w:tcW w:w="620" w:type="dxa"/>
            <w:vMerge/>
            <w:tcBorders>
              <w:top w:val="nil"/>
              <w:left w:val="nil"/>
              <w:bottom w:val="nil"/>
              <w:right w:val="single" w:sz="4" w:space="0" w:color="auto"/>
            </w:tcBorders>
            <w:shd w:val="clear" w:color="auto" w:fill="auto"/>
            <w:textDirection w:val="btLr"/>
            <w:vAlign w:val="center"/>
          </w:tcPr>
          <w:p w14:paraId="565E0559" w14:textId="77777777" w:rsidR="0072369B" w:rsidRDefault="0072369B">
            <w:pPr>
              <w:jc w:val="center"/>
              <w:rPr>
                <w:rFonts w:ascii="Times New Roman" w:hAnsi="Times New Roman"/>
                <w:color w:val="000000"/>
                <w:sz w:val="16"/>
                <w:szCs w:val="16"/>
              </w:rPr>
            </w:pPr>
          </w:p>
        </w:tc>
        <w:tc>
          <w:tcPr>
            <w:tcW w:w="620" w:type="dxa"/>
            <w:tcBorders>
              <w:top w:val="nil"/>
              <w:left w:val="nil"/>
              <w:bottom w:val="nil"/>
              <w:right w:val="nil"/>
            </w:tcBorders>
            <w:shd w:val="clear" w:color="auto" w:fill="auto"/>
            <w:textDirection w:val="btLr"/>
            <w:vAlign w:val="center"/>
          </w:tcPr>
          <w:p w14:paraId="7000085D"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0.25(―2.56,3.06)</w:t>
            </w:r>
            <w:r>
              <w:rPr>
                <w:rFonts w:ascii="Times New Roman" w:hAnsi="Times New Roman"/>
                <w:color w:val="000000"/>
                <w:kern w:val="0"/>
                <w:sz w:val="16"/>
                <w:szCs w:val="16"/>
                <w:lang w:bidi="ar"/>
              </w:rPr>
              <w:br/>
              <w:t>0.861</w:t>
            </w:r>
          </w:p>
        </w:tc>
        <w:tc>
          <w:tcPr>
            <w:tcW w:w="620" w:type="dxa"/>
            <w:tcBorders>
              <w:top w:val="nil"/>
              <w:left w:val="nil"/>
              <w:bottom w:val="nil"/>
              <w:right w:val="nil"/>
            </w:tcBorders>
            <w:shd w:val="clear" w:color="auto" w:fill="auto"/>
            <w:textDirection w:val="btLr"/>
            <w:vAlign w:val="center"/>
          </w:tcPr>
          <w:p w14:paraId="4C4DBA3E"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0.64(―1.53,2.80)</w:t>
            </w:r>
            <w:r>
              <w:rPr>
                <w:rFonts w:ascii="Times New Roman" w:hAnsi="Times New Roman"/>
                <w:color w:val="000000"/>
                <w:kern w:val="0"/>
                <w:sz w:val="16"/>
                <w:szCs w:val="16"/>
                <w:lang w:bidi="ar"/>
              </w:rPr>
              <w:br/>
              <w:t>0.564</w:t>
            </w:r>
          </w:p>
        </w:tc>
        <w:tc>
          <w:tcPr>
            <w:tcW w:w="620" w:type="dxa"/>
            <w:tcBorders>
              <w:top w:val="nil"/>
              <w:left w:val="nil"/>
              <w:bottom w:val="nil"/>
              <w:right w:val="nil"/>
            </w:tcBorders>
            <w:shd w:val="clear" w:color="auto" w:fill="auto"/>
            <w:textDirection w:val="btLr"/>
            <w:vAlign w:val="center"/>
          </w:tcPr>
          <w:p w14:paraId="5CEEAA13"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0.09(―0.02,0.20)</w:t>
            </w:r>
            <w:r>
              <w:rPr>
                <w:rFonts w:ascii="Times New Roman" w:hAnsi="Times New Roman"/>
                <w:color w:val="000000"/>
                <w:kern w:val="0"/>
                <w:sz w:val="16"/>
                <w:szCs w:val="16"/>
                <w:lang w:bidi="ar"/>
              </w:rPr>
              <w:br/>
              <w:t>0.111</w:t>
            </w:r>
          </w:p>
        </w:tc>
        <w:tc>
          <w:tcPr>
            <w:tcW w:w="620" w:type="dxa"/>
            <w:tcBorders>
              <w:top w:val="nil"/>
              <w:left w:val="nil"/>
              <w:bottom w:val="nil"/>
              <w:right w:val="nil"/>
            </w:tcBorders>
            <w:shd w:val="clear" w:color="auto" w:fill="auto"/>
            <w:textDirection w:val="btLr"/>
            <w:vAlign w:val="center"/>
          </w:tcPr>
          <w:p w14:paraId="4AFF74AB"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0.15(0.01,0.30)</w:t>
            </w:r>
            <w:r>
              <w:rPr>
                <w:rFonts w:ascii="Times New Roman" w:hAnsi="Times New Roman"/>
                <w:color w:val="000000"/>
                <w:kern w:val="0"/>
                <w:sz w:val="16"/>
                <w:szCs w:val="16"/>
                <w:lang w:bidi="ar"/>
              </w:rPr>
              <w:br/>
              <w:t>0.034</w:t>
            </w:r>
          </w:p>
        </w:tc>
        <w:tc>
          <w:tcPr>
            <w:tcW w:w="620" w:type="dxa"/>
            <w:tcBorders>
              <w:top w:val="nil"/>
              <w:left w:val="nil"/>
              <w:bottom w:val="nil"/>
              <w:right w:val="nil"/>
            </w:tcBorders>
            <w:shd w:val="clear" w:color="auto" w:fill="auto"/>
            <w:textDirection w:val="btLr"/>
            <w:vAlign w:val="center"/>
          </w:tcPr>
          <w:p w14:paraId="452B8ED3"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―0.01(―0.25,0.24)</w:t>
            </w:r>
            <w:r>
              <w:rPr>
                <w:rFonts w:ascii="Times New Roman" w:hAnsi="Times New Roman"/>
                <w:color w:val="000000"/>
                <w:kern w:val="0"/>
                <w:sz w:val="16"/>
                <w:szCs w:val="16"/>
                <w:lang w:bidi="ar"/>
              </w:rPr>
              <w:br/>
              <w:t>0.959</w:t>
            </w:r>
          </w:p>
        </w:tc>
        <w:tc>
          <w:tcPr>
            <w:tcW w:w="620" w:type="dxa"/>
            <w:tcBorders>
              <w:top w:val="nil"/>
              <w:left w:val="nil"/>
              <w:bottom w:val="nil"/>
              <w:right w:val="nil"/>
            </w:tcBorders>
            <w:shd w:val="clear" w:color="auto" w:fill="auto"/>
            <w:textDirection w:val="btLr"/>
            <w:vAlign w:val="center"/>
          </w:tcPr>
          <w:p w14:paraId="3313122A"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0.10(―0.08,0.28)</w:t>
            </w:r>
            <w:r>
              <w:rPr>
                <w:rFonts w:ascii="Times New Roman" w:hAnsi="Times New Roman"/>
                <w:color w:val="000000"/>
                <w:kern w:val="0"/>
                <w:sz w:val="16"/>
                <w:szCs w:val="16"/>
                <w:lang w:bidi="ar"/>
              </w:rPr>
              <w:br/>
              <w:t>0.268</w:t>
            </w:r>
          </w:p>
        </w:tc>
        <w:tc>
          <w:tcPr>
            <w:tcW w:w="620" w:type="dxa"/>
            <w:tcBorders>
              <w:top w:val="nil"/>
              <w:left w:val="nil"/>
              <w:bottom w:val="nil"/>
              <w:right w:val="nil"/>
            </w:tcBorders>
            <w:shd w:val="clear" w:color="auto" w:fill="auto"/>
            <w:textDirection w:val="btLr"/>
            <w:vAlign w:val="center"/>
          </w:tcPr>
          <w:p w14:paraId="7DACA31B"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―0.07(―0.16,0.01)</w:t>
            </w:r>
            <w:r>
              <w:rPr>
                <w:rFonts w:ascii="Times New Roman" w:hAnsi="Times New Roman"/>
                <w:color w:val="000000"/>
                <w:kern w:val="0"/>
                <w:sz w:val="16"/>
                <w:szCs w:val="16"/>
                <w:lang w:bidi="ar"/>
              </w:rPr>
              <w:br/>
              <w:t>0.095</w:t>
            </w:r>
          </w:p>
        </w:tc>
        <w:tc>
          <w:tcPr>
            <w:tcW w:w="620" w:type="dxa"/>
            <w:tcBorders>
              <w:top w:val="nil"/>
              <w:left w:val="nil"/>
              <w:bottom w:val="nil"/>
              <w:right w:val="nil"/>
            </w:tcBorders>
            <w:shd w:val="clear" w:color="auto" w:fill="auto"/>
            <w:textDirection w:val="btLr"/>
            <w:vAlign w:val="center"/>
          </w:tcPr>
          <w:p w14:paraId="62FA3872"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0.08(―0.12,0.29)</w:t>
            </w:r>
            <w:r>
              <w:rPr>
                <w:rFonts w:ascii="Times New Roman" w:hAnsi="Times New Roman"/>
                <w:color w:val="000000"/>
                <w:kern w:val="0"/>
                <w:sz w:val="16"/>
                <w:szCs w:val="16"/>
                <w:lang w:bidi="ar"/>
              </w:rPr>
              <w:br/>
              <w:t>0.433</w:t>
            </w:r>
          </w:p>
        </w:tc>
        <w:tc>
          <w:tcPr>
            <w:tcW w:w="620" w:type="dxa"/>
            <w:tcBorders>
              <w:top w:val="nil"/>
              <w:left w:val="nil"/>
              <w:bottom w:val="nil"/>
              <w:right w:val="nil"/>
            </w:tcBorders>
            <w:shd w:val="clear" w:color="auto" w:fill="auto"/>
            <w:textDirection w:val="btLr"/>
            <w:vAlign w:val="center"/>
          </w:tcPr>
          <w:p w14:paraId="34544E2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0.01(―0.01,0.02)</w:t>
            </w:r>
            <w:r>
              <w:rPr>
                <w:rFonts w:ascii="Times New Roman" w:hAnsi="Times New Roman"/>
                <w:color w:val="000000"/>
                <w:kern w:val="0"/>
                <w:sz w:val="16"/>
                <w:szCs w:val="16"/>
                <w:lang w:bidi="ar"/>
              </w:rPr>
              <w:br/>
              <w:t>0.334</w:t>
            </w:r>
          </w:p>
        </w:tc>
        <w:tc>
          <w:tcPr>
            <w:tcW w:w="620" w:type="dxa"/>
            <w:tcBorders>
              <w:top w:val="nil"/>
              <w:left w:val="nil"/>
              <w:bottom w:val="nil"/>
              <w:right w:val="nil"/>
            </w:tcBorders>
            <w:shd w:val="clear" w:color="auto" w:fill="auto"/>
            <w:textDirection w:val="btLr"/>
            <w:vAlign w:val="center"/>
          </w:tcPr>
          <w:p w14:paraId="2146CE64"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0.92(―0.59,2.42)</w:t>
            </w:r>
            <w:r>
              <w:rPr>
                <w:rFonts w:ascii="Times New Roman" w:hAnsi="Times New Roman"/>
                <w:color w:val="000000"/>
                <w:kern w:val="0"/>
                <w:sz w:val="16"/>
                <w:szCs w:val="16"/>
                <w:lang w:bidi="ar"/>
              </w:rPr>
              <w:br/>
              <w:t>0.232</w:t>
            </w:r>
          </w:p>
        </w:tc>
        <w:tc>
          <w:tcPr>
            <w:tcW w:w="620" w:type="dxa"/>
            <w:tcBorders>
              <w:top w:val="nil"/>
              <w:left w:val="nil"/>
              <w:bottom w:val="nil"/>
              <w:right w:val="single" w:sz="4" w:space="0" w:color="auto"/>
            </w:tcBorders>
            <w:shd w:val="clear" w:color="auto" w:fill="auto"/>
            <w:textDirection w:val="btLr"/>
            <w:vAlign w:val="center"/>
          </w:tcPr>
          <w:p w14:paraId="346889DA"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―0.01(―0.02,0.01)</w:t>
            </w:r>
            <w:r>
              <w:rPr>
                <w:rFonts w:ascii="Times New Roman" w:hAnsi="Times New Roman"/>
                <w:color w:val="000000"/>
                <w:kern w:val="0"/>
                <w:sz w:val="16"/>
                <w:szCs w:val="16"/>
                <w:lang w:bidi="ar"/>
              </w:rPr>
              <w:br/>
              <w:t>0.499</w:t>
            </w:r>
          </w:p>
        </w:tc>
      </w:tr>
      <w:tr w:rsidR="0072369B" w14:paraId="5E11CA34" w14:textId="77777777">
        <w:trPr>
          <w:trHeight w:val="1760"/>
        </w:trPr>
        <w:tc>
          <w:tcPr>
            <w:tcW w:w="960" w:type="dxa"/>
            <w:vMerge/>
            <w:tcBorders>
              <w:top w:val="nil"/>
              <w:left w:val="nil"/>
              <w:bottom w:val="nil"/>
              <w:right w:val="nil"/>
            </w:tcBorders>
            <w:shd w:val="clear" w:color="auto" w:fill="auto"/>
            <w:textDirection w:val="btLr"/>
            <w:vAlign w:val="center"/>
          </w:tcPr>
          <w:p w14:paraId="443B07B6" w14:textId="77777777" w:rsidR="0072369B" w:rsidRDefault="0072369B">
            <w:pPr>
              <w:rPr>
                <w:rFonts w:ascii="Times New Roman" w:hAnsi="Times New Roman"/>
                <w:color w:val="000000"/>
                <w:sz w:val="16"/>
                <w:szCs w:val="16"/>
              </w:rPr>
            </w:pPr>
          </w:p>
        </w:tc>
        <w:tc>
          <w:tcPr>
            <w:tcW w:w="620" w:type="dxa"/>
            <w:vMerge/>
            <w:tcBorders>
              <w:top w:val="nil"/>
              <w:left w:val="single" w:sz="4" w:space="0" w:color="auto"/>
              <w:bottom w:val="nil"/>
              <w:right w:val="nil"/>
            </w:tcBorders>
            <w:shd w:val="clear" w:color="auto" w:fill="auto"/>
            <w:noWrap/>
            <w:textDirection w:val="btLr"/>
            <w:vAlign w:val="center"/>
          </w:tcPr>
          <w:p w14:paraId="27A3B393" w14:textId="77777777" w:rsidR="0072369B" w:rsidRDefault="0072369B">
            <w:pPr>
              <w:jc w:val="center"/>
              <w:rPr>
                <w:rFonts w:ascii="Times New Roman" w:hAnsi="Times New Roman"/>
                <w:color w:val="000000"/>
                <w:sz w:val="16"/>
                <w:szCs w:val="16"/>
              </w:rPr>
            </w:pPr>
          </w:p>
        </w:tc>
        <w:tc>
          <w:tcPr>
            <w:tcW w:w="0" w:type="auto"/>
            <w:tcBorders>
              <w:top w:val="nil"/>
              <w:left w:val="single" w:sz="4" w:space="0" w:color="auto"/>
              <w:bottom w:val="nil"/>
              <w:right w:val="single" w:sz="4" w:space="0" w:color="auto"/>
            </w:tcBorders>
            <w:shd w:val="clear" w:color="auto" w:fill="auto"/>
            <w:noWrap/>
            <w:textDirection w:val="btLr"/>
            <w:vAlign w:val="center"/>
          </w:tcPr>
          <w:p w14:paraId="4E2CDBCD"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Traj 1</w:t>
            </w:r>
          </w:p>
        </w:tc>
        <w:tc>
          <w:tcPr>
            <w:tcW w:w="620" w:type="dxa"/>
            <w:vMerge/>
            <w:tcBorders>
              <w:top w:val="nil"/>
              <w:left w:val="nil"/>
              <w:bottom w:val="nil"/>
              <w:right w:val="single" w:sz="4" w:space="0" w:color="auto"/>
            </w:tcBorders>
            <w:shd w:val="clear" w:color="auto" w:fill="auto"/>
            <w:textDirection w:val="btLr"/>
            <w:vAlign w:val="center"/>
          </w:tcPr>
          <w:p w14:paraId="29F939AA" w14:textId="77777777" w:rsidR="0072369B" w:rsidRDefault="0072369B">
            <w:pPr>
              <w:jc w:val="center"/>
              <w:rPr>
                <w:rFonts w:ascii="Times New Roman" w:hAnsi="Times New Roman"/>
                <w:color w:val="000000"/>
                <w:sz w:val="16"/>
                <w:szCs w:val="16"/>
              </w:rPr>
            </w:pPr>
          </w:p>
        </w:tc>
        <w:tc>
          <w:tcPr>
            <w:tcW w:w="620" w:type="dxa"/>
            <w:tcBorders>
              <w:top w:val="nil"/>
              <w:left w:val="nil"/>
              <w:bottom w:val="nil"/>
              <w:right w:val="nil"/>
            </w:tcBorders>
            <w:shd w:val="clear" w:color="auto" w:fill="auto"/>
            <w:textDirection w:val="btLr"/>
            <w:vAlign w:val="center"/>
          </w:tcPr>
          <w:p w14:paraId="592601B4"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3.80(―1.72,9.33)</w:t>
            </w:r>
            <w:r>
              <w:rPr>
                <w:rFonts w:ascii="Times New Roman" w:hAnsi="Times New Roman"/>
                <w:color w:val="000000"/>
                <w:kern w:val="0"/>
                <w:sz w:val="16"/>
                <w:szCs w:val="16"/>
                <w:lang w:bidi="ar"/>
              </w:rPr>
              <w:br/>
              <w:t>0.177</w:t>
            </w:r>
          </w:p>
        </w:tc>
        <w:tc>
          <w:tcPr>
            <w:tcW w:w="620" w:type="dxa"/>
            <w:tcBorders>
              <w:top w:val="nil"/>
              <w:left w:val="nil"/>
              <w:bottom w:val="nil"/>
              <w:right w:val="nil"/>
            </w:tcBorders>
            <w:shd w:val="clear" w:color="auto" w:fill="auto"/>
            <w:textDirection w:val="btLr"/>
            <w:vAlign w:val="center"/>
          </w:tcPr>
          <w:p w14:paraId="221C3327"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2.08(―2.18,6.33)</w:t>
            </w:r>
            <w:r>
              <w:rPr>
                <w:rFonts w:ascii="Times New Roman" w:hAnsi="Times New Roman"/>
                <w:color w:val="000000"/>
                <w:kern w:val="0"/>
                <w:sz w:val="16"/>
                <w:szCs w:val="16"/>
                <w:lang w:bidi="ar"/>
              </w:rPr>
              <w:br/>
              <w:t>0.338</w:t>
            </w:r>
          </w:p>
        </w:tc>
        <w:tc>
          <w:tcPr>
            <w:tcW w:w="620" w:type="dxa"/>
            <w:tcBorders>
              <w:top w:val="nil"/>
              <w:left w:val="nil"/>
              <w:bottom w:val="nil"/>
              <w:right w:val="nil"/>
            </w:tcBorders>
            <w:shd w:val="clear" w:color="auto" w:fill="auto"/>
            <w:textDirection w:val="btLr"/>
            <w:vAlign w:val="center"/>
          </w:tcPr>
          <w:p w14:paraId="2EE33410"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0.03(―0.19,0.24)</w:t>
            </w:r>
            <w:r>
              <w:rPr>
                <w:rFonts w:ascii="Times New Roman" w:hAnsi="Times New Roman"/>
                <w:color w:val="000000"/>
                <w:kern w:val="0"/>
                <w:sz w:val="16"/>
                <w:szCs w:val="16"/>
                <w:lang w:bidi="ar"/>
              </w:rPr>
              <w:br/>
              <w:t>0.816</w:t>
            </w:r>
          </w:p>
        </w:tc>
        <w:tc>
          <w:tcPr>
            <w:tcW w:w="620" w:type="dxa"/>
            <w:tcBorders>
              <w:top w:val="nil"/>
              <w:left w:val="nil"/>
              <w:bottom w:val="nil"/>
              <w:right w:val="nil"/>
            </w:tcBorders>
            <w:shd w:val="clear" w:color="auto" w:fill="auto"/>
            <w:textDirection w:val="btLr"/>
            <w:vAlign w:val="center"/>
          </w:tcPr>
          <w:p w14:paraId="5D511BEF"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0.07(―0.21,0.35)</w:t>
            </w:r>
            <w:r>
              <w:rPr>
                <w:rFonts w:ascii="Times New Roman" w:hAnsi="Times New Roman"/>
                <w:color w:val="000000"/>
                <w:kern w:val="0"/>
                <w:sz w:val="16"/>
                <w:szCs w:val="16"/>
                <w:lang w:bidi="ar"/>
              </w:rPr>
              <w:br/>
              <w:t>0.608</w:t>
            </w:r>
          </w:p>
        </w:tc>
        <w:tc>
          <w:tcPr>
            <w:tcW w:w="620" w:type="dxa"/>
            <w:tcBorders>
              <w:top w:val="nil"/>
              <w:left w:val="nil"/>
              <w:bottom w:val="nil"/>
              <w:right w:val="nil"/>
            </w:tcBorders>
            <w:shd w:val="clear" w:color="auto" w:fill="auto"/>
            <w:textDirection w:val="btLr"/>
            <w:vAlign w:val="center"/>
          </w:tcPr>
          <w:p w14:paraId="0BA97CAA"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0.31(―0.16,0.77)</w:t>
            </w:r>
            <w:r>
              <w:rPr>
                <w:rFonts w:ascii="Times New Roman" w:hAnsi="Times New Roman"/>
                <w:color w:val="000000"/>
                <w:kern w:val="0"/>
                <w:sz w:val="16"/>
                <w:szCs w:val="16"/>
                <w:lang w:bidi="ar"/>
              </w:rPr>
              <w:br/>
              <w:t>0.198</w:t>
            </w:r>
          </w:p>
        </w:tc>
        <w:tc>
          <w:tcPr>
            <w:tcW w:w="620" w:type="dxa"/>
            <w:tcBorders>
              <w:top w:val="nil"/>
              <w:left w:val="nil"/>
              <w:bottom w:val="nil"/>
              <w:right w:val="nil"/>
            </w:tcBorders>
            <w:shd w:val="clear" w:color="auto" w:fill="auto"/>
            <w:textDirection w:val="btLr"/>
            <w:vAlign w:val="center"/>
          </w:tcPr>
          <w:p w14:paraId="00203B43"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0.23(―0.12,0.58)</w:t>
            </w:r>
            <w:r>
              <w:rPr>
                <w:rFonts w:ascii="Times New Roman" w:hAnsi="Times New Roman"/>
                <w:color w:val="000000"/>
                <w:kern w:val="0"/>
                <w:sz w:val="16"/>
                <w:szCs w:val="16"/>
                <w:lang w:bidi="ar"/>
              </w:rPr>
              <w:br/>
              <w:t>0.198</w:t>
            </w:r>
          </w:p>
        </w:tc>
        <w:tc>
          <w:tcPr>
            <w:tcW w:w="620" w:type="dxa"/>
            <w:tcBorders>
              <w:top w:val="nil"/>
              <w:left w:val="nil"/>
              <w:bottom w:val="nil"/>
              <w:right w:val="nil"/>
            </w:tcBorders>
            <w:shd w:val="clear" w:color="auto" w:fill="auto"/>
            <w:textDirection w:val="btLr"/>
            <w:vAlign w:val="center"/>
          </w:tcPr>
          <w:p w14:paraId="6F8E20F9"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―0.05(―0.21,0.11)</w:t>
            </w:r>
            <w:r>
              <w:rPr>
                <w:rFonts w:ascii="Times New Roman" w:hAnsi="Times New Roman"/>
                <w:color w:val="000000"/>
                <w:kern w:val="0"/>
                <w:sz w:val="16"/>
                <w:szCs w:val="16"/>
                <w:lang w:bidi="ar"/>
              </w:rPr>
              <w:br/>
              <w:t>0.549</w:t>
            </w:r>
          </w:p>
        </w:tc>
        <w:tc>
          <w:tcPr>
            <w:tcW w:w="620" w:type="dxa"/>
            <w:tcBorders>
              <w:top w:val="nil"/>
              <w:left w:val="nil"/>
              <w:bottom w:val="nil"/>
              <w:right w:val="nil"/>
            </w:tcBorders>
            <w:shd w:val="clear" w:color="auto" w:fill="auto"/>
            <w:textDirection w:val="btLr"/>
            <w:vAlign w:val="center"/>
          </w:tcPr>
          <w:p w14:paraId="3A93F409"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0.26(―0.13,0.66)</w:t>
            </w:r>
            <w:r>
              <w:rPr>
                <w:rFonts w:ascii="Times New Roman" w:hAnsi="Times New Roman"/>
                <w:color w:val="000000"/>
                <w:kern w:val="0"/>
                <w:sz w:val="16"/>
                <w:szCs w:val="16"/>
                <w:lang w:bidi="ar"/>
              </w:rPr>
              <w:br/>
              <w:t>0.194</w:t>
            </w:r>
          </w:p>
        </w:tc>
        <w:tc>
          <w:tcPr>
            <w:tcW w:w="620" w:type="dxa"/>
            <w:tcBorders>
              <w:top w:val="nil"/>
              <w:left w:val="nil"/>
              <w:bottom w:val="nil"/>
              <w:right w:val="nil"/>
            </w:tcBorders>
            <w:shd w:val="clear" w:color="auto" w:fill="auto"/>
            <w:textDirection w:val="btLr"/>
            <w:vAlign w:val="center"/>
          </w:tcPr>
          <w:p w14:paraId="5905BDA2"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0.02(―0.01,0.04)</w:t>
            </w:r>
            <w:r>
              <w:rPr>
                <w:rFonts w:ascii="Times New Roman" w:hAnsi="Times New Roman"/>
                <w:color w:val="000000"/>
                <w:kern w:val="0"/>
                <w:sz w:val="16"/>
                <w:szCs w:val="16"/>
                <w:lang w:bidi="ar"/>
              </w:rPr>
              <w:br/>
              <w:t>0.190</w:t>
            </w:r>
          </w:p>
        </w:tc>
        <w:tc>
          <w:tcPr>
            <w:tcW w:w="620" w:type="dxa"/>
            <w:tcBorders>
              <w:top w:val="nil"/>
              <w:left w:val="nil"/>
              <w:bottom w:val="nil"/>
              <w:right w:val="nil"/>
            </w:tcBorders>
            <w:shd w:val="clear" w:color="auto" w:fill="auto"/>
            <w:textDirection w:val="btLr"/>
            <w:vAlign w:val="center"/>
          </w:tcPr>
          <w:p w14:paraId="4C48CAD0"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2.78(―0.19,5.74)</w:t>
            </w:r>
            <w:r>
              <w:rPr>
                <w:rFonts w:ascii="Times New Roman" w:hAnsi="Times New Roman"/>
                <w:color w:val="000000"/>
                <w:kern w:val="0"/>
                <w:sz w:val="16"/>
                <w:szCs w:val="16"/>
                <w:lang w:bidi="ar"/>
              </w:rPr>
              <w:br/>
              <w:t>0.067</w:t>
            </w:r>
          </w:p>
        </w:tc>
        <w:tc>
          <w:tcPr>
            <w:tcW w:w="620" w:type="dxa"/>
            <w:tcBorders>
              <w:top w:val="nil"/>
              <w:left w:val="nil"/>
              <w:bottom w:val="nil"/>
              <w:right w:val="single" w:sz="4" w:space="0" w:color="auto"/>
            </w:tcBorders>
            <w:shd w:val="clear" w:color="auto" w:fill="auto"/>
            <w:textDirection w:val="btLr"/>
            <w:vAlign w:val="center"/>
          </w:tcPr>
          <w:p w14:paraId="1F997B09"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―0.01(―0.05,0.02)</w:t>
            </w:r>
            <w:r>
              <w:rPr>
                <w:rFonts w:ascii="Times New Roman" w:hAnsi="Times New Roman"/>
                <w:color w:val="000000"/>
                <w:kern w:val="0"/>
                <w:sz w:val="16"/>
                <w:szCs w:val="16"/>
                <w:lang w:bidi="ar"/>
              </w:rPr>
              <w:br/>
              <w:t>0.477</w:t>
            </w:r>
          </w:p>
        </w:tc>
      </w:tr>
      <w:tr w:rsidR="0072369B" w14:paraId="35B1E79C" w14:textId="77777777">
        <w:trPr>
          <w:trHeight w:val="260"/>
        </w:trPr>
        <w:tc>
          <w:tcPr>
            <w:tcW w:w="960" w:type="dxa"/>
            <w:vMerge/>
            <w:tcBorders>
              <w:top w:val="nil"/>
              <w:left w:val="nil"/>
              <w:bottom w:val="nil"/>
              <w:right w:val="nil"/>
            </w:tcBorders>
            <w:shd w:val="clear" w:color="auto" w:fill="auto"/>
            <w:textDirection w:val="btLr"/>
            <w:vAlign w:val="center"/>
          </w:tcPr>
          <w:p w14:paraId="6B872719" w14:textId="77777777" w:rsidR="0072369B" w:rsidRDefault="0072369B">
            <w:pPr>
              <w:rPr>
                <w:rFonts w:ascii="Times New Roman" w:hAnsi="Times New Roman"/>
                <w:color w:val="000000"/>
                <w:sz w:val="16"/>
                <w:szCs w:val="16"/>
              </w:rPr>
            </w:pPr>
          </w:p>
        </w:tc>
        <w:tc>
          <w:tcPr>
            <w:tcW w:w="0" w:type="auto"/>
            <w:tcBorders>
              <w:top w:val="nil"/>
              <w:left w:val="single" w:sz="4" w:space="0" w:color="auto"/>
              <w:bottom w:val="nil"/>
              <w:right w:val="nil"/>
            </w:tcBorders>
            <w:shd w:val="clear" w:color="auto" w:fill="auto"/>
            <w:noWrap/>
            <w:vAlign w:val="center"/>
          </w:tcPr>
          <w:p w14:paraId="3AF3CDBD" w14:textId="77777777" w:rsidR="0072369B" w:rsidRDefault="0072369B">
            <w:pPr>
              <w:widowControl/>
              <w:jc w:val="center"/>
              <w:textAlignment w:val="cente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3628959E"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4E008C97" w14:textId="77777777" w:rsidR="0072369B" w:rsidRDefault="0072369B">
            <w:pPr>
              <w:jc w:val="cente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061E4D8F"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53920C1D"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24E791F9"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62D7C456"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0A941101"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6D5D0D35"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25D08CC9"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4CB5CF77"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75E4D6E7"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6715517A" w14:textId="77777777" w:rsidR="0072369B" w:rsidRDefault="0072369B">
            <w:pPr>
              <w:rPr>
                <w:rFonts w:ascii="Times New Roman" w:hAnsi="Times New Roman"/>
                <w:color w:val="000000"/>
                <w:sz w:val="16"/>
                <w:szCs w:val="16"/>
              </w:rPr>
            </w:pPr>
          </w:p>
        </w:tc>
        <w:tc>
          <w:tcPr>
            <w:tcW w:w="0" w:type="auto"/>
            <w:tcBorders>
              <w:top w:val="nil"/>
              <w:left w:val="nil"/>
              <w:bottom w:val="nil"/>
              <w:right w:val="single" w:sz="4" w:space="0" w:color="auto"/>
            </w:tcBorders>
            <w:shd w:val="clear" w:color="auto" w:fill="auto"/>
            <w:noWrap/>
            <w:vAlign w:val="center"/>
          </w:tcPr>
          <w:p w14:paraId="37E3B560"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 xml:space="preserve">　</w:t>
            </w:r>
          </w:p>
        </w:tc>
      </w:tr>
      <w:tr w:rsidR="0072369B" w14:paraId="6B696C44" w14:textId="77777777">
        <w:trPr>
          <w:trHeight w:val="1760"/>
        </w:trPr>
        <w:tc>
          <w:tcPr>
            <w:tcW w:w="960" w:type="dxa"/>
            <w:vMerge/>
            <w:tcBorders>
              <w:top w:val="nil"/>
              <w:left w:val="nil"/>
              <w:bottom w:val="nil"/>
              <w:right w:val="nil"/>
            </w:tcBorders>
            <w:shd w:val="clear" w:color="auto" w:fill="auto"/>
            <w:textDirection w:val="btLr"/>
            <w:vAlign w:val="center"/>
          </w:tcPr>
          <w:p w14:paraId="050F2D4F" w14:textId="77777777" w:rsidR="0072369B" w:rsidRDefault="0072369B">
            <w:pPr>
              <w:rPr>
                <w:rFonts w:ascii="Times New Roman" w:hAnsi="Times New Roman"/>
                <w:color w:val="000000"/>
                <w:sz w:val="16"/>
                <w:szCs w:val="16"/>
              </w:rPr>
            </w:pPr>
          </w:p>
        </w:tc>
        <w:tc>
          <w:tcPr>
            <w:tcW w:w="0" w:type="auto"/>
            <w:vMerge w:val="restart"/>
            <w:tcBorders>
              <w:top w:val="nil"/>
              <w:left w:val="single" w:sz="4" w:space="0" w:color="auto"/>
              <w:bottom w:val="nil"/>
              <w:right w:val="nil"/>
            </w:tcBorders>
            <w:shd w:val="clear" w:color="auto" w:fill="auto"/>
            <w:noWrap/>
            <w:textDirection w:val="btLr"/>
            <w:vAlign w:val="center"/>
          </w:tcPr>
          <w:p w14:paraId="3249D6D0" w14:textId="3821D5C9" w:rsidR="0072369B" w:rsidRDefault="00E434B7">
            <w:pPr>
              <w:widowControl/>
              <w:jc w:val="center"/>
              <w:textAlignment w:val="center"/>
              <w:rPr>
                <w:rFonts w:ascii="Times New Roman" w:hAnsi="Times New Roman"/>
                <w:color w:val="000000"/>
                <w:sz w:val="16"/>
                <w:szCs w:val="16"/>
              </w:rPr>
            </w:pPr>
            <w:r>
              <w:rPr>
                <w:rFonts w:ascii="Times New Roman" w:hAnsi="Times New Roman"/>
                <w:color w:val="000000"/>
                <w:kern w:val="0"/>
                <w:sz w:val="16"/>
                <w:szCs w:val="16"/>
                <w:lang w:bidi="ar"/>
              </w:rPr>
              <w:t>Total BMI change</w:t>
            </w:r>
            <w:r w:rsidR="00C51B51">
              <w:rPr>
                <w:rFonts w:ascii="Times New Roman" w:hAnsi="Times New Roman"/>
                <w:color w:val="000000"/>
                <w:kern w:val="0"/>
                <w:sz w:val="16"/>
                <w:szCs w:val="16"/>
                <w:lang w:bidi="ar"/>
              </w:rPr>
              <w:t xml:space="preserve"> </w:t>
            </w:r>
            <w:r>
              <w:rPr>
                <w:rFonts w:ascii="Times New Roman" w:hAnsi="Times New Roman"/>
                <w:color w:val="000000"/>
                <w:kern w:val="0"/>
                <w:sz w:val="16"/>
                <w:szCs w:val="16"/>
                <w:lang w:bidi="ar"/>
              </w:rPr>
              <w:t>0-1.7</w:t>
            </w:r>
          </w:p>
        </w:tc>
        <w:tc>
          <w:tcPr>
            <w:tcW w:w="0" w:type="auto"/>
            <w:tcBorders>
              <w:top w:val="nil"/>
              <w:left w:val="single" w:sz="4" w:space="0" w:color="auto"/>
              <w:bottom w:val="nil"/>
              <w:right w:val="single" w:sz="4" w:space="0" w:color="auto"/>
            </w:tcBorders>
            <w:shd w:val="clear" w:color="auto" w:fill="auto"/>
            <w:noWrap/>
            <w:textDirection w:val="btLr"/>
            <w:vAlign w:val="center"/>
          </w:tcPr>
          <w:p w14:paraId="55C2BC5B"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Traj 4</w:t>
            </w:r>
          </w:p>
        </w:tc>
        <w:tc>
          <w:tcPr>
            <w:tcW w:w="620" w:type="dxa"/>
            <w:vMerge w:val="restart"/>
            <w:tcBorders>
              <w:top w:val="nil"/>
              <w:left w:val="single" w:sz="4" w:space="0" w:color="auto"/>
              <w:bottom w:val="nil"/>
              <w:right w:val="single" w:sz="4" w:space="0" w:color="auto"/>
            </w:tcBorders>
            <w:shd w:val="clear" w:color="auto" w:fill="auto"/>
            <w:textDirection w:val="btLr"/>
            <w:vAlign w:val="center"/>
          </w:tcPr>
          <w:p w14:paraId="2AC0E440" w14:textId="6B5BE975" w:rsidR="0072369B" w:rsidRDefault="00E434B7">
            <w:pPr>
              <w:widowControl/>
              <w:jc w:val="center"/>
              <w:textAlignment w:val="center"/>
              <w:rPr>
                <w:rFonts w:ascii="Times New Roman" w:hAnsi="Times New Roman"/>
                <w:color w:val="000000"/>
                <w:sz w:val="16"/>
                <w:szCs w:val="16"/>
              </w:rPr>
            </w:pPr>
            <w:r>
              <w:rPr>
                <w:rFonts w:ascii="Times New Roman" w:hAnsi="Times New Roman"/>
                <w:color w:val="000000"/>
                <w:kern w:val="0"/>
                <w:sz w:val="16"/>
                <w:szCs w:val="16"/>
                <w:lang w:bidi="ar"/>
              </w:rPr>
              <w:t>β(95% CI)</w:t>
            </w:r>
            <w:r>
              <w:rPr>
                <w:rFonts w:ascii="Times New Roman" w:hAnsi="Times New Roman"/>
                <w:color w:val="000000"/>
                <w:kern w:val="0"/>
                <w:sz w:val="16"/>
                <w:szCs w:val="16"/>
              </w:rPr>
              <w:t xml:space="preserve"> </w:t>
            </w:r>
            <w:r w:rsidR="00495282">
              <w:rPr>
                <w:rFonts w:ascii="Segoe UI Symbol" w:hAnsi="Segoe UI Symbol" w:cs="Segoe UI Symbol"/>
                <w:color w:val="000000"/>
                <w:kern w:val="0"/>
                <w:sz w:val="16"/>
                <w:szCs w:val="16"/>
              </w:rPr>
              <w:t>*</w:t>
            </w:r>
            <w:r w:rsidR="00495282" w:rsidRPr="00495282">
              <w:rPr>
                <w:rFonts w:ascii="Segoe UI Symbol" w:hAnsi="Segoe UI Symbol" w:cs="Segoe UI Symbol"/>
                <w:color w:val="000000"/>
                <w:kern w:val="0"/>
                <w:sz w:val="16"/>
                <w:szCs w:val="16"/>
                <w:vertAlign w:val="superscript"/>
              </w:rPr>
              <w:t>3</w:t>
            </w:r>
            <w:r>
              <w:rPr>
                <w:rStyle w:val="font71"/>
                <w:rFonts w:ascii="Times New Roman" w:hAnsi="Times New Roman" w:cs="Times New Roman"/>
                <w:lang w:bidi="ar"/>
              </w:rPr>
              <w:t xml:space="preserve"> </w:t>
            </w:r>
            <w:r>
              <w:rPr>
                <w:rStyle w:val="font71"/>
                <w:rFonts w:ascii="Times New Roman" w:hAnsi="Times New Roman" w:cs="Times New Roman"/>
                <w:lang w:bidi="ar"/>
              </w:rPr>
              <w:br/>
              <w:t>p</w:t>
            </w:r>
          </w:p>
        </w:tc>
        <w:tc>
          <w:tcPr>
            <w:tcW w:w="620" w:type="dxa"/>
            <w:tcBorders>
              <w:top w:val="nil"/>
              <w:left w:val="nil"/>
              <w:bottom w:val="nil"/>
              <w:right w:val="nil"/>
            </w:tcBorders>
            <w:shd w:val="clear" w:color="auto" w:fill="auto"/>
            <w:textDirection w:val="btLr"/>
            <w:vAlign w:val="center"/>
          </w:tcPr>
          <w:p w14:paraId="4501220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0.47(</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2.48,3.41)</w:t>
            </w:r>
            <w:r>
              <w:rPr>
                <w:rStyle w:val="font71"/>
                <w:rFonts w:ascii="Times New Roman" w:hAnsi="Times New Roman" w:cs="Times New Roman"/>
                <w:lang w:bidi="ar"/>
              </w:rPr>
              <w:br/>
              <w:t>0.756</w:t>
            </w:r>
          </w:p>
        </w:tc>
        <w:tc>
          <w:tcPr>
            <w:tcW w:w="620" w:type="dxa"/>
            <w:tcBorders>
              <w:top w:val="nil"/>
              <w:left w:val="nil"/>
              <w:bottom w:val="nil"/>
              <w:right w:val="nil"/>
            </w:tcBorders>
            <w:shd w:val="clear" w:color="auto" w:fill="auto"/>
            <w:textDirection w:val="btLr"/>
            <w:vAlign w:val="center"/>
          </w:tcPr>
          <w:p w14:paraId="5783118D"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0.84(</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1.43,3.11)</w:t>
            </w:r>
            <w:r>
              <w:rPr>
                <w:rStyle w:val="font71"/>
                <w:rFonts w:ascii="Times New Roman" w:hAnsi="Times New Roman" w:cs="Times New Roman"/>
                <w:lang w:bidi="ar"/>
              </w:rPr>
              <w:br/>
              <w:t>0.469</w:t>
            </w:r>
          </w:p>
        </w:tc>
        <w:tc>
          <w:tcPr>
            <w:tcW w:w="620" w:type="dxa"/>
            <w:tcBorders>
              <w:top w:val="nil"/>
              <w:left w:val="nil"/>
              <w:bottom w:val="nil"/>
              <w:right w:val="nil"/>
            </w:tcBorders>
            <w:shd w:val="clear" w:color="auto" w:fill="auto"/>
            <w:textDirection w:val="btLr"/>
            <w:vAlign w:val="center"/>
          </w:tcPr>
          <w:p w14:paraId="5A45321A"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0.01(</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0.12,0.11)</w:t>
            </w:r>
            <w:r>
              <w:rPr>
                <w:rStyle w:val="font71"/>
                <w:rFonts w:ascii="Times New Roman" w:hAnsi="Times New Roman" w:cs="Times New Roman"/>
                <w:lang w:bidi="ar"/>
              </w:rPr>
              <w:br/>
              <w:t>0.929</w:t>
            </w:r>
          </w:p>
        </w:tc>
        <w:tc>
          <w:tcPr>
            <w:tcW w:w="620" w:type="dxa"/>
            <w:tcBorders>
              <w:top w:val="nil"/>
              <w:left w:val="nil"/>
              <w:bottom w:val="nil"/>
              <w:right w:val="nil"/>
            </w:tcBorders>
            <w:shd w:val="clear" w:color="auto" w:fill="auto"/>
            <w:textDirection w:val="btLr"/>
            <w:vAlign w:val="center"/>
          </w:tcPr>
          <w:p w14:paraId="2B9FEE28"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0.18(0.03,0.33)</w:t>
            </w:r>
            <w:r>
              <w:rPr>
                <w:rFonts w:ascii="Times New Roman" w:hAnsi="Times New Roman"/>
                <w:color w:val="000000"/>
                <w:kern w:val="0"/>
                <w:sz w:val="16"/>
                <w:szCs w:val="16"/>
                <w:lang w:bidi="ar"/>
              </w:rPr>
              <w:br/>
              <w:t>0.020</w:t>
            </w:r>
          </w:p>
        </w:tc>
        <w:tc>
          <w:tcPr>
            <w:tcW w:w="620" w:type="dxa"/>
            <w:tcBorders>
              <w:top w:val="nil"/>
              <w:left w:val="nil"/>
              <w:bottom w:val="nil"/>
              <w:right w:val="nil"/>
            </w:tcBorders>
            <w:shd w:val="clear" w:color="auto" w:fill="auto"/>
            <w:textDirection w:val="btLr"/>
            <w:vAlign w:val="center"/>
          </w:tcPr>
          <w:p w14:paraId="31803EC9"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0.18(</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0.43,0.08)</w:t>
            </w:r>
            <w:r>
              <w:rPr>
                <w:rStyle w:val="font71"/>
                <w:rFonts w:ascii="Times New Roman" w:hAnsi="Times New Roman" w:cs="Times New Roman"/>
                <w:lang w:bidi="ar"/>
              </w:rPr>
              <w:br/>
              <w:t>0.177</w:t>
            </w:r>
          </w:p>
        </w:tc>
        <w:tc>
          <w:tcPr>
            <w:tcW w:w="620" w:type="dxa"/>
            <w:tcBorders>
              <w:top w:val="nil"/>
              <w:left w:val="nil"/>
              <w:bottom w:val="nil"/>
              <w:right w:val="nil"/>
            </w:tcBorders>
            <w:shd w:val="clear" w:color="auto" w:fill="auto"/>
            <w:textDirection w:val="btLr"/>
            <w:vAlign w:val="center"/>
          </w:tcPr>
          <w:p w14:paraId="1FF57F1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0.04(</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0.15,0.23)</w:t>
            </w:r>
            <w:r>
              <w:rPr>
                <w:rStyle w:val="font71"/>
                <w:rFonts w:ascii="Times New Roman" w:hAnsi="Times New Roman" w:cs="Times New Roman"/>
                <w:lang w:bidi="ar"/>
              </w:rPr>
              <w:br/>
              <w:t>0.679</w:t>
            </w:r>
          </w:p>
        </w:tc>
        <w:tc>
          <w:tcPr>
            <w:tcW w:w="620" w:type="dxa"/>
            <w:tcBorders>
              <w:top w:val="nil"/>
              <w:left w:val="nil"/>
              <w:bottom w:val="nil"/>
              <w:right w:val="nil"/>
            </w:tcBorders>
            <w:shd w:val="clear" w:color="auto" w:fill="auto"/>
            <w:textDirection w:val="btLr"/>
            <w:vAlign w:val="center"/>
          </w:tcPr>
          <w:p w14:paraId="28192F35"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0.10(</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0.18,</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0.01)</w:t>
            </w:r>
            <w:r>
              <w:rPr>
                <w:rStyle w:val="font71"/>
                <w:rFonts w:ascii="Times New Roman" w:hAnsi="Times New Roman" w:cs="Times New Roman"/>
                <w:lang w:bidi="ar"/>
              </w:rPr>
              <w:br/>
              <w:t>0.038</w:t>
            </w:r>
          </w:p>
        </w:tc>
        <w:tc>
          <w:tcPr>
            <w:tcW w:w="620" w:type="dxa"/>
            <w:tcBorders>
              <w:top w:val="nil"/>
              <w:left w:val="nil"/>
              <w:bottom w:val="nil"/>
              <w:right w:val="nil"/>
            </w:tcBorders>
            <w:shd w:val="clear" w:color="auto" w:fill="auto"/>
            <w:textDirection w:val="btLr"/>
            <w:vAlign w:val="center"/>
          </w:tcPr>
          <w:p w14:paraId="6934D147"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0.01(―0.21,0.23)</w:t>
            </w:r>
            <w:r>
              <w:rPr>
                <w:rFonts w:ascii="Times New Roman" w:hAnsi="Times New Roman"/>
                <w:color w:val="000000"/>
                <w:kern w:val="0"/>
                <w:sz w:val="16"/>
                <w:szCs w:val="16"/>
                <w:lang w:bidi="ar"/>
              </w:rPr>
              <w:br/>
              <w:t>0.946</w:t>
            </w:r>
          </w:p>
        </w:tc>
        <w:tc>
          <w:tcPr>
            <w:tcW w:w="620" w:type="dxa"/>
            <w:tcBorders>
              <w:top w:val="nil"/>
              <w:left w:val="nil"/>
              <w:bottom w:val="nil"/>
              <w:right w:val="nil"/>
            </w:tcBorders>
            <w:shd w:val="clear" w:color="auto" w:fill="auto"/>
            <w:textDirection w:val="btLr"/>
            <w:vAlign w:val="center"/>
          </w:tcPr>
          <w:p w14:paraId="2A4D8682"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0.01(</w:t>
            </w:r>
            <w:r>
              <w:rPr>
                <w:rFonts w:ascii="Times New Roman" w:eastAsia="Microsoft YaHei" w:hAnsi="Times New Roman"/>
                <w:color w:val="000000"/>
                <w:kern w:val="0"/>
                <w:sz w:val="16"/>
                <w:szCs w:val="16"/>
                <w:lang w:bidi="ar"/>
              </w:rPr>
              <w:t>―0</w:t>
            </w:r>
            <w:r>
              <w:rPr>
                <w:rStyle w:val="font71"/>
                <w:rFonts w:ascii="Times New Roman" w:hAnsi="Times New Roman" w:cs="Times New Roman"/>
                <w:lang w:bidi="ar"/>
              </w:rPr>
              <w:t>.00,0.02)</w:t>
            </w:r>
            <w:r>
              <w:rPr>
                <w:rStyle w:val="font71"/>
                <w:rFonts w:ascii="Times New Roman" w:hAnsi="Times New Roman" w:cs="Times New Roman"/>
                <w:lang w:bidi="ar"/>
              </w:rPr>
              <w:br/>
              <w:t>0.152</w:t>
            </w:r>
          </w:p>
        </w:tc>
        <w:tc>
          <w:tcPr>
            <w:tcW w:w="620" w:type="dxa"/>
            <w:tcBorders>
              <w:top w:val="nil"/>
              <w:left w:val="nil"/>
              <w:bottom w:val="nil"/>
              <w:right w:val="nil"/>
            </w:tcBorders>
            <w:shd w:val="clear" w:color="auto" w:fill="auto"/>
            <w:textDirection w:val="btLr"/>
            <w:vAlign w:val="center"/>
          </w:tcPr>
          <w:p w14:paraId="7B2DEA69"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1</w:t>
            </w:r>
            <w:r>
              <w:rPr>
                <w:rStyle w:val="font71"/>
                <w:rFonts w:ascii="Times New Roman" w:hAnsi="Times New Roman" w:cs="Times New Roman"/>
                <w:lang w:bidi="ar"/>
              </w:rPr>
              <w:t>.15(</w:t>
            </w:r>
            <w:r>
              <w:rPr>
                <w:rFonts w:ascii="Times New Roman" w:eastAsia="Microsoft YaHei" w:hAnsi="Times New Roman"/>
                <w:color w:val="000000"/>
                <w:kern w:val="0"/>
                <w:sz w:val="16"/>
                <w:szCs w:val="16"/>
                <w:lang w:bidi="ar"/>
              </w:rPr>
              <w:t>―0</w:t>
            </w:r>
            <w:r>
              <w:rPr>
                <w:rStyle w:val="font71"/>
                <w:rFonts w:ascii="Times New Roman" w:hAnsi="Times New Roman" w:cs="Times New Roman"/>
                <w:lang w:bidi="ar"/>
              </w:rPr>
              <w:t>.43,2.74)</w:t>
            </w:r>
            <w:r>
              <w:rPr>
                <w:rStyle w:val="font71"/>
                <w:rFonts w:ascii="Times New Roman" w:hAnsi="Times New Roman" w:cs="Times New Roman"/>
                <w:lang w:bidi="ar"/>
              </w:rPr>
              <w:br/>
              <w:t>0.153</w:t>
            </w:r>
          </w:p>
        </w:tc>
        <w:tc>
          <w:tcPr>
            <w:tcW w:w="620" w:type="dxa"/>
            <w:tcBorders>
              <w:top w:val="nil"/>
              <w:left w:val="nil"/>
              <w:bottom w:val="nil"/>
              <w:right w:val="single" w:sz="4" w:space="0" w:color="auto"/>
            </w:tcBorders>
            <w:shd w:val="clear" w:color="auto" w:fill="auto"/>
            <w:textDirection w:val="btLr"/>
            <w:vAlign w:val="center"/>
          </w:tcPr>
          <w:p w14:paraId="2B86BF6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w:t>
            </w:r>
            <w:r>
              <w:rPr>
                <w:rStyle w:val="font71"/>
                <w:rFonts w:ascii="Times New Roman" w:hAnsi="Times New Roman" w:cs="Times New Roman"/>
                <w:lang w:bidi="ar"/>
              </w:rPr>
              <w:t>.00(</w:t>
            </w:r>
            <w:r>
              <w:rPr>
                <w:rFonts w:ascii="Times New Roman" w:eastAsia="Microsoft YaHei" w:hAnsi="Times New Roman"/>
                <w:color w:val="000000"/>
                <w:kern w:val="0"/>
                <w:sz w:val="16"/>
                <w:szCs w:val="16"/>
                <w:lang w:bidi="ar"/>
              </w:rPr>
              <w:t>―0</w:t>
            </w:r>
            <w:r>
              <w:rPr>
                <w:rStyle w:val="font71"/>
                <w:rFonts w:ascii="Times New Roman" w:hAnsi="Times New Roman" w:cs="Times New Roman"/>
                <w:lang w:bidi="ar"/>
              </w:rPr>
              <w:t>.02,0.01)</w:t>
            </w:r>
            <w:r>
              <w:rPr>
                <w:rStyle w:val="font71"/>
                <w:rFonts w:ascii="Times New Roman" w:hAnsi="Times New Roman" w:cs="Times New Roman"/>
                <w:lang w:bidi="ar"/>
              </w:rPr>
              <w:br/>
              <w:t>0.658</w:t>
            </w:r>
          </w:p>
        </w:tc>
      </w:tr>
      <w:tr w:rsidR="0072369B" w14:paraId="672AF9B0" w14:textId="77777777">
        <w:trPr>
          <w:trHeight w:val="1060"/>
        </w:trPr>
        <w:tc>
          <w:tcPr>
            <w:tcW w:w="960" w:type="dxa"/>
            <w:vMerge/>
            <w:tcBorders>
              <w:top w:val="nil"/>
              <w:left w:val="nil"/>
              <w:bottom w:val="nil"/>
              <w:right w:val="nil"/>
            </w:tcBorders>
            <w:shd w:val="clear" w:color="auto" w:fill="auto"/>
            <w:textDirection w:val="btLr"/>
            <w:vAlign w:val="center"/>
          </w:tcPr>
          <w:p w14:paraId="466B6018" w14:textId="77777777" w:rsidR="0072369B" w:rsidRDefault="0072369B">
            <w:pPr>
              <w:rPr>
                <w:rFonts w:ascii="Times New Roman" w:hAnsi="Times New Roman"/>
                <w:color w:val="000000"/>
                <w:sz w:val="16"/>
                <w:szCs w:val="16"/>
              </w:rPr>
            </w:pPr>
          </w:p>
        </w:tc>
        <w:tc>
          <w:tcPr>
            <w:tcW w:w="0" w:type="auto"/>
            <w:vMerge/>
            <w:tcBorders>
              <w:top w:val="nil"/>
              <w:left w:val="single" w:sz="4" w:space="0" w:color="auto"/>
              <w:bottom w:val="nil"/>
              <w:right w:val="nil"/>
            </w:tcBorders>
            <w:shd w:val="clear" w:color="auto" w:fill="auto"/>
            <w:noWrap/>
            <w:textDirection w:val="btLr"/>
            <w:vAlign w:val="center"/>
          </w:tcPr>
          <w:p w14:paraId="20524812" w14:textId="77777777" w:rsidR="0072369B" w:rsidRDefault="0072369B">
            <w:pPr>
              <w:jc w:val="center"/>
              <w:rPr>
                <w:rFonts w:ascii="Times New Roman" w:hAnsi="Times New Roman"/>
                <w:color w:val="000000"/>
                <w:sz w:val="16"/>
                <w:szCs w:val="16"/>
              </w:rPr>
            </w:pPr>
          </w:p>
        </w:tc>
        <w:tc>
          <w:tcPr>
            <w:tcW w:w="0" w:type="auto"/>
            <w:tcBorders>
              <w:top w:val="nil"/>
              <w:left w:val="single" w:sz="4" w:space="0" w:color="auto"/>
              <w:bottom w:val="nil"/>
              <w:right w:val="single" w:sz="4" w:space="0" w:color="auto"/>
            </w:tcBorders>
            <w:shd w:val="clear" w:color="auto" w:fill="auto"/>
            <w:noWrap/>
            <w:textDirection w:val="btLr"/>
            <w:vAlign w:val="center"/>
          </w:tcPr>
          <w:p w14:paraId="0FA39BBB"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Traj 3</w:t>
            </w:r>
          </w:p>
        </w:tc>
        <w:tc>
          <w:tcPr>
            <w:tcW w:w="620" w:type="dxa"/>
            <w:vMerge/>
            <w:tcBorders>
              <w:top w:val="nil"/>
              <w:left w:val="single" w:sz="4" w:space="0" w:color="auto"/>
              <w:bottom w:val="nil"/>
              <w:right w:val="single" w:sz="4" w:space="0" w:color="auto"/>
            </w:tcBorders>
            <w:shd w:val="clear" w:color="auto" w:fill="auto"/>
            <w:textDirection w:val="btLr"/>
            <w:vAlign w:val="center"/>
          </w:tcPr>
          <w:p w14:paraId="129A0976" w14:textId="77777777" w:rsidR="0072369B" w:rsidRDefault="0072369B">
            <w:pPr>
              <w:jc w:val="center"/>
              <w:rPr>
                <w:rFonts w:ascii="Times New Roman" w:hAnsi="Times New Roman"/>
                <w:color w:val="000000"/>
                <w:sz w:val="16"/>
                <w:szCs w:val="16"/>
              </w:rPr>
            </w:pPr>
          </w:p>
        </w:tc>
        <w:tc>
          <w:tcPr>
            <w:tcW w:w="620" w:type="dxa"/>
            <w:tcBorders>
              <w:top w:val="nil"/>
              <w:left w:val="nil"/>
              <w:bottom w:val="nil"/>
              <w:right w:val="nil"/>
            </w:tcBorders>
            <w:shd w:val="clear" w:color="auto" w:fill="auto"/>
            <w:textDirection w:val="btLr"/>
            <w:vAlign w:val="center"/>
          </w:tcPr>
          <w:p w14:paraId="3A69B402"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Reference</w:t>
            </w:r>
          </w:p>
        </w:tc>
        <w:tc>
          <w:tcPr>
            <w:tcW w:w="620" w:type="dxa"/>
            <w:tcBorders>
              <w:top w:val="nil"/>
              <w:left w:val="nil"/>
              <w:bottom w:val="nil"/>
              <w:right w:val="nil"/>
            </w:tcBorders>
            <w:shd w:val="clear" w:color="auto" w:fill="auto"/>
            <w:textDirection w:val="btLr"/>
            <w:vAlign w:val="center"/>
          </w:tcPr>
          <w:p w14:paraId="042B76CA"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Reference</w:t>
            </w:r>
          </w:p>
        </w:tc>
        <w:tc>
          <w:tcPr>
            <w:tcW w:w="620" w:type="dxa"/>
            <w:tcBorders>
              <w:top w:val="nil"/>
              <w:left w:val="nil"/>
              <w:bottom w:val="nil"/>
              <w:right w:val="nil"/>
            </w:tcBorders>
            <w:shd w:val="clear" w:color="auto" w:fill="auto"/>
            <w:textDirection w:val="btLr"/>
            <w:vAlign w:val="center"/>
          </w:tcPr>
          <w:p w14:paraId="1278D07E"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Reference</w:t>
            </w:r>
          </w:p>
        </w:tc>
        <w:tc>
          <w:tcPr>
            <w:tcW w:w="620" w:type="dxa"/>
            <w:tcBorders>
              <w:top w:val="nil"/>
              <w:left w:val="nil"/>
              <w:bottom w:val="nil"/>
              <w:right w:val="nil"/>
            </w:tcBorders>
            <w:shd w:val="clear" w:color="auto" w:fill="auto"/>
            <w:textDirection w:val="btLr"/>
            <w:vAlign w:val="center"/>
          </w:tcPr>
          <w:p w14:paraId="3FE3329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Reference</w:t>
            </w:r>
          </w:p>
        </w:tc>
        <w:tc>
          <w:tcPr>
            <w:tcW w:w="620" w:type="dxa"/>
            <w:tcBorders>
              <w:top w:val="nil"/>
              <w:left w:val="nil"/>
              <w:bottom w:val="nil"/>
              <w:right w:val="nil"/>
            </w:tcBorders>
            <w:shd w:val="clear" w:color="auto" w:fill="auto"/>
            <w:textDirection w:val="btLr"/>
            <w:vAlign w:val="center"/>
          </w:tcPr>
          <w:p w14:paraId="0A1882E8"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Reference</w:t>
            </w:r>
          </w:p>
        </w:tc>
        <w:tc>
          <w:tcPr>
            <w:tcW w:w="620" w:type="dxa"/>
            <w:tcBorders>
              <w:top w:val="nil"/>
              <w:left w:val="nil"/>
              <w:bottom w:val="nil"/>
              <w:right w:val="nil"/>
            </w:tcBorders>
            <w:shd w:val="clear" w:color="auto" w:fill="auto"/>
            <w:textDirection w:val="btLr"/>
            <w:vAlign w:val="center"/>
          </w:tcPr>
          <w:p w14:paraId="6962ACA9"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Reference</w:t>
            </w:r>
          </w:p>
        </w:tc>
        <w:tc>
          <w:tcPr>
            <w:tcW w:w="620" w:type="dxa"/>
            <w:tcBorders>
              <w:top w:val="nil"/>
              <w:left w:val="nil"/>
              <w:bottom w:val="nil"/>
              <w:right w:val="nil"/>
            </w:tcBorders>
            <w:shd w:val="clear" w:color="auto" w:fill="auto"/>
            <w:textDirection w:val="btLr"/>
            <w:vAlign w:val="center"/>
          </w:tcPr>
          <w:p w14:paraId="0986B9F2"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Reference</w:t>
            </w:r>
          </w:p>
        </w:tc>
        <w:tc>
          <w:tcPr>
            <w:tcW w:w="620" w:type="dxa"/>
            <w:tcBorders>
              <w:top w:val="nil"/>
              <w:left w:val="nil"/>
              <w:bottom w:val="nil"/>
              <w:right w:val="nil"/>
            </w:tcBorders>
            <w:shd w:val="clear" w:color="auto" w:fill="auto"/>
            <w:textDirection w:val="btLr"/>
            <w:vAlign w:val="center"/>
          </w:tcPr>
          <w:p w14:paraId="109837A2"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Reference</w:t>
            </w:r>
          </w:p>
        </w:tc>
        <w:tc>
          <w:tcPr>
            <w:tcW w:w="620" w:type="dxa"/>
            <w:tcBorders>
              <w:top w:val="nil"/>
              <w:left w:val="nil"/>
              <w:bottom w:val="nil"/>
              <w:right w:val="nil"/>
            </w:tcBorders>
            <w:shd w:val="clear" w:color="auto" w:fill="auto"/>
            <w:textDirection w:val="btLr"/>
            <w:vAlign w:val="center"/>
          </w:tcPr>
          <w:p w14:paraId="3A9AF69A"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Reference</w:t>
            </w:r>
          </w:p>
        </w:tc>
        <w:tc>
          <w:tcPr>
            <w:tcW w:w="620" w:type="dxa"/>
            <w:tcBorders>
              <w:top w:val="nil"/>
              <w:left w:val="nil"/>
              <w:bottom w:val="nil"/>
              <w:right w:val="nil"/>
            </w:tcBorders>
            <w:shd w:val="clear" w:color="auto" w:fill="auto"/>
            <w:textDirection w:val="btLr"/>
            <w:vAlign w:val="center"/>
          </w:tcPr>
          <w:p w14:paraId="65F346FD"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Reference</w:t>
            </w:r>
          </w:p>
        </w:tc>
        <w:tc>
          <w:tcPr>
            <w:tcW w:w="620" w:type="dxa"/>
            <w:tcBorders>
              <w:top w:val="nil"/>
              <w:left w:val="nil"/>
              <w:bottom w:val="nil"/>
              <w:right w:val="single" w:sz="4" w:space="0" w:color="auto"/>
            </w:tcBorders>
            <w:shd w:val="clear" w:color="auto" w:fill="auto"/>
            <w:textDirection w:val="btLr"/>
            <w:vAlign w:val="center"/>
          </w:tcPr>
          <w:p w14:paraId="40F737F8"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Reference</w:t>
            </w:r>
          </w:p>
        </w:tc>
      </w:tr>
      <w:tr w:rsidR="0072369B" w14:paraId="63731E45" w14:textId="77777777">
        <w:trPr>
          <w:trHeight w:val="1760"/>
        </w:trPr>
        <w:tc>
          <w:tcPr>
            <w:tcW w:w="960" w:type="dxa"/>
            <w:vMerge/>
            <w:tcBorders>
              <w:top w:val="nil"/>
              <w:left w:val="nil"/>
              <w:bottom w:val="nil"/>
              <w:right w:val="nil"/>
            </w:tcBorders>
            <w:shd w:val="clear" w:color="auto" w:fill="auto"/>
            <w:textDirection w:val="btLr"/>
            <w:vAlign w:val="center"/>
          </w:tcPr>
          <w:p w14:paraId="76B9B18C" w14:textId="77777777" w:rsidR="0072369B" w:rsidRDefault="0072369B">
            <w:pPr>
              <w:rPr>
                <w:rFonts w:ascii="Times New Roman" w:hAnsi="Times New Roman"/>
                <w:color w:val="000000"/>
                <w:sz w:val="16"/>
                <w:szCs w:val="16"/>
              </w:rPr>
            </w:pPr>
          </w:p>
        </w:tc>
        <w:tc>
          <w:tcPr>
            <w:tcW w:w="0" w:type="auto"/>
            <w:vMerge/>
            <w:tcBorders>
              <w:top w:val="nil"/>
              <w:left w:val="single" w:sz="4" w:space="0" w:color="auto"/>
              <w:bottom w:val="nil"/>
              <w:right w:val="nil"/>
            </w:tcBorders>
            <w:shd w:val="clear" w:color="auto" w:fill="auto"/>
            <w:noWrap/>
            <w:textDirection w:val="btLr"/>
            <w:vAlign w:val="center"/>
          </w:tcPr>
          <w:p w14:paraId="4CDD352E" w14:textId="77777777" w:rsidR="0072369B" w:rsidRDefault="0072369B">
            <w:pPr>
              <w:jc w:val="center"/>
              <w:rPr>
                <w:rFonts w:ascii="Times New Roman" w:hAnsi="Times New Roman"/>
                <w:color w:val="000000"/>
                <w:sz w:val="16"/>
                <w:szCs w:val="16"/>
              </w:rPr>
            </w:pPr>
          </w:p>
        </w:tc>
        <w:tc>
          <w:tcPr>
            <w:tcW w:w="0" w:type="auto"/>
            <w:tcBorders>
              <w:top w:val="nil"/>
              <w:left w:val="single" w:sz="4" w:space="0" w:color="auto"/>
              <w:bottom w:val="nil"/>
              <w:right w:val="single" w:sz="4" w:space="0" w:color="auto"/>
            </w:tcBorders>
            <w:shd w:val="clear" w:color="auto" w:fill="auto"/>
            <w:noWrap/>
            <w:textDirection w:val="btLr"/>
            <w:vAlign w:val="center"/>
          </w:tcPr>
          <w:p w14:paraId="5D4E002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Traj 2</w:t>
            </w:r>
          </w:p>
        </w:tc>
        <w:tc>
          <w:tcPr>
            <w:tcW w:w="620" w:type="dxa"/>
            <w:vMerge/>
            <w:tcBorders>
              <w:top w:val="nil"/>
              <w:left w:val="single" w:sz="4" w:space="0" w:color="auto"/>
              <w:bottom w:val="nil"/>
              <w:right w:val="single" w:sz="4" w:space="0" w:color="auto"/>
            </w:tcBorders>
            <w:shd w:val="clear" w:color="auto" w:fill="auto"/>
            <w:textDirection w:val="btLr"/>
            <w:vAlign w:val="center"/>
          </w:tcPr>
          <w:p w14:paraId="146894DD" w14:textId="77777777" w:rsidR="0072369B" w:rsidRDefault="0072369B">
            <w:pPr>
              <w:jc w:val="center"/>
              <w:rPr>
                <w:rFonts w:ascii="Times New Roman" w:hAnsi="Times New Roman"/>
                <w:color w:val="000000"/>
                <w:sz w:val="16"/>
                <w:szCs w:val="16"/>
              </w:rPr>
            </w:pPr>
          </w:p>
        </w:tc>
        <w:tc>
          <w:tcPr>
            <w:tcW w:w="620" w:type="dxa"/>
            <w:tcBorders>
              <w:top w:val="nil"/>
              <w:left w:val="nil"/>
              <w:bottom w:val="nil"/>
              <w:right w:val="nil"/>
            </w:tcBorders>
            <w:shd w:val="clear" w:color="auto" w:fill="auto"/>
            <w:textDirection w:val="btLr"/>
            <w:vAlign w:val="center"/>
          </w:tcPr>
          <w:p w14:paraId="0B239AB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0.61(</w:t>
            </w:r>
            <w:r>
              <w:rPr>
                <w:rFonts w:ascii="Times New Roman" w:eastAsia="Microsoft YaHei" w:hAnsi="Times New Roman"/>
                <w:color w:val="000000"/>
                <w:kern w:val="0"/>
                <w:sz w:val="16"/>
                <w:szCs w:val="16"/>
                <w:lang w:bidi="ar"/>
              </w:rPr>
              <w:t>―2</w:t>
            </w:r>
            <w:r>
              <w:rPr>
                <w:rStyle w:val="font71"/>
                <w:rFonts w:ascii="Times New Roman" w:hAnsi="Times New Roman" w:cs="Times New Roman"/>
                <w:lang w:bidi="ar"/>
              </w:rPr>
              <w:t>.74,1.52)</w:t>
            </w:r>
            <w:r>
              <w:rPr>
                <w:rStyle w:val="font71"/>
                <w:rFonts w:ascii="Times New Roman" w:hAnsi="Times New Roman" w:cs="Times New Roman"/>
                <w:lang w:bidi="ar"/>
              </w:rPr>
              <w:br/>
              <w:t>0.571</w:t>
            </w:r>
          </w:p>
        </w:tc>
        <w:tc>
          <w:tcPr>
            <w:tcW w:w="620" w:type="dxa"/>
            <w:tcBorders>
              <w:top w:val="nil"/>
              <w:left w:val="nil"/>
              <w:bottom w:val="nil"/>
              <w:right w:val="nil"/>
            </w:tcBorders>
            <w:shd w:val="clear" w:color="auto" w:fill="auto"/>
            <w:textDirection w:val="btLr"/>
            <w:vAlign w:val="center"/>
          </w:tcPr>
          <w:p w14:paraId="6FF2E2F9"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0.63(</w:t>
            </w:r>
            <w:r>
              <w:rPr>
                <w:rFonts w:ascii="Times New Roman" w:eastAsia="Microsoft YaHei" w:hAnsi="Times New Roman"/>
                <w:color w:val="000000"/>
                <w:kern w:val="0"/>
                <w:sz w:val="16"/>
                <w:szCs w:val="16"/>
                <w:lang w:bidi="ar"/>
              </w:rPr>
              <w:t>―2</w:t>
            </w:r>
            <w:r>
              <w:rPr>
                <w:rStyle w:val="font71"/>
                <w:rFonts w:ascii="Times New Roman" w:hAnsi="Times New Roman" w:cs="Times New Roman"/>
                <w:lang w:bidi="ar"/>
              </w:rPr>
              <w:t>.27,1.01)</w:t>
            </w:r>
            <w:r>
              <w:rPr>
                <w:rStyle w:val="font71"/>
                <w:rFonts w:ascii="Times New Roman" w:hAnsi="Times New Roman" w:cs="Times New Roman"/>
                <w:lang w:bidi="ar"/>
              </w:rPr>
              <w:br/>
              <w:t>0.454</w:t>
            </w:r>
          </w:p>
        </w:tc>
        <w:tc>
          <w:tcPr>
            <w:tcW w:w="620" w:type="dxa"/>
            <w:tcBorders>
              <w:top w:val="nil"/>
              <w:left w:val="nil"/>
              <w:bottom w:val="nil"/>
              <w:right w:val="nil"/>
            </w:tcBorders>
            <w:shd w:val="clear" w:color="auto" w:fill="auto"/>
            <w:textDirection w:val="btLr"/>
            <w:vAlign w:val="center"/>
          </w:tcPr>
          <w:p w14:paraId="53FA66C3"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0.06(</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0.15,0.03)</w:t>
            </w:r>
            <w:r>
              <w:rPr>
                <w:rStyle w:val="font71"/>
                <w:rFonts w:ascii="Times New Roman" w:hAnsi="Times New Roman" w:cs="Times New Roman"/>
                <w:lang w:bidi="ar"/>
              </w:rPr>
              <w:br/>
              <w:t>0.169</w:t>
            </w:r>
          </w:p>
        </w:tc>
        <w:tc>
          <w:tcPr>
            <w:tcW w:w="620" w:type="dxa"/>
            <w:tcBorders>
              <w:top w:val="nil"/>
              <w:left w:val="nil"/>
              <w:bottom w:val="nil"/>
              <w:right w:val="nil"/>
            </w:tcBorders>
            <w:shd w:val="clear" w:color="auto" w:fill="auto"/>
            <w:textDirection w:val="btLr"/>
            <w:vAlign w:val="center"/>
          </w:tcPr>
          <w:p w14:paraId="48452DDE"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0.08(</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0.19,0.04)</w:t>
            </w:r>
            <w:r>
              <w:rPr>
                <w:rStyle w:val="font71"/>
                <w:rFonts w:ascii="Times New Roman" w:hAnsi="Times New Roman" w:cs="Times New Roman"/>
                <w:lang w:bidi="ar"/>
              </w:rPr>
              <w:br/>
              <w:t>0.185</w:t>
            </w:r>
          </w:p>
        </w:tc>
        <w:tc>
          <w:tcPr>
            <w:tcW w:w="620" w:type="dxa"/>
            <w:tcBorders>
              <w:top w:val="nil"/>
              <w:left w:val="nil"/>
              <w:bottom w:val="nil"/>
              <w:right w:val="nil"/>
            </w:tcBorders>
            <w:shd w:val="clear" w:color="auto" w:fill="auto"/>
            <w:textDirection w:val="btLr"/>
            <w:vAlign w:val="center"/>
          </w:tcPr>
          <w:p w14:paraId="20FD6E20"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0.05(</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0.14,0.24)</w:t>
            </w:r>
            <w:r>
              <w:rPr>
                <w:rStyle w:val="font71"/>
                <w:rFonts w:ascii="Times New Roman" w:hAnsi="Times New Roman" w:cs="Times New Roman"/>
                <w:lang w:bidi="ar"/>
              </w:rPr>
              <w:br/>
              <w:t>0.596</w:t>
            </w:r>
          </w:p>
        </w:tc>
        <w:tc>
          <w:tcPr>
            <w:tcW w:w="620" w:type="dxa"/>
            <w:tcBorders>
              <w:top w:val="nil"/>
              <w:left w:val="nil"/>
              <w:bottom w:val="nil"/>
              <w:right w:val="nil"/>
            </w:tcBorders>
            <w:shd w:val="clear" w:color="auto" w:fill="auto"/>
            <w:textDirection w:val="btLr"/>
            <w:vAlign w:val="center"/>
          </w:tcPr>
          <w:p w14:paraId="35767840"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0.10(</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0.24,0.04)</w:t>
            </w:r>
            <w:r>
              <w:rPr>
                <w:rStyle w:val="font71"/>
                <w:rFonts w:ascii="Times New Roman" w:hAnsi="Times New Roman" w:cs="Times New Roman"/>
                <w:lang w:bidi="ar"/>
              </w:rPr>
              <w:br/>
              <w:t>0.164</w:t>
            </w:r>
          </w:p>
        </w:tc>
        <w:tc>
          <w:tcPr>
            <w:tcW w:w="620" w:type="dxa"/>
            <w:tcBorders>
              <w:top w:val="nil"/>
              <w:left w:val="nil"/>
              <w:bottom w:val="nil"/>
              <w:right w:val="nil"/>
            </w:tcBorders>
            <w:shd w:val="clear" w:color="auto" w:fill="auto"/>
            <w:textDirection w:val="btLr"/>
            <w:vAlign w:val="center"/>
          </w:tcPr>
          <w:p w14:paraId="1CEFF2B0"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0.06(</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0.00,0.13)</w:t>
            </w:r>
            <w:r>
              <w:rPr>
                <w:rStyle w:val="font71"/>
                <w:rFonts w:ascii="Times New Roman" w:hAnsi="Times New Roman" w:cs="Times New Roman"/>
                <w:lang w:bidi="ar"/>
              </w:rPr>
              <w:br/>
              <w:t>0.056</w:t>
            </w:r>
          </w:p>
        </w:tc>
        <w:tc>
          <w:tcPr>
            <w:tcW w:w="620" w:type="dxa"/>
            <w:tcBorders>
              <w:top w:val="nil"/>
              <w:left w:val="nil"/>
              <w:bottom w:val="nil"/>
              <w:right w:val="nil"/>
            </w:tcBorders>
            <w:shd w:val="clear" w:color="auto" w:fill="auto"/>
            <w:textDirection w:val="btLr"/>
            <w:vAlign w:val="center"/>
          </w:tcPr>
          <w:p w14:paraId="3C3E0FB2"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0.01(</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0.17,0.15)</w:t>
            </w:r>
            <w:r>
              <w:rPr>
                <w:rStyle w:val="font71"/>
                <w:rFonts w:ascii="Times New Roman" w:hAnsi="Times New Roman" w:cs="Times New Roman"/>
                <w:lang w:bidi="ar"/>
              </w:rPr>
              <w:br/>
              <w:t>0.894</w:t>
            </w:r>
          </w:p>
        </w:tc>
        <w:tc>
          <w:tcPr>
            <w:tcW w:w="620" w:type="dxa"/>
            <w:tcBorders>
              <w:top w:val="nil"/>
              <w:left w:val="nil"/>
              <w:bottom w:val="nil"/>
              <w:right w:val="nil"/>
            </w:tcBorders>
            <w:shd w:val="clear" w:color="auto" w:fill="auto"/>
            <w:textDirection w:val="btLr"/>
            <w:vAlign w:val="center"/>
          </w:tcPr>
          <w:p w14:paraId="33ECFDA0"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w:t>
            </w:r>
            <w:r>
              <w:rPr>
                <w:rStyle w:val="font71"/>
                <w:rFonts w:ascii="Times New Roman" w:hAnsi="Times New Roman" w:cs="Times New Roman"/>
                <w:lang w:bidi="ar"/>
              </w:rPr>
              <w:t>.01(</w:t>
            </w:r>
            <w:r>
              <w:rPr>
                <w:rFonts w:ascii="Times New Roman" w:eastAsia="Microsoft YaHei" w:hAnsi="Times New Roman"/>
                <w:color w:val="000000"/>
                <w:kern w:val="0"/>
                <w:sz w:val="16"/>
                <w:szCs w:val="16"/>
                <w:lang w:bidi="ar"/>
              </w:rPr>
              <w:t>―0</w:t>
            </w:r>
            <w:r>
              <w:rPr>
                <w:rStyle w:val="font71"/>
                <w:rFonts w:ascii="Times New Roman" w:hAnsi="Times New Roman" w:cs="Times New Roman"/>
                <w:lang w:bidi="ar"/>
              </w:rPr>
              <w:t>.02,</w:t>
            </w:r>
            <w:r>
              <w:rPr>
                <w:rFonts w:ascii="Times New Roman" w:eastAsia="Microsoft YaHei" w:hAnsi="Times New Roman"/>
                <w:color w:val="000000"/>
                <w:kern w:val="0"/>
                <w:sz w:val="16"/>
                <w:szCs w:val="16"/>
                <w:lang w:bidi="ar"/>
              </w:rPr>
              <w:t>―0</w:t>
            </w:r>
            <w:r>
              <w:rPr>
                <w:rStyle w:val="font71"/>
                <w:rFonts w:ascii="Times New Roman" w:hAnsi="Times New Roman" w:cs="Times New Roman"/>
                <w:lang w:bidi="ar"/>
              </w:rPr>
              <w:t>.00)</w:t>
            </w:r>
            <w:r>
              <w:rPr>
                <w:rStyle w:val="font71"/>
                <w:rFonts w:ascii="Times New Roman" w:hAnsi="Times New Roman" w:cs="Times New Roman"/>
                <w:lang w:bidi="ar"/>
              </w:rPr>
              <w:br/>
              <w:t>0.014</w:t>
            </w:r>
          </w:p>
        </w:tc>
        <w:tc>
          <w:tcPr>
            <w:tcW w:w="620" w:type="dxa"/>
            <w:tcBorders>
              <w:top w:val="nil"/>
              <w:left w:val="nil"/>
              <w:bottom w:val="nil"/>
              <w:right w:val="nil"/>
            </w:tcBorders>
            <w:shd w:val="clear" w:color="auto" w:fill="auto"/>
            <w:textDirection w:val="btLr"/>
            <w:vAlign w:val="center"/>
          </w:tcPr>
          <w:p w14:paraId="25CAB46D"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2.03(</w:t>
            </w:r>
            <w:r>
              <w:rPr>
                <w:rFonts w:ascii="Times New Roman" w:eastAsia="Microsoft YaHei" w:hAnsi="Times New Roman"/>
                <w:color w:val="000000"/>
                <w:kern w:val="0"/>
                <w:sz w:val="16"/>
                <w:szCs w:val="16"/>
                <w:lang w:bidi="ar"/>
              </w:rPr>
              <w:t>―3</w:t>
            </w:r>
            <w:r>
              <w:rPr>
                <w:rStyle w:val="font71"/>
                <w:rFonts w:ascii="Times New Roman" w:hAnsi="Times New Roman" w:cs="Times New Roman"/>
                <w:lang w:bidi="ar"/>
              </w:rPr>
              <w:t>.17,</w:t>
            </w:r>
            <w:r>
              <w:rPr>
                <w:rFonts w:ascii="Times New Roman" w:eastAsia="Microsoft YaHei" w:hAnsi="Times New Roman"/>
                <w:color w:val="000000"/>
                <w:kern w:val="0"/>
                <w:sz w:val="16"/>
                <w:szCs w:val="16"/>
                <w:lang w:bidi="ar"/>
              </w:rPr>
              <w:t>―0</w:t>
            </w:r>
            <w:r>
              <w:rPr>
                <w:rStyle w:val="font71"/>
                <w:rFonts w:ascii="Times New Roman" w:hAnsi="Times New Roman" w:cs="Times New Roman"/>
                <w:lang w:bidi="ar"/>
              </w:rPr>
              <w:t>.88)</w:t>
            </w:r>
            <w:r>
              <w:rPr>
                <w:rStyle w:val="font71"/>
                <w:rFonts w:ascii="Times New Roman" w:hAnsi="Times New Roman" w:cs="Times New Roman"/>
                <w:lang w:bidi="ar"/>
              </w:rPr>
              <w:br/>
              <w:t>0.001</w:t>
            </w:r>
          </w:p>
        </w:tc>
        <w:tc>
          <w:tcPr>
            <w:tcW w:w="620" w:type="dxa"/>
            <w:tcBorders>
              <w:top w:val="nil"/>
              <w:left w:val="nil"/>
              <w:bottom w:val="nil"/>
              <w:right w:val="single" w:sz="4" w:space="0" w:color="auto"/>
            </w:tcBorders>
            <w:shd w:val="clear" w:color="auto" w:fill="auto"/>
            <w:textDirection w:val="btLr"/>
            <w:vAlign w:val="center"/>
          </w:tcPr>
          <w:p w14:paraId="6C787025"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w:t>
            </w:r>
            <w:r>
              <w:rPr>
                <w:rStyle w:val="font71"/>
                <w:rFonts w:ascii="Times New Roman" w:hAnsi="Times New Roman" w:cs="Times New Roman"/>
                <w:lang w:bidi="ar"/>
              </w:rPr>
              <w:t>.00(</w:t>
            </w:r>
            <w:r>
              <w:rPr>
                <w:rFonts w:ascii="Times New Roman" w:eastAsia="Microsoft YaHei" w:hAnsi="Times New Roman"/>
                <w:color w:val="000000"/>
                <w:kern w:val="0"/>
                <w:sz w:val="16"/>
                <w:szCs w:val="16"/>
                <w:lang w:bidi="ar"/>
              </w:rPr>
              <w:t>―0</w:t>
            </w:r>
            <w:r>
              <w:rPr>
                <w:rStyle w:val="font71"/>
                <w:rFonts w:ascii="Times New Roman" w:hAnsi="Times New Roman" w:cs="Times New Roman"/>
                <w:lang w:bidi="ar"/>
              </w:rPr>
              <w:t>.02,0.01)</w:t>
            </w:r>
            <w:r>
              <w:rPr>
                <w:rStyle w:val="font71"/>
                <w:rFonts w:ascii="Times New Roman" w:hAnsi="Times New Roman" w:cs="Times New Roman"/>
                <w:lang w:bidi="ar"/>
              </w:rPr>
              <w:br/>
              <w:t>0.604</w:t>
            </w:r>
          </w:p>
        </w:tc>
      </w:tr>
      <w:tr w:rsidR="0072369B" w14:paraId="22B0845D" w14:textId="77777777">
        <w:trPr>
          <w:trHeight w:val="1760"/>
        </w:trPr>
        <w:tc>
          <w:tcPr>
            <w:tcW w:w="960" w:type="dxa"/>
            <w:vMerge/>
            <w:tcBorders>
              <w:top w:val="nil"/>
              <w:left w:val="nil"/>
              <w:bottom w:val="nil"/>
              <w:right w:val="nil"/>
            </w:tcBorders>
            <w:shd w:val="clear" w:color="auto" w:fill="auto"/>
            <w:textDirection w:val="btLr"/>
            <w:vAlign w:val="center"/>
          </w:tcPr>
          <w:p w14:paraId="525D2D62" w14:textId="77777777" w:rsidR="0072369B" w:rsidRDefault="0072369B">
            <w:pPr>
              <w:rPr>
                <w:rFonts w:ascii="Times New Roman" w:hAnsi="Times New Roman"/>
                <w:color w:val="000000"/>
                <w:sz w:val="16"/>
                <w:szCs w:val="16"/>
              </w:rPr>
            </w:pPr>
          </w:p>
        </w:tc>
        <w:tc>
          <w:tcPr>
            <w:tcW w:w="0" w:type="auto"/>
            <w:vMerge/>
            <w:tcBorders>
              <w:top w:val="nil"/>
              <w:left w:val="single" w:sz="4" w:space="0" w:color="auto"/>
              <w:bottom w:val="nil"/>
              <w:right w:val="nil"/>
            </w:tcBorders>
            <w:shd w:val="clear" w:color="auto" w:fill="auto"/>
            <w:noWrap/>
            <w:textDirection w:val="btLr"/>
            <w:vAlign w:val="center"/>
          </w:tcPr>
          <w:p w14:paraId="5BA2ED27" w14:textId="77777777" w:rsidR="0072369B" w:rsidRDefault="0072369B">
            <w:pPr>
              <w:jc w:val="center"/>
              <w:rPr>
                <w:rFonts w:ascii="Times New Roman" w:hAnsi="Times New Roman"/>
                <w:color w:val="000000"/>
                <w:sz w:val="16"/>
                <w:szCs w:val="16"/>
              </w:rPr>
            </w:pPr>
          </w:p>
        </w:tc>
        <w:tc>
          <w:tcPr>
            <w:tcW w:w="0" w:type="auto"/>
            <w:tcBorders>
              <w:top w:val="nil"/>
              <w:left w:val="single" w:sz="4" w:space="0" w:color="auto"/>
              <w:bottom w:val="nil"/>
              <w:right w:val="single" w:sz="4" w:space="0" w:color="auto"/>
            </w:tcBorders>
            <w:shd w:val="clear" w:color="auto" w:fill="auto"/>
            <w:noWrap/>
            <w:textDirection w:val="btLr"/>
            <w:vAlign w:val="center"/>
          </w:tcPr>
          <w:p w14:paraId="1470E83B"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Traj 1</w:t>
            </w:r>
          </w:p>
        </w:tc>
        <w:tc>
          <w:tcPr>
            <w:tcW w:w="620" w:type="dxa"/>
            <w:vMerge/>
            <w:tcBorders>
              <w:top w:val="nil"/>
              <w:left w:val="single" w:sz="4" w:space="0" w:color="auto"/>
              <w:bottom w:val="nil"/>
              <w:right w:val="single" w:sz="4" w:space="0" w:color="auto"/>
            </w:tcBorders>
            <w:shd w:val="clear" w:color="auto" w:fill="auto"/>
            <w:textDirection w:val="btLr"/>
            <w:vAlign w:val="center"/>
          </w:tcPr>
          <w:p w14:paraId="4A89EAF6" w14:textId="77777777" w:rsidR="0072369B" w:rsidRDefault="0072369B">
            <w:pPr>
              <w:jc w:val="center"/>
              <w:rPr>
                <w:rFonts w:ascii="Times New Roman" w:hAnsi="Times New Roman"/>
                <w:color w:val="000000"/>
                <w:sz w:val="16"/>
                <w:szCs w:val="16"/>
              </w:rPr>
            </w:pPr>
          </w:p>
        </w:tc>
        <w:tc>
          <w:tcPr>
            <w:tcW w:w="620" w:type="dxa"/>
            <w:tcBorders>
              <w:top w:val="nil"/>
              <w:left w:val="nil"/>
              <w:bottom w:val="nil"/>
              <w:right w:val="nil"/>
            </w:tcBorders>
            <w:shd w:val="clear" w:color="auto" w:fill="auto"/>
            <w:textDirection w:val="btLr"/>
            <w:vAlign w:val="center"/>
          </w:tcPr>
          <w:p w14:paraId="2807BCCE"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0.19(</w:t>
            </w:r>
            <w:r>
              <w:rPr>
                <w:rFonts w:ascii="Times New Roman" w:eastAsia="Microsoft YaHei" w:hAnsi="Times New Roman"/>
                <w:color w:val="000000"/>
                <w:kern w:val="0"/>
                <w:sz w:val="16"/>
                <w:szCs w:val="16"/>
                <w:lang w:bidi="ar"/>
              </w:rPr>
              <w:t>―3</w:t>
            </w:r>
            <w:r>
              <w:rPr>
                <w:rStyle w:val="font71"/>
                <w:rFonts w:ascii="Times New Roman" w:hAnsi="Times New Roman" w:cs="Times New Roman"/>
                <w:lang w:bidi="ar"/>
              </w:rPr>
              <w:t>.09,2.71)</w:t>
            </w:r>
            <w:r>
              <w:rPr>
                <w:rStyle w:val="font71"/>
                <w:rFonts w:ascii="Times New Roman" w:hAnsi="Times New Roman" w:cs="Times New Roman"/>
                <w:lang w:bidi="ar"/>
              </w:rPr>
              <w:br/>
              <w:t>0.897</w:t>
            </w:r>
          </w:p>
        </w:tc>
        <w:tc>
          <w:tcPr>
            <w:tcW w:w="620" w:type="dxa"/>
            <w:tcBorders>
              <w:top w:val="nil"/>
              <w:left w:val="nil"/>
              <w:bottom w:val="nil"/>
              <w:right w:val="nil"/>
            </w:tcBorders>
            <w:shd w:val="clear" w:color="auto" w:fill="auto"/>
            <w:textDirection w:val="btLr"/>
            <w:vAlign w:val="center"/>
          </w:tcPr>
          <w:p w14:paraId="4BE2F1B8"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0.29(</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1.95,2.52)</w:t>
            </w:r>
            <w:r>
              <w:rPr>
                <w:rStyle w:val="font71"/>
                <w:rFonts w:ascii="Times New Roman" w:hAnsi="Times New Roman" w:cs="Times New Roman"/>
                <w:lang w:bidi="ar"/>
              </w:rPr>
              <w:br/>
              <w:t>0.801</w:t>
            </w:r>
          </w:p>
        </w:tc>
        <w:tc>
          <w:tcPr>
            <w:tcW w:w="620" w:type="dxa"/>
            <w:tcBorders>
              <w:top w:val="nil"/>
              <w:left w:val="nil"/>
              <w:bottom w:val="nil"/>
              <w:right w:val="nil"/>
            </w:tcBorders>
            <w:shd w:val="clear" w:color="auto" w:fill="auto"/>
            <w:textDirection w:val="btLr"/>
            <w:vAlign w:val="center"/>
          </w:tcPr>
          <w:p w14:paraId="5C5FF33D"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0.02(</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0.14,0.09)</w:t>
            </w:r>
            <w:r>
              <w:rPr>
                <w:rStyle w:val="font71"/>
                <w:rFonts w:ascii="Times New Roman" w:hAnsi="Times New Roman" w:cs="Times New Roman"/>
                <w:lang w:bidi="ar"/>
              </w:rPr>
              <w:br/>
              <w:t>0.698</w:t>
            </w:r>
          </w:p>
        </w:tc>
        <w:tc>
          <w:tcPr>
            <w:tcW w:w="620" w:type="dxa"/>
            <w:tcBorders>
              <w:top w:val="nil"/>
              <w:left w:val="nil"/>
              <w:bottom w:val="nil"/>
              <w:right w:val="nil"/>
            </w:tcBorders>
            <w:shd w:val="clear" w:color="auto" w:fill="auto"/>
            <w:textDirection w:val="btLr"/>
            <w:vAlign w:val="center"/>
          </w:tcPr>
          <w:p w14:paraId="68034B5E"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0.10(</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0.25,0.05)</w:t>
            </w:r>
            <w:r>
              <w:rPr>
                <w:rStyle w:val="font71"/>
                <w:rFonts w:ascii="Times New Roman" w:hAnsi="Times New Roman" w:cs="Times New Roman"/>
                <w:lang w:bidi="ar"/>
              </w:rPr>
              <w:br/>
              <w:t>0.179</w:t>
            </w:r>
          </w:p>
        </w:tc>
        <w:tc>
          <w:tcPr>
            <w:tcW w:w="620" w:type="dxa"/>
            <w:tcBorders>
              <w:top w:val="nil"/>
              <w:left w:val="nil"/>
              <w:bottom w:val="nil"/>
              <w:right w:val="nil"/>
            </w:tcBorders>
            <w:shd w:val="clear" w:color="auto" w:fill="auto"/>
            <w:textDirection w:val="btLr"/>
            <w:vAlign w:val="center"/>
          </w:tcPr>
          <w:p w14:paraId="616F37AD"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0.19(</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0.07,0.44)</w:t>
            </w:r>
            <w:r>
              <w:rPr>
                <w:rStyle w:val="font71"/>
                <w:rFonts w:ascii="Times New Roman" w:hAnsi="Times New Roman" w:cs="Times New Roman"/>
                <w:lang w:bidi="ar"/>
              </w:rPr>
              <w:br/>
              <w:t>0.150</w:t>
            </w:r>
          </w:p>
        </w:tc>
        <w:tc>
          <w:tcPr>
            <w:tcW w:w="620" w:type="dxa"/>
            <w:tcBorders>
              <w:top w:val="nil"/>
              <w:left w:val="nil"/>
              <w:bottom w:val="nil"/>
              <w:right w:val="nil"/>
            </w:tcBorders>
            <w:shd w:val="clear" w:color="auto" w:fill="auto"/>
            <w:textDirection w:val="btLr"/>
            <w:vAlign w:val="center"/>
          </w:tcPr>
          <w:p w14:paraId="02B7E29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0.08(</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0.27,0.11)</w:t>
            </w:r>
            <w:r>
              <w:rPr>
                <w:rStyle w:val="font71"/>
                <w:rFonts w:ascii="Times New Roman" w:hAnsi="Times New Roman" w:cs="Times New Roman"/>
                <w:lang w:bidi="ar"/>
              </w:rPr>
              <w:br/>
              <w:t>0.400</w:t>
            </w:r>
          </w:p>
        </w:tc>
        <w:tc>
          <w:tcPr>
            <w:tcW w:w="620" w:type="dxa"/>
            <w:tcBorders>
              <w:top w:val="nil"/>
              <w:left w:val="nil"/>
              <w:bottom w:val="nil"/>
              <w:right w:val="nil"/>
            </w:tcBorders>
            <w:shd w:val="clear" w:color="auto" w:fill="auto"/>
            <w:textDirection w:val="btLr"/>
            <w:vAlign w:val="center"/>
          </w:tcPr>
          <w:p w14:paraId="637C35D5"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0.13(0.04,0.22)</w:t>
            </w:r>
            <w:r>
              <w:rPr>
                <w:rFonts w:ascii="Times New Roman" w:hAnsi="Times New Roman"/>
                <w:color w:val="000000"/>
                <w:kern w:val="0"/>
                <w:sz w:val="16"/>
                <w:szCs w:val="16"/>
                <w:lang w:bidi="ar"/>
              </w:rPr>
              <w:br/>
              <w:t>0.003</w:t>
            </w:r>
          </w:p>
        </w:tc>
        <w:tc>
          <w:tcPr>
            <w:tcW w:w="620" w:type="dxa"/>
            <w:tcBorders>
              <w:top w:val="nil"/>
              <w:left w:val="nil"/>
              <w:bottom w:val="nil"/>
              <w:right w:val="nil"/>
            </w:tcBorders>
            <w:shd w:val="clear" w:color="auto" w:fill="auto"/>
            <w:textDirection w:val="btLr"/>
            <w:vAlign w:val="center"/>
          </w:tcPr>
          <w:p w14:paraId="2F2A2611"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0.12(</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0.09,0.34)</w:t>
            </w:r>
            <w:r>
              <w:rPr>
                <w:rStyle w:val="font71"/>
                <w:rFonts w:ascii="Times New Roman" w:hAnsi="Times New Roman" w:cs="Times New Roman"/>
                <w:lang w:bidi="ar"/>
              </w:rPr>
              <w:br/>
              <w:t>0.269</w:t>
            </w:r>
          </w:p>
        </w:tc>
        <w:tc>
          <w:tcPr>
            <w:tcW w:w="620" w:type="dxa"/>
            <w:tcBorders>
              <w:top w:val="nil"/>
              <w:left w:val="nil"/>
              <w:bottom w:val="nil"/>
              <w:right w:val="nil"/>
            </w:tcBorders>
            <w:shd w:val="clear" w:color="auto" w:fill="auto"/>
            <w:textDirection w:val="btLr"/>
            <w:vAlign w:val="center"/>
          </w:tcPr>
          <w:p w14:paraId="7F03240D"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w:t>
            </w:r>
            <w:r>
              <w:rPr>
                <w:rStyle w:val="font71"/>
                <w:rFonts w:ascii="Times New Roman" w:hAnsi="Times New Roman" w:cs="Times New Roman"/>
                <w:lang w:bidi="ar"/>
              </w:rPr>
              <w:t>.02(</w:t>
            </w:r>
            <w:r>
              <w:rPr>
                <w:rFonts w:ascii="Times New Roman" w:eastAsia="Microsoft YaHei" w:hAnsi="Times New Roman"/>
                <w:color w:val="000000"/>
                <w:kern w:val="0"/>
                <w:sz w:val="16"/>
                <w:szCs w:val="16"/>
                <w:lang w:bidi="ar"/>
              </w:rPr>
              <w:t>―0</w:t>
            </w:r>
            <w:r>
              <w:rPr>
                <w:rStyle w:val="font71"/>
                <w:rFonts w:ascii="Times New Roman" w:hAnsi="Times New Roman" w:cs="Times New Roman"/>
                <w:lang w:bidi="ar"/>
              </w:rPr>
              <w:t>.03,</w:t>
            </w:r>
            <w:r>
              <w:rPr>
                <w:rFonts w:ascii="Times New Roman" w:eastAsia="Microsoft YaHei" w:hAnsi="Times New Roman"/>
                <w:color w:val="000000"/>
                <w:kern w:val="0"/>
                <w:sz w:val="16"/>
                <w:szCs w:val="16"/>
                <w:lang w:bidi="ar"/>
              </w:rPr>
              <w:t>―0</w:t>
            </w:r>
            <w:r>
              <w:rPr>
                <w:rStyle w:val="font71"/>
                <w:rFonts w:ascii="Times New Roman" w:hAnsi="Times New Roman" w:cs="Times New Roman"/>
                <w:lang w:bidi="ar"/>
              </w:rPr>
              <w:t>.01)</w:t>
            </w:r>
            <w:r>
              <w:rPr>
                <w:rStyle w:val="font71"/>
                <w:rFonts w:ascii="Times New Roman" w:hAnsi="Times New Roman" w:cs="Times New Roman"/>
                <w:lang w:bidi="ar"/>
              </w:rPr>
              <w:br/>
              <w:t>0.004</w:t>
            </w:r>
          </w:p>
        </w:tc>
        <w:tc>
          <w:tcPr>
            <w:tcW w:w="620" w:type="dxa"/>
            <w:tcBorders>
              <w:top w:val="nil"/>
              <w:left w:val="nil"/>
              <w:bottom w:val="nil"/>
              <w:right w:val="nil"/>
            </w:tcBorders>
            <w:shd w:val="clear" w:color="auto" w:fill="auto"/>
            <w:textDirection w:val="btLr"/>
            <w:vAlign w:val="center"/>
          </w:tcPr>
          <w:p w14:paraId="368B0AAC"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2.76(</w:t>
            </w:r>
            <w:r>
              <w:rPr>
                <w:rFonts w:ascii="Times New Roman" w:eastAsia="Microsoft YaHei" w:hAnsi="Times New Roman"/>
                <w:color w:val="000000"/>
                <w:kern w:val="0"/>
                <w:sz w:val="16"/>
                <w:szCs w:val="16"/>
                <w:lang w:bidi="ar"/>
              </w:rPr>
              <w:t>―4</w:t>
            </w:r>
            <w:r>
              <w:rPr>
                <w:rStyle w:val="font71"/>
                <w:rFonts w:ascii="Times New Roman" w:hAnsi="Times New Roman" w:cs="Times New Roman"/>
                <w:lang w:bidi="ar"/>
              </w:rPr>
              <w:t>.32,</w:t>
            </w:r>
            <w:r>
              <w:rPr>
                <w:rFonts w:ascii="Times New Roman" w:eastAsia="Microsoft YaHei" w:hAnsi="Times New Roman"/>
                <w:color w:val="000000"/>
                <w:kern w:val="0"/>
                <w:sz w:val="16"/>
                <w:szCs w:val="16"/>
                <w:lang w:bidi="ar"/>
              </w:rPr>
              <w:t>―1</w:t>
            </w:r>
            <w:r>
              <w:rPr>
                <w:rStyle w:val="font71"/>
                <w:rFonts w:ascii="Times New Roman" w:hAnsi="Times New Roman" w:cs="Times New Roman"/>
                <w:lang w:bidi="ar"/>
              </w:rPr>
              <w:t>.20)</w:t>
            </w:r>
            <w:r>
              <w:rPr>
                <w:rStyle w:val="font71"/>
                <w:rFonts w:ascii="Times New Roman" w:hAnsi="Times New Roman" w:cs="Times New Roman"/>
                <w:lang w:bidi="ar"/>
              </w:rPr>
              <w:br/>
              <w:t>0.001</w:t>
            </w:r>
          </w:p>
        </w:tc>
        <w:tc>
          <w:tcPr>
            <w:tcW w:w="620" w:type="dxa"/>
            <w:tcBorders>
              <w:top w:val="nil"/>
              <w:left w:val="nil"/>
              <w:bottom w:val="nil"/>
              <w:right w:val="single" w:sz="4" w:space="0" w:color="auto"/>
            </w:tcBorders>
            <w:shd w:val="clear" w:color="auto" w:fill="auto"/>
            <w:textDirection w:val="btLr"/>
            <w:vAlign w:val="center"/>
          </w:tcPr>
          <w:p w14:paraId="0F253D62"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w:t>
            </w:r>
            <w:r>
              <w:rPr>
                <w:rStyle w:val="font71"/>
                <w:rFonts w:ascii="Times New Roman" w:hAnsi="Times New Roman" w:cs="Times New Roman"/>
                <w:lang w:bidi="ar"/>
              </w:rPr>
              <w:t>.01(</w:t>
            </w:r>
            <w:r>
              <w:rPr>
                <w:rFonts w:ascii="Times New Roman" w:eastAsia="Microsoft YaHei" w:hAnsi="Times New Roman"/>
                <w:color w:val="000000"/>
                <w:kern w:val="0"/>
                <w:sz w:val="16"/>
                <w:szCs w:val="16"/>
                <w:lang w:bidi="ar"/>
              </w:rPr>
              <w:t>―0</w:t>
            </w:r>
            <w:r>
              <w:rPr>
                <w:rStyle w:val="font71"/>
                <w:rFonts w:ascii="Times New Roman" w:hAnsi="Times New Roman" w:cs="Times New Roman"/>
                <w:lang w:bidi="ar"/>
              </w:rPr>
              <w:t>.03,</w:t>
            </w:r>
            <w:r>
              <w:rPr>
                <w:rFonts w:ascii="Times New Roman" w:eastAsia="Microsoft YaHei" w:hAnsi="Times New Roman"/>
                <w:color w:val="000000"/>
                <w:kern w:val="0"/>
                <w:sz w:val="16"/>
                <w:szCs w:val="16"/>
                <w:lang w:bidi="ar"/>
              </w:rPr>
              <w:t>0</w:t>
            </w:r>
            <w:r>
              <w:rPr>
                <w:rStyle w:val="font71"/>
                <w:rFonts w:ascii="Times New Roman" w:hAnsi="Times New Roman" w:cs="Times New Roman"/>
                <w:lang w:bidi="ar"/>
              </w:rPr>
              <w:t>.01)</w:t>
            </w:r>
            <w:r>
              <w:rPr>
                <w:rStyle w:val="font71"/>
                <w:rFonts w:ascii="Times New Roman" w:hAnsi="Times New Roman" w:cs="Times New Roman"/>
                <w:lang w:bidi="ar"/>
              </w:rPr>
              <w:br/>
              <w:t>0.354</w:t>
            </w:r>
          </w:p>
        </w:tc>
      </w:tr>
      <w:tr w:rsidR="0072369B" w14:paraId="5C664C10" w14:textId="77777777">
        <w:trPr>
          <w:trHeight w:val="260"/>
        </w:trPr>
        <w:tc>
          <w:tcPr>
            <w:tcW w:w="960" w:type="dxa"/>
            <w:vMerge/>
            <w:tcBorders>
              <w:top w:val="nil"/>
              <w:left w:val="nil"/>
              <w:bottom w:val="nil"/>
              <w:right w:val="nil"/>
            </w:tcBorders>
            <w:shd w:val="clear" w:color="auto" w:fill="auto"/>
            <w:textDirection w:val="btLr"/>
            <w:vAlign w:val="center"/>
          </w:tcPr>
          <w:p w14:paraId="68D29A42" w14:textId="77777777" w:rsidR="0072369B" w:rsidRDefault="0072369B">
            <w:pPr>
              <w:rPr>
                <w:rFonts w:ascii="Times New Roman" w:hAnsi="Times New Roman"/>
                <w:color w:val="000000"/>
                <w:sz w:val="16"/>
                <w:szCs w:val="16"/>
              </w:rPr>
            </w:pPr>
          </w:p>
        </w:tc>
        <w:tc>
          <w:tcPr>
            <w:tcW w:w="0" w:type="auto"/>
            <w:tcBorders>
              <w:top w:val="nil"/>
              <w:left w:val="single" w:sz="4" w:space="0" w:color="auto"/>
              <w:bottom w:val="nil"/>
              <w:right w:val="nil"/>
            </w:tcBorders>
            <w:shd w:val="clear" w:color="auto" w:fill="auto"/>
            <w:noWrap/>
            <w:vAlign w:val="center"/>
          </w:tcPr>
          <w:p w14:paraId="7274B1D6" w14:textId="77777777" w:rsidR="0072369B" w:rsidRDefault="0072369B">
            <w:pPr>
              <w:widowControl/>
              <w:jc w:val="center"/>
              <w:textAlignment w:val="cente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01D7531C"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3C9C1018" w14:textId="77777777" w:rsidR="0072369B" w:rsidRDefault="0072369B">
            <w:pPr>
              <w:jc w:val="cente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4A224808"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2032272F"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3F160C78"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4BE91BA1"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48D5C6A1"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4C31F1D8"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3317BFC4"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312482F1"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60C02EFE" w14:textId="77777777" w:rsidR="0072369B" w:rsidRDefault="0072369B">
            <w:pPr>
              <w:rPr>
                <w:rFonts w:ascii="Times New Roman" w:hAnsi="Times New Roman"/>
                <w:color w:val="000000"/>
                <w:sz w:val="16"/>
                <w:szCs w:val="16"/>
              </w:rPr>
            </w:pPr>
          </w:p>
        </w:tc>
        <w:tc>
          <w:tcPr>
            <w:tcW w:w="0" w:type="auto"/>
            <w:tcBorders>
              <w:top w:val="nil"/>
              <w:left w:val="nil"/>
              <w:bottom w:val="nil"/>
              <w:right w:val="nil"/>
            </w:tcBorders>
            <w:shd w:val="clear" w:color="auto" w:fill="auto"/>
            <w:noWrap/>
            <w:vAlign w:val="center"/>
          </w:tcPr>
          <w:p w14:paraId="47D79F23" w14:textId="77777777" w:rsidR="0072369B" w:rsidRDefault="0072369B">
            <w:pPr>
              <w:rPr>
                <w:rFonts w:ascii="Times New Roman" w:hAnsi="Times New Roman"/>
                <w:color w:val="000000"/>
                <w:sz w:val="16"/>
                <w:szCs w:val="16"/>
              </w:rPr>
            </w:pPr>
          </w:p>
        </w:tc>
        <w:tc>
          <w:tcPr>
            <w:tcW w:w="0" w:type="auto"/>
            <w:tcBorders>
              <w:top w:val="nil"/>
              <w:left w:val="nil"/>
              <w:bottom w:val="nil"/>
              <w:right w:val="single" w:sz="4" w:space="0" w:color="auto"/>
            </w:tcBorders>
            <w:shd w:val="clear" w:color="auto" w:fill="auto"/>
            <w:noWrap/>
            <w:vAlign w:val="center"/>
          </w:tcPr>
          <w:p w14:paraId="3600EBE4"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 xml:space="preserve">　</w:t>
            </w:r>
          </w:p>
        </w:tc>
      </w:tr>
      <w:tr w:rsidR="0072369B" w14:paraId="2F676955" w14:textId="77777777">
        <w:trPr>
          <w:trHeight w:val="1760"/>
        </w:trPr>
        <w:tc>
          <w:tcPr>
            <w:tcW w:w="960" w:type="dxa"/>
            <w:vMerge/>
            <w:tcBorders>
              <w:top w:val="nil"/>
              <w:left w:val="nil"/>
              <w:bottom w:val="nil"/>
              <w:right w:val="nil"/>
            </w:tcBorders>
            <w:shd w:val="clear" w:color="auto" w:fill="auto"/>
            <w:textDirection w:val="btLr"/>
            <w:vAlign w:val="center"/>
          </w:tcPr>
          <w:p w14:paraId="5B80F187" w14:textId="77777777" w:rsidR="0072369B" w:rsidRDefault="0072369B">
            <w:pPr>
              <w:rPr>
                <w:rFonts w:ascii="Times New Roman" w:hAnsi="Times New Roman"/>
                <w:color w:val="000000"/>
                <w:sz w:val="16"/>
                <w:szCs w:val="16"/>
              </w:rPr>
            </w:pPr>
          </w:p>
        </w:tc>
        <w:tc>
          <w:tcPr>
            <w:tcW w:w="0" w:type="auto"/>
            <w:vMerge w:val="restart"/>
            <w:tcBorders>
              <w:top w:val="nil"/>
              <w:left w:val="single" w:sz="4" w:space="0" w:color="auto"/>
              <w:bottom w:val="nil"/>
              <w:right w:val="nil"/>
            </w:tcBorders>
            <w:shd w:val="clear" w:color="auto" w:fill="auto"/>
            <w:noWrap/>
            <w:textDirection w:val="btLr"/>
            <w:vAlign w:val="center"/>
          </w:tcPr>
          <w:p w14:paraId="7CBEC193" w14:textId="77777777" w:rsidR="0072369B" w:rsidRDefault="00E434B7">
            <w:pPr>
              <w:widowControl/>
              <w:jc w:val="center"/>
              <w:textAlignment w:val="center"/>
              <w:rPr>
                <w:rFonts w:ascii="Times New Roman" w:hAnsi="Times New Roman"/>
                <w:color w:val="000000"/>
                <w:sz w:val="16"/>
                <w:szCs w:val="16"/>
              </w:rPr>
            </w:pPr>
            <w:r>
              <w:rPr>
                <w:rFonts w:ascii="Times New Roman" w:hAnsi="Times New Roman"/>
                <w:color w:val="000000"/>
                <w:kern w:val="0"/>
                <w:sz w:val="16"/>
                <w:szCs w:val="16"/>
                <w:lang w:bidi="ar"/>
              </w:rPr>
              <w:t xml:space="preserve">Total BMI change </w:t>
            </w:r>
            <w:r>
              <w:rPr>
                <w:rFonts w:ascii="Times New Roman" w:hAnsi="Times New Roman"/>
                <w:color w:val="000000"/>
                <w:kern w:val="0"/>
                <w:sz w:val="16"/>
                <w:szCs w:val="16"/>
                <w:lang w:bidi="ar"/>
              </w:rPr>
              <w:t>＜</w:t>
            </w:r>
            <w:r>
              <w:rPr>
                <w:rStyle w:val="font71"/>
                <w:rFonts w:ascii="Times New Roman" w:hAnsi="Times New Roman" w:cs="Times New Roman"/>
                <w:lang w:bidi="ar"/>
              </w:rPr>
              <w:t>0</w:t>
            </w:r>
          </w:p>
        </w:tc>
        <w:tc>
          <w:tcPr>
            <w:tcW w:w="0" w:type="auto"/>
            <w:tcBorders>
              <w:top w:val="nil"/>
              <w:left w:val="single" w:sz="4" w:space="0" w:color="auto"/>
              <w:bottom w:val="nil"/>
              <w:right w:val="single" w:sz="4" w:space="0" w:color="auto"/>
            </w:tcBorders>
            <w:shd w:val="clear" w:color="auto" w:fill="auto"/>
            <w:noWrap/>
            <w:textDirection w:val="btLr"/>
            <w:vAlign w:val="center"/>
          </w:tcPr>
          <w:p w14:paraId="3D151612"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Traj 4</w:t>
            </w:r>
          </w:p>
        </w:tc>
        <w:tc>
          <w:tcPr>
            <w:tcW w:w="620" w:type="dxa"/>
            <w:vMerge w:val="restart"/>
            <w:tcBorders>
              <w:top w:val="nil"/>
              <w:left w:val="single" w:sz="4" w:space="0" w:color="auto"/>
              <w:bottom w:val="nil"/>
              <w:right w:val="single" w:sz="4" w:space="0" w:color="auto"/>
            </w:tcBorders>
            <w:shd w:val="clear" w:color="auto" w:fill="auto"/>
            <w:textDirection w:val="btLr"/>
            <w:vAlign w:val="center"/>
          </w:tcPr>
          <w:p w14:paraId="6CFC7924" w14:textId="73ED90EB" w:rsidR="0072369B" w:rsidRDefault="00E434B7">
            <w:pPr>
              <w:widowControl/>
              <w:jc w:val="center"/>
              <w:textAlignment w:val="center"/>
              <w:rPr>
                <w:rFonts w:ascii="Times New Roman" w:hAnsi="Times New Roman"/>
                <w:color w:val="000000"/>
                <w:sz w:val="16"/>
                <w:szCs w:val="16"/>
              </w:rPr>
            </w:pPr>
            <w:r>
              <w:rPr>
                <w:rFonts w:ascii="Times New Roman" w:hAnsi="Times New Roman"/>
                <w:color w:val="000000"/>
                <w:kern w:val="0"/>
                <w:sz w:val="16"/>
                <w:szCs w:val="16"/>
                <w:lang w:bidi="ar"/>
              </w:rPr>
              <w:t>β(95% CI)</w:t>
            </w:r>
            <w:r>
              <w:rPr>
                <w:rFonts w:ascii="Times New Roman" w:hAnsi="Times New Roman"/>
                <w:color w:val="000000"/>
                <w:kern w:val="0"/>
                <w:sz w:val="16"/>
                <w:szCs w:val="16"/>
              </w:rPr>
              <w:t xml:space="preserve"> </w:t>
            </w:r>
            <w:r w:rsidR="00495282">
              <w:rPr>
                <w:rFonts w:ascii="Segoe UI Symbol" w:hAnsi="Segoe UI Symbol" w:cs="Segoe UI Symbol"/>
                <w:color w:val="000000"/>
                <w:kern w:val="0"/>
                <w:sz w:val="16"/>
                <w:szCs w:val="16"/>
              </w:rPr>
              <w:t>*</w:t>
            </w:r>
            <w:r w:rsidR="00495282" w:rsidRPr="00495282">
              <w:rPr>
                <w:rFonts w:ascii="Segoe UI Symbol" w:hAnsi="Segoe UI Symbol" w:cs="Segoe UI Symbol"/>
                <w:color w:val="000000"/>
                <w:kern w:val="0"/>
                <w:sz w:val="16"/>
                <w:szCs w:val="16"/>
                <w:vertAlign w:val="superscript"/>
              </w:rPr>
              <w:t>2</w:t>
            </w:r>
            <w:r>
              <w:rPr>
                <w:rStyle w:val="font71"/>
                <w:rFonts w:ascii="Times New Roman" w:hAnsi="Times New Roman" w:cs="Times New Roman"/>
                <w:lang w:bidi="ar"/>
              </w:rPr>
              <w:t xml:space="preserve"> </w:t>
            </w:r>
            <w:r>
              <w:rPr>
                <w:rStyle w:val="font71"/>
                <w:rFonts w:ascii="Times New Roman" w:hAnsi="Times New Roman" w:cs="Times New Roman"/>
                <w:lang w:bidi="ar"/>
              </w:rPr>
              <w:br/>
              <w:t>p</w:t>
            </w:r>
          </w:p>
        </w:tc>
        <w:tc>
          <w:tcPr>
            <w:tcW w:w="620" w:type="dxa"/>
            <w:tcBorders>
              <w:top w:val="nil"/>
              <w:left w:val="nil"/>
              <w:bottom w:val="nil"/>
              <w:right w:val="nil"/>
            </w:tcBorders>
            <w:shd w:val="clear" w:color="auto" w:fill="auto"/>
            <w:textDirection w:val="btLr"/>
            <w:vAlign w:val="center"/>
          </w:tcPr>
          <w:p w14:paraId="2CC05AA8"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2.80(</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1.12,6.73)</w:t>
            </w:r>
            <w:r>
              <w:rPr>
                <w:rStyle w:val="font71"/>
                <w:rFonts w:ascii="Times New Roman" w:hAnsi="Times New Roman" w:cs="Times New Roman"/>
                <w:lang w:bidi="ar"/>
              </w:rPr>
              <w:br/>
              <w:t>0.161</w:t>
            </w:r>
          </w:p>
        </w:tc>
        <w:tc>
          <w:tcPr>
            <w:tcW w:w="620" w:type="dxa"/>
            <w:tcBorders>
              <w:top w:val="nil"/>
              <w:left w:val="nil"/>
              <w:bottom w:val="nil"/>
              <w:right w:val="nil"/>
            </w:tcBorders>
            <w:shd w:val="clear" w:color="auto" w:fill="auto"/>
            <w:textDirection w:val="btLr"/>
            <w:vAlign w:val="center"/>
          </w:tcPr>
          <w:p w14:paraId="6A62AD2E"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2.02(</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1.01,5.04)</w:t>
            </w:r>
            <w:r>
              <w:rPr>
                <w:rStyle w:val="font71"/>
                <w:rFonts w:ascii="Times New Roman" w:hAnsi="Times New Roman" w:cs="Times New Roman"/>
                <w:lang w:bidi="ar"/>
              </w:rPr>
              <w:br/>
              <w:t>0.191</w:t>
            </w:r>
          </w:p>
        </w:tc>
        <w:tc>
          <w:tcPr>
            <w:tcW w:w="620" w:type="dxa"/>
            <w:tcBorders>
              <w:top w:val="nil"/>
              <w:left w:val="nil"/>
              <w:bottom w:val="nil"/>
              <w:right w:val="nil"/>
            </w:tcBorders>
            <w:shd w:val="clear" w:color="auto" w:fill="auto"/>
            <w:textDirection w:val="btLr"/>
            <w:vAlign w:val="center"/>
          </w:tcPr>
          <w:p w14:paraId="669AA8DB"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0.02(</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0.14,0.18)</w:t>
            </w:r>
            <w:r>
              <w:rPr>
                <w:rStyle w:val="font71"/>
                <w:rFonts w:ascii="Times New Roman" w:hAnsi="Times New Roman" w:cs="Times New Roman"/>
                <w:lang w:bidi="ar"/>
              </w:rPr>
              <w:br/>
              <w:t>0.792</w:t>
            </w:r>
          </w:p>
        </w:tc>
        <w:tc>
          <w:tcPr>
            <w:tcW w:w="620" w:type="dxa"/>
            <w:tcBorders>
              <w:top w:val="nil"/>
              <w:left w:val="nil"/>
              <w:bottom w:val="nil"/>
              <w:right w:val="nil"/>
            </w:tcBorders>
            <w:shd w:val="clear" w:color="auto" w:fill="auto"/>
            <w:textDirection w:val="btLr"/>
            <w:vAlign w:val="center"/>
          </w:tcPr>
          <w:p w14:paraId="564CD005"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0.12(</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0.33,0.08)</w:t>
            </w:r>
            <w:r>
              <w:rPr>
                <w:rStyle w:val="font71"/>
                <w:rFonts w:ascii="Times New Roman" w:hAnsi="Times New Roman" w:cs="Times New Roman"/>
                <w:lang w:bidi="ar"/>
              </w:rPr>
              <w:br/>
              <w:t>0.230</w:t>
            </w:r>
          </w:p>
        </w:tc>
        <w:tc>
          <w:tcPr>
            <w:tcW w:w="620" w:type="dxa"/>
            <w:tcBorders>
              <w:top w:val="nil"/>
              <w:left w:val="nil"/>
              <w:bottom w:val="nil"/>
              <w:right w:val="nil"/>
            </w:tcBorders>
            <w:shd w:val="clear" w:color="auto" w:fill="auto"/>
            <w:textDirection w:val="btLr"/>
            <w:vAlign w:val="center"/>
          </w:tcPr>
          <w:p w14:paraId="5BD53053"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0.01(</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0.33,0.36)</w:t>
            </w:r>
            <w:r>
              <w:rPr>
                <w:rStyle w:val="font71"/>
                <w:rFonts w:ascii="Times New Roman" w:hAnsi="Times New Roman" w:cs="Times New Roman"/>
                <w:lang w:bidi="ar"/>
              </w:rPr>
              <w:br/>
              <w:t>0.938</w:t>
            </w:r>
          </w:p>
        </w:tc>
        <w:tc>
          <w:tcPr>
            <w:tcW w:w="620" w:type="dxa"/>
            <w:tcBorders>
              <w:top w:val="nil"/>
              <w:left w:val="nil"/>
              <w:bottom w:val="nil"/>
              <w:right w:val="nil"/>
            </w:tcBorders>
            <w:shd w:val="clear" w:color="auto" w:fill="auto"/>
            <w:textDirection w:val="btLr"/>
            <w:vAlign w:val="center"/>
          </w:tcPr>
          <w:p w14:paraId="1CABB832"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0.28(</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0.54,</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0.02)</w:t>
            </w:r>
            <w:r>
              <w:rPr>
                <w:rStyle w:val="font71"/>
                <w:rFonts w:ascii="Times New Roman" w:hAnsi="Times New Roman" w:cs="Times New Roman"/>
                <w:lang w:bidi="ar"/>
              </w:rPr>
              <w:br/>
              <w:t>0.037</w:t>
            </w:r>
          </w:p>
        </w:tc>
        <w:tc>
          <w:tcPr>
            <w:tcW w:w="620" w:type="dxa"/>
            <w:tcBorders>
              <w:top w:val="nil"/>
              <w:left w:val="nil"/>
              <w:bottom w:val="nil"/>
              <w:right w:val="nil"/>
            </w:tcBorders>
            <w:shd w:val="clear" w:color="auto" w:fill="auto"/>
            <w:textDirection w:val="btLr"/>
            <w:vAlign w:val="center"/>
          </w:tcPr>
          <w:p w14:paraId="02C61A0E"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0.00(</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0.12,0.13)</w:t>
            </w:r>
            <w:r>
              <w:rPr>
                <w:rStyle w:val="font71"/>
                <w:rFonts w:ascii="Times New Roman" w:hAnsi="Times New Roman" w:cs="Times New Roman"/>
                <w:lang w:bidi="ar"/>
              </w:rPr>
              <w:br/>
              <w:t>0.940</w:t>
            </w:r>
          </w:p>
        </w:tc>
        <w:tc>
          <w:tcPr>
            <w:tcW w:w="620" w:type="dxa"/>
            <w:tcBorders>
              <w:top w:val="nil"/>
              <w:left w:val="nil"/>
              <w:bottom w:val="nil"/>
              <w:right w:val="nil"/>
            </w:tcBorders>
            <w:shd w:val="clear" w:color="auto" w:fill="auto"/>
            <w:textDirection w:val="btLr"/>
            <w:vAlign w:val="center"/>
          </w:tcPr>
          <w:p w14:paraId="04E22DEE"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0.02(</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0.32,0.28)</w:t>
            </w:r>
            <w:r>
              <w:rPr>
                <w:rStyle w:val="font71"/>
                <w:rFonts w:ascii="Times New Roman" w:hAnsi="Times New Roman" w:cs="Times New Roman"/>
                <w:lang w:bidi="ar"/>
              </w:rPr>
              <w:br/>
              <w:t>0.892</w:t>
            </w:r>
          </w:p>
        </w:tc>
        <w:tc>
          <w:tcPr>
            <w:tcW w:w="620" w:type="dxa"/>
            <w:tcBorders>
              <w:top w:val="nil"/>
              <w:left w:val="nil"/>
              <w:bottom w:val="nil"/>
              <w:right w:val="nil"/>
            </w:tcBorders>
            <w:shd w:val="clear" w:color="auto" w:fill="auto"/>
            <w:textDirection w:val="btLr"/>
            <w:vAlign w:val="center"/>
          </w:tcPr>
          <w:p w14:paraId="7408C8B2"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0.01(</w:t>
            </w:r>
            <w:r>
              <w:rPr>
                <w:rFonts w:ascii="Times New Roman" w:eastAsia="Microsoft YaHei" w:hAnsi="Times New Roman"/>
                <w:color w:val="000000"/>
                <w:kern w:val="0"/>
                <w:sz w:val="16"/>
                <w:szCs w:val="16"/>
                <w:lang w:bidi="ar"/>
              </w:rPr>
              <w:t>―0</w:t>
            </w:r>
            <w:r>
              <w:rPr>
                <w:rStyle w:val="font71"/>
                <w:rFonts w:ascii="Times New Roman" w:hAnsi="Times New Roman" w:cs="Times New Roman"/>
                <w:lang w:bidi="ar"/>
              </w:rPr>
              <w:t>.01,</w:t>
            </w:r>
            <w:r>
              <w:rPr>
                <w:rFonts w:ascii="Times New Roman" w:eastAsia="Microsoft YaHei" w:hAnsi="Times New Roman"/>
                <w:color w:val="000000"/>
                <w:kern w:val="0"/>
                <w:sz w:val="16"/>
                <w:szCs w:val="16"/>
                <w:lang w:bidi="ar"/>
              </w:rPr>
              <w:t>0</w:t>
            </w:r>
            <w:r>
              <w:rPr>
                <w:rStyle w:val="font71"/>
                <w:rFonts w:ascii="Times New Roman" w:hAnsi="Times New Roman" w:cs="Times New Roman"/>
                <w:lang w:bidi="ar"/>
              </w:rPr>
              <w:t>.03)</w:t>
            </w:r>
            <w:r>
              <w:rPr>
                <w:rStyle w:val="font71"/>
                <w:rFonts w:ascii="Times New Roman" w:hAnsi="Times New Roman" w:cs="Times New Roman"/>
                <w:lang w:bidi="ar"/>
              </w:rPr>
              <w:br/>
              <w:t>0.449</w:t>
            </w:r>
          </w:p>
        </w:tc>
        <w:tc>
          <w:tcPr>
            <w:tcW w:w="620" w:type="dxa"/>
            <w:tcBorders>
              <w:top w:val="nil"/>
              <w:left w:val="nil"/>
              <w:bottom w:val="nil"/>
              <w:right w:val="nil"/>
            </w:tcBorders>
            <w:shd w:val="clear" w:color="auto" w:fill="auto"/>
            <w:textDirection w:val="btLr"/>
            <w:vAlign w:val="center"/>
          </w:tcPr>
          <w:p w14:paraId="10083F35"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w:t>
            </w:r>
            <w:r>
              <w:rPr>
                <w:rStyle w:val="font71"/>
                <w:rFonts w:ascii="Times New Roman" w:hAnsi="Times New Roman" w:cs="Times New Roman"/>
                <w:lang w:bidi="ar"/>
              </w:rPr>
              <w:t>.22(</w:t>
            </w:r>
            <w:r>
              <w:rPr>
                <w:rFonts w:ascii="Times New Roman" w:eastAsia="Microsoft YaHei" w:hAnsi="Times New Roman"/>
                <w:color w:val="000000"/>
                <w:kern w:val="0"/>
                <w:sz w:val="16"/>
                <w:szCs w:val="16"/>
                <w:lang w:bidi="ar"/>
              </w:rPr>
              <w:t>―2</w:t>
            </w:r>
            <w:r>
              <w:rPr>
                <w:rStyle w:val="font71"/>
                <w:rFonts w:ascii="Times New Roman" w:hAnsi="Times New Roman" w:cs="Times New Roman"/>
                <w:lang w:bidi="ar"/>
              </w:rPr>
              <w:t>.33,1.89)</w:t>
            </w:r>
            <w:r>
              <w:rPr>
                <w:rStyle w:val="font71"/>
                <w:rFonts w:ascii="Times New Roman" w:hAnsi="Times New Roman" w:cs="Times New Roman"/>
                <w:lang w:bidi="ar"/>
              </w:rPr>
              <w:br/>
              <w:t>0.839</w:t>
            </w:r>
          </w:p>
        </w:tc>
        <w:tc>
          <w:tcPr>
            <w:tcW w:w="620" w:type="dxa"/>
            <w:tcBorders>
              <w:top w:val="nil"/>
              <w:left w:val="nil"/>
              <w:bottom w:val="nil"/>
              <w:right w:val="single" w:sz="4" w:space="0" w:color="auto"/>
            </w:tcBorders>
            <w:shd w:val="clear" w:color="auto" w:fill="auto"/>
            <w:textDirection w:val="btLr"/>
            <w:vAlign w:val="center"/>
          </w:tcPr>
          <w:p w14:paraId="276D83D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w:t>
            </w:r>
            <w:r>
              <w:rPr>
                <w:rStyle w:val="font71"/>
                <w:rFonts w:ascii="Times New Roman" w:hAnsi="Times New Roman" w:cs="Times New Roman"/>
                <w:lang w:bidi="ar"/>
              </w:rPr>
              <w:t>.02(</w:t>
            </w:r>
            <w:r>
              <w:rPr>
                <w:rFonts w:ascii="Times New Roman" w:eastAsia="Microsoft YaHei" w:hAnsi="Times New Roman"/>
                <w:color w:val="000000"/>
                <w:kern w:val="0"/>
                <w:sz w:val="16"/>
                <w:szCs w:val="16"/>
                <w:lang w:bidi="ar"/>
              </w:rPr>
              <w:t>―0</w:t>
            </w:r>
            <w:r>
              <w:rPr>
                <w:rStyle w:val="font71"/>
                <w:rFonts w:ascii="Times New Roman" w:hAnsi="Times New Roman" w:cs="Times New Roman"/>
                <w:lang w:bidi="ar"/>
              </w:rPr>
              <w:t>.04,0.01)</w:t>
            </w:r>
            <w:r>
              <w:rPr>
                <w:rStyle w:val="font71"/>
                <w:rFonts w:ascii="Times New Roman" w:hAnsi="Times New Roman" w:cs="Times New Roman"/>
                <w:lang w:bidi="ar"/>
              </w:rPr>
              <w:br/>
              <w:t>0.220</w:t>
            </w:r>
          </w:p>
        </w:tc>
      </w:tr>
      <w:tr w:rsidR="0072369B" w14:paraId="6194A89B" w14:textId="77777777">
        <w:trPr>
          <w:trHeight w:val="1760"/>
        </w:trPr>
        <w:tc>
          <w:tcPr>
            <w:tcW w:w="960" w:type="dxa"/>
            <w:vMerge/>
            <w:tcBorders>
              <w:top w:val="nil"/>
              <w:left w:val="nil"/>
              <w:bottom w:val="nil"/>
              <w:right w:val="nil"/>
            </w:tcBorders>
            <w:shd w:val="clear" w:color="auto" w:fill="auto"/>
            <w:textDirection w:val="btLr"/>
            <w:vAlign w:val="center"/>
          </w:tcPr>
          <w:p w14:paraId="2D40AB63" w14:textId="77777777" w:rsidR="0072369B" w:rsidRDefault="0072369B">
            <w:pPr>
              <w:rPr>
                <w:rFonts w:ascii="Times New Roman" w:hAnsi="Times New Roman"/>
                <w:color w:val="000000"/>
                <w:sz w:val="16"/>
                <w:szCs w:val="16"/>
              </w:rPr>
            </w:pPr>
          </w:p>
        </w:tc>
        <w:tc>
          <w:tcPr>
            <w:tcW w:w="0" w:type="auto"/>
            <w:vMerge/>
            <w:tcBorders>
              <w:top w:val="nil"/>
              <w:left w:val="single" w:sz="4" w:space="0" w:color="auto"/>
              <w:bottom w:val="nil"/>
              <w:right w:val="nil"/>
            </w:tcBorders>
            <w:shd w:val="clear" w:color="auto" w:fill="auto"/>
            <w:noWrap/>
            <w:textDirection w:val="btLr"/>
            <w:vAlign w:val="center"/>
          </w:tcPr>
          <w:p w14:paraId="24FBAFB6" w14:textId="77777777" w:rsidR="0072369B" w:rsidRDefault="0072369B">
            <w:pPr>
              <w:jc w:val="center"/>
              <w:rPr>
                <w:rFonts w:ascii="Times New Roman" w:hAnsi="Times New Roman"/>
                <w:color w:val="000000"/>
                <w:sz w:val="16"/>
                <w:szCs w:val="16"/>
              </w:rPr>
            </w:pPr>
          </w:p>
        </w:tc>
        <w:tc>
          <w:tcPr>
            <w:tcW w:w="0" w:type="auto"/>
            <w:tcBorders>
              <w:top w:val="nil"/>
              <w:left w:val="single" w:sz="4" w:space="0" w:color="auto"/>
              <w:bottom w:val="nil"/>
              <w:right w:val="single" w:sz="4" w:space="0" w:color="auto"/>
            </w:tcBorders>
            <w:shd w:val="clear" w:color="auto" w:fill="auto"/>
            <w:noWrap/>
            <w:textDirection w:val="btLr"/>
            <w:vAlign w:val="center"/>
          </w:tcPr>
          <w:p w14:paraId="66909C2D"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Traj 3</w:t>
            </w:r>
          </w:p>
        </w:tc>
        <w:tc>
          <w:tcPr>
            <w:tcW w:w="620" w:type="dxa"/>
            <w:vMerge/>
            <w:tcBorders>
              <w:top w:val="nil"/>
              <w:left w:val="single" w:sz="4" w:space="0" w:color="auto"/>
              <w:bottom w:val="nil"/>
              <w:right w:val="single" w:sz="4" w:space="0" w:color="auto"/>
            </w:tcBorders>
            <w:shd w:val="clear" w:color="auto" w:fill="auto"/>
            <w:textDirection w:val="btLr"/>
            <w:vAlign w:val="center"/>
          </w:tcPr>
          <w:p w14:paraId="54C459FD" w14:textId="77777777" w:rsidR="0072369B" w:rsidRDefault="0072369B">
            <w:pPr>
              <w:rPr>
                <w:rFonts w:ascii="Times New Roman" w:hAnsi="Times New Roman"/>
                <w:color w:val="000000"/>
                <w:sz w:val="16"/>
                <w:szCs w:val="16"/>
              </w:rPr>
            </w:pPr>
          </w:p>
        </w:tc>
        <w:tc>
          <w:tcPr>
            <w:tcW w:w="620" w:type="dxa"/>
            <w:tcBorders>
              <w:top w:val="nil"/>
              <w:left w:val="nil"/>
              <w:bottom w:val="nil"/>
              <w:right w:val="nil"/>
            </w:tcBorders>
            <w:shd w:val="clear" w:color="auto" w:fill="auto"/>
            <w:textDirection w:val="btLr"/>
            <w:vAlign w:val="center"/>
          </w:tcPr>
          <w:p w14:paraId="0BBD317B"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―1</w:t>
            </w:r>
            <w:r>
              <w:rPr>
                <w:rStyle w:val="font71"/>
                <w:rFonts w:ascii="Times New Roman" w:hAnsi="Times New Roman" w:cs="Times New Roman"/>
                <w:lang w:bidi="ar"/>
              </w:rPr>
              <w:t>.96(</w:t>
            </w:r>
            <w:r>
              <w:rPr>
                <w:rFonts w:ascii="Times New Roman" w:eastAsia="Microsoft YaHei" w:hAnsi="Times New Roman"/>
                <w:color w:val="000000"/>
                <w:kern w:val="0"/>
                <w:sz w:val="16"/>
                <w:szCs w:val="16"/>
                <w:lang w:bidi="ar"/>
              </w:rPr>
              <w:t>―4</w:t>
            </w:r>
            <w:r>
              <w:rPr>
                <w:rStyle w:val="font71"/>
                <w:rFonts w:ascii="Times New Roman" w:hAnsi="Times New Roman" w:cs="Times New Roman"/>
                <w:lang w:bidi="ar"/>
              </w:rPr>
              <w:t>.58,0.65)</w:t>
            </w:r>
            <w:r>
              <w:rPr>
                <w:rStyle w:val="font71"/>
                <w:rFonts w:ascii="Times New Roman" w:hAnsi="Times New Roman" w:cs="Times New Roman"/>
                <w:lang w:bidi="ar"/>
              </w:rPr>
              <w:br/>
              <w:t>0.141</w:t>
            </w:r>
          </w:p>
        </w:tc>
        <w:tc>
          <w:tcPr>
            <w:tcW w:w="620" w:type="dxa"/>
            <w:tcBorders>
              <w:top w:val="nil"/>
              <w:left w:val="nil"/>
              <w:bottom w:val="nil"/>
              <w:right w:val="nil"/>
            </w:tcBorders>
            <w:shd w:val="clear" w:color="auto" w:fill="auto"/>
            <w:textDirection w:val="btLr"/>
            <w:vAlign w:val="center"/>
          </w:tcPr>
          <w:p w14:paraId="741FE4BE"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w:t>
            </w:r>
            <w:r>
              <w:rPr>
                <w:rStyle w:val="font71"/>
                <w:rFonts w:ascii="Times New Roman" w:hAnsi="Times New Roman" w:cs="Times New Roman"/>
                <w:lang w:bidi="ar"/>
              </w:rPr>
              <w:t>.92(</w:t>
            </w:r>
            <w:r>
              <w:rPr>
                <w:rFonts w:ascii="Times New Roman" w:eastAsia="Microsoft YaHei" w:hAnsi="Times New Roman"/>
                <w:color w:val="000000"/>
                <w:kern w:val="0"/>
                <w:sz w:val="16"/>
                <w:szCs w:val="16"/>
                <w:lang w:bidi="ar"/>
              </w:rPr>
              <w:t>―2</w:t>
            </w:r>
            <w:r>
              <w:rPr>
                <w:rStyle w:val="font71"/>
                <w:rFonts w:ascii="Times New Roman" w:hAnsi="Times New Roman" w:cs="Times New Roman"/>
                <w:lang w:bidi="ar"/>
              </w:rPr>
              <w:t>.94,1.10)</w:t>
            </w:r>
            <w:r>
              <w:rPr>
                <w:rStyle w:val="font71"/>
                <w:rFonts w:ascii="Times New Roman" w:hAnsi="Times New Roman" w:cs="Times New Roman"/>
                <w:lang w:bidi="ar"/>
              </w:rPr>
              <w:br/>
              <w:t>0.371</w:t>
            </w:r>
          </w:p>
        </w:tc>
        <w:tc>
          <w:tcPr>
            <w:tcW w:w="620" w:type="dxa"/>
            <w:tcBorders>
              <w:top w:val="nil"/>
              <w:left w:val="nil"/>
              <w:bottom w:val="nil"/>
              <w:right w:val="nil"/>
            </w:tcBorders>
            <w:shd w:val="clear" w:color="auto" w:fill="auto"/>
            <w:textDirection w:val="btLr"/>
            <w:vAlign w:val="center"/>
          </w:tcPr>
          <w:p w14:paraId="06973B8C"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0.02(</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0.13,0.09)</w:t>
            </w:r>
            <w:r>
              <w:rPr>
                <w:rStyle w:val="font71"/>
                <w:rFonts w:ascii="Times New Roman" w:hAnsi="Times New Roman" w:cs="Times New Roman"/>
                <w:lang w:bidi="ar"/>
              </w:rPr>
              <w:br/>
              <w:t>0.725</w:t>
            </w:r>
          </w:p>
        </w:tc>
        <w:tc>
          <w:tcPr>
            <w:tcW w:w="620" w:type="dxa"/>
            <w:tcBorders>
              <w:top w:val="nil"/>
              <w:left w:val="nil"/>
              <w:bottom w:val="nil"/>
              <w:right w:val="nil"/>
            </w:tcBorders>
            <w:shd w:val="clear" w:color="auto" w:fill="auto"/>
            <w:textDirection w:val="btLr"/>
            <w:vAlign w:val="center"/>
          </w:tcPr>
          <w:p w14:paraId="72D41A5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0.08(</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0.21,0.06)</w:t>
            </w:r>
            <w:r>
              <w:rPr>
                <w:rStyle w:val="font71"/>
                <w:rFonts w:ascii="Times New Roman" w:hAnsi="Times New Roman" w:cs="Times New Roman"/>
                <w:lang w:bidi="ar"/>
              </w:rPr>
              <w:br/>
              <w:t>0.273</w:t>
            </w:r>
          </w:p>
        </w:tc>
        <w:tc>
          <w:tcPr>
            <w:tcW w:w="620" w:type="dxa"/>
            <w:tcBorders>
              <w:top w:val="nil"/>
              <w:left w:val="nil"/>
              <w:bottom w:val="nil"/>
              <w:right w:val="nil"/>
            </w:tcBorders>
            <w:shd w:val="clear" w:color="auto" w:fill="auto"/>
            <w:textDirection w:val="btLr"/>
            <w:vAlign w:val="center"/>
          </w:tcPr>
          <w:p w14:paraId="4E03431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0.13(</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0.10,0.36)</w:t>
            </w:r>
            <w:r>
              <w:rPr>
                <w:rStyle w:val="font71"/>
                <w:rFonts w:ascii="Times New Roman" w:hAnsi="Times New Roman" w:cs="Times New Roman"/>
                <w:lang w:bidi="ar"/>
              </w:rPr>
              <w:br/>
              <w:t>0.274</w:t>
            </w:r>
          </w:p>
        </w:tc>
        <w:tc>
          <w:tcPr>
            <w:tcW w:w="620" w:type="dxa"/>
            <w:tcBorders>
              <w:top w:val="nil"/>
              <w:left w:val="nil"/>
              <w:bottom w:val="nil"/>
              <w:right w:val="nil"/>
            </w:tcBorders>
            <w:shd w:val="clear" w:color="auto" w:fill="auto"/>
            <w:textDirection w:val="btLr"/>
            <w:vAlign w:val="center"/>
          </w:tcPr>
          <w:p w14:paraId="6E3187EB"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0.04(</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0.21,0.13)</w:t>
            </w:r>
            <w:r>
              <w:rPr>
                <w:rStyle w:val="font71"/>
                <w:rFonts w:ascii="Times New Roman" w:hAnsi="Times New Roman" w:cs="Times New Roman"/>
                <w:lang w:bidi="ar"/>
              </w:rPr>
              <w:br/>
              <w:t>0.651</w:t>
            </w:r>
          </w:p>
        </w:tc>
        <w:tc>
          <w:tcPr>
            <w:tcW w:w="620" w:type="dxa"/>
            <w:tcBorders>
              <w:top w:val="nil"/>
              <w:left w:val="nil"/>
              <w:bottom w:val="nil"/>
              <w:right w:val="nil"/>
            </w:tcBorders>
            <w:shd w:val="clear" w:color="auto" w:fill="auto"/>
            <w:textDirection w:val="btLr"/>
            <w:vAlign w:val="center"/>
          </w:tcPr>
          <w:p w14:paraId="7D3835E8"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0.04(</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0.04,0.12)</w:t>
            </w:r>
            <w:r>
              <w:rPr>
                <w:rStyle w:val="font71"/>
                <w:rFonts w:ascii="Times New Roman" w:hAnsi="Times New Roman" w:cs="Times New Roman"/>
                <w:lang w:bidi="ar"/>
              </w:rPr>
              <w:br/>
              <w:t>0.344</w:t>
            </w:r>
          </w:p>
        </w:tc>
        <w:tc>
          <w:tcPr>
            <w:tcW w:w="620" w:type="dxa"/>
            <w:tcBorders>
              <w:top w:val="nil"/>
              <w:left w:val="nil"/>
              <w:bottom w:val="nil"/>
              <w:right w:val="nil"/>
            </w:tcBorders>
            <w:shd w:val="clear" w:color="auto" w:fill="auto"/>
            <w:textDirection w:val="btLr"/>
            <w:vAlign w:val="center"/>
          </w:tcPr>
          <w:p w14:paraId="70790914"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0.08(</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0.12,0.28)</w:t>
            </w:r>
            <w:r>
              <w:rPr>
                <w:rStyle w:val="font71"/>
                <w:rFonts w:ascii="Times New Roman" w:hAnsi="Times New Roman" w:cs="Times New Roman"/>
                <w:lang w:bidi="ar"/>
              </w:rPr>
              <w:br/>
              <w:t>0.416</w:t>
            </w:r>
          </w:p>
        </w:tc>
        <w:tc>
          <w:tcPr>
            <w:tcW w:w="620" w:type="dxa"/>
            <w:tcBorders>
              <w:top w:val="nil"/>
              <w:left w:val="nil"/>
              <w:bottom w:val="nil"/>
              <w:right w:val="nil"/>
            </w:tcBorders>
            <w:shd w:val="clear" w:color="auto" w:fill="auto"/>
            <w:textDirection w:val="btLr"/>
            <w:vAlign w:val="center"/>
          </w:tcPr>
          <w:p w14:paraId="6E5E3195"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w:t>
            </w:r>
            <w:r>
              <w:rPr>
                <w:rStyle w:val="font71"/>
                <w:rFonts w:ascii="Times New Roman" w:hAnsi="Times New Roman" w:cs="Times New Roman"/>
                <w:lang w:bidi="ar"/>
              </w:rPr>
              <w:t>.01(</w:t>
            </w:r>
            <w:r>
              <w:rPr>
                <w:rFonts w:ascii="Times New Roman" w:eastAsia="Microsoft YaHei" w:hAnsi="Times New Roman"/>
                <w:color w:val="000000"/>
                <w:kern w:val="0"/>
                <w:sz w:val="16"/>
                <w:szCs w:val="16"/>
                <w:lang w:bidi="ar"/>
              </w:rPr>
              <w:t>―0</w:t>
            </w:r>
            <w:r>
              <w:rPr>
                <w:rStyle w:val="font71"/>
                <w:rFonts w:ascii="Times New Roman" w:hAnsi="Times New Roman" w:cs="Times New Roman"/>
                <w:lang w:bidi="ar"/>
              </w:rPr>
              <w:t>.02,</w:t>
            </w:r>
            <w:r>
              <w:rPr>
                <w:rFonts w:ascii="Times New Roman" w:eastAsia="Microsoft YaHei" w:hAnsi="Times New Roman"/>
                <w:color w:val="000000"/>
                <w:kern w:val="0"/>
                <w:sz w:val="16"/>
                <w:szCs w:val="16"/>
                <w:lang w:bidi="ar"/>
              </w:rPr>
              <w:t>0</w:t>
            </w:r>
            <w:r>
              <w:rPr>
                <w:rStyle w:val="font71"/>
                <w:rFonts w:ascii="Times New Roman" w:hAnsi="Times New Roman" w:cs="Times New Roman"/>
                <w:lang w:bidi="ar"/>
              </w:rPr>
              <w:t>.00)</w:t>
            </w:r>
            <w:r>
              <w:rPr>
                <w:rStyle w:val="font71"/>
                <w:rFonts w:ascii="Times New Roman" w:hAnsi="Times New Roman" w:cs="Times New Roman"/>
                <w:lang w:bidi="ar"/>
              </w:rPr>
              <w:br/>
              <w:t>0.147</w:t>
            </w:r>
          </w:p>
        </w:tc>
        <w:tc>
          <w:tcPr>
            <w:tcW w:w="620" w:type="dxa"/>
            <w:tcBorders>
              <w:top w:val="nil"/>
              <w:left w:val="nil"/>
              <w:bottom w:val="nil"/>
              <w:right w:val="nil"/>
            </w:tcBorders>
            <w:shd w:val="clear" w:color="auto" w:fill="auto"/>
            <w:textDirection w:val="btLr"/>
            <w:vAlign w:val="center"/>
          </w:tcPr>
          <w:p w14:paraId="2EA121EF"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―2</w:t>
            </w:r>
            <w:r>
              <w:rPr>
                <w:rStyle w:val="font71"/>
                <w:rFonts w:ascii="Times New Roman" w:hAnsi="Times New Roman" w:cs="Times New Roman"/>
                <w:lang w:bidi="ar"/>
              </w:rPr>
              <w:t>.11(</w:t>
            </w:r>
            <w:r>
              <w:rPr>
                <w:rFonts w:ascii="Times New Roman" w:eastAsia="Microsoft YaHei" w:hAnsi="Times New Roman"/>
                <w:color w:val="000000"/>
                <w:kern w:val="0"/>
                <w:sz w:val="16"/>
                <w:szCs w:val="16"/>
                <w:lang w:bidi="ar"/>
              </w:rPr>
              <w:t>―3</w:t>
            </w:r>
            <w:r>
              <w:rPr>
                <w:rStyle w:val="font71"/>
                <w:rFonts w:ascii="Times New Roman" w:hAnsi="Times New Roman" w:cs="Times New Roman"/>
                <w:lang w:bidi="ar"/>
              </w:rPr>
              <w:t>.51,</w:t>
            </w:r>
            <w:r>
              <w:rPr>
                <w:rFonts w:ascii="Times New Roman" w:eastAsia="Microsoft YaHei" w:hAnsi="Times New Roman"/>
                <w:color w:val="000000"/>
                <w:kern w:val="0"/>
                <w:sz w:val="16"/>
                <w:szCs w:val="16"/>
                <w:lang w:bidi="ar"/>
              </w:rPr>
              <w:t>―0</w:t>
            </w:r>
            <w:r>
              <w:rPr>
                <w:rStyle w:val="font71"/>
                <w:rFonts w:ascii="Times New Roman" w:hAnsi="Times New Roman" w:cs="Times New Roman"/>
                <w:lang w:bidi="ar"/>
              </w:rPr>
              <w:t>.70)</w:t>
            </w:r>
            <w:r>
              <w:rPr>
                <w:rStyle w:val="font71"/>
                <w:rFonts w:ascii="Times New Roman" w:hAnsi="Times New Roman" w:cs="Times New Roman"/>
                <w:lang w:bidi="ar"/>
              </w:rPr>
              <w:br/>
              <w:t>0.003</w:t>
            </w:r>
          </w:p>
        </w:tc>
        <w:tc>
          <w:tcPr>
            <w:tcW w:w="620" w:type="dxa"/>
            <w:tcBorders>
              <w:top w:val="nil"/>
              <w:left w:val="nil"/>
              <w:bottom w:val="nil"/>
              <w:right w:val="single" w:sz="4" w:space="0" w:color="auto"/>
            </w:tcBorders>
            <w:shd w:val="clear" w:color="auto" w:fill="auto"/>
            <w:textDirection w:val="btLr"/>
            <w:vAlign w:val="center"/>
          </w:tcPr>
          <w:p w14:paraId="769F8A97"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w:t>
            </w:r>
            <w:r>
              <w:rPr>
                <w:rStyle w:val="font71"/>
                <w:rFonts w:ascii="Times New Roman" w:hAnsi="Times New Roman" w:cs="Times New Roman"/>
                <w:lang w:bidi="ar"/>
              </w:rPr>
              <w:t>.00(</w:t>
            </w:r>
            <w:r>
              <w:rPr>
                <w:rFonts w:ascii="Times New Roman" w:eastAsia="Microsoft YaHei" w:hAnsi="Times New Roman"/>
                <w:color w:val="000000"/>
                <w:kern w:val="0"/>
                <w:sz w:val="16"/>
                <w:szCs w:val="16"/>
                <w:lang w:bidi="ar"/>
              </w:rPr>
              <w:t>―0</w:t>
            </w:r>
            <w:r>
              <w:rPr>
                <w:rStyle w:val="font71"/>
                <w:rFonts w:ascii="Times New Roman" w:hAnsi="Times New Roman" w:cs="Times New Roman"/>
                <w:lang w:bidi="ar"/>
              </w:rPr>
              <w:t>.02,</w:t>
            </w:r>
            <w:r>
              <w:rPr>
                <w:rFonts w:ascii="Times New Roman" w:eastAsia="Microsoft YaHei" w:hAnsi="Times New Roman"/>
                <w:color w:val="000000"/>
                <w:kern w:val="0"/>
                <w:sz w:val="16"/>
                <w:szCs w:val="16"/>
                <w:lang w:bidi="ar"/>
              </w:rPr>
              <w:t>0</w:t>
            </w:r>
            <w:r>
              <w:rPr>
                <w:rStyle w:val="font71"/>
                <w:rFonts w:ascii="Times New Roman" w:hAnsi="Times New Roman" w:cs="Times New Roman"/>
                <w:lang w:bidi="ar"/>
              </w:rPr>
              <w:t>.02)</w:t>
            </w:r>
            <w:r>
              <w:rPr>
                <w:rStyle w:val="font71"/>
                <w:rFonts w:ascii="Times New Roman" w:hAnsi="Times New Roman" w:cs="Times New Roman"/>
                <w:lang w:bidi="ar"/>
              </w:rPr>
              <w:br/>
              <w:t>0.952</w:t>
            </w:r>
          </w:p>
        </w:tc>
      </w:tr>
      <w:tr w:rsidR="0072369B" w14:paraId="619B120E" w14:textId="77777777">
        <w:trPr>
          <w:trHeight w:val="1760"/>
        </w:trPr>
        <w:tc>
          <w:tcPr>
            <w:tcW w:w="960" w:type="dxa"/>
            <w:vMerge/>
            <w:tcBorders>
              <w:top w:val="nil"/>
              <w:left w:val="nil"/>
              <w:bottom w:val="nil"/>
              <w:right w:val="nil"/>
            </w:tcBorders>
            <w:shd w:val="clear" w:color="auto" w:fill="auto"/>
            <w:textDirection w:val="btLr"/>
            <w:vAlign w:val="center"/>
          </w:tcPr>
          <w:p w14:paraId="1F1535ED" w14:textId="77777777" w:rsidR="0072369B" w:rsidRDefault="0072369B">
            <w:pPr>
              <w:rPr>
                <w:rFonts w:ascii="Times New Roman" w:hAnsi="Times New Roman"/>
                <w:color w:val="000000"/>
                <w:sz w:val="16"/>
                <w:szCs w:val="16"/>
              </w:rPr>
            </w:pPr>
          </w:p>
        </w:tc>
        <w:tc>
          <w:tcPr>
            <w:tcW w:w="0" w:type="auto"/>
            <w:vMerge/>
            <w:tcBorders>
              <w:top w:val="nil"/>
              <w:left w:val="single" w:sz="4" w:space="0" w:color="auto"/>
              <w:bottom w:val="nil"/>
              <w:right w:val="nil"/>
            </w:tcBorders>
            <w:shd w:val="clear" w:color="auto" w:fill="auto"/>
            <w:noWrap/>
            <w:textDirection w:val="btLr"/>
            <w:vAlign w:val="center"/>
          </w:tcPr>
          <w:p w14:paraId="0BC282FE" w14:textId="77777777" w:rsidR="0072369B" w:rsidRDefault="0072369B">
            <w:pPr>
              <w:jc w:val="center"/>
              <w:rPr>
                <w:rFonts w:ascii="Times New Roman" w:hAnsi="Times New Roman"/>
                <w:color w:val="000000"/>
                <w:sz w:val="16"/>
                <w:szCs w:val="16"/>
              </w:rPr>
            </w:pPr>
          </w:p>
        </w:tc>
        <w:tc>
          <w:tcPr>
            <w:tcW w:w="0" w:type="auto"/>
            <w:tcBorders>
              <w:top w:val="nil"/>
              <w:left w:val="single" w:sz="4" w:space="0" w:color="auto"/>
              <w:bottom w:val="nil"/>
              <w:right w:val="single" w:sz="4" w:space="0" w:color="auto"/>
            </w:tcBorders>
            <w:shd w:val="clear" w:color="auto" w:fill="auto"/>
            <w:noWrap/>
            <w:textDirection w:val="btLr"/>
            <w:vAlign w:val="center"/>
          </w:tcPr>
          <w:p w14:paraId="4027FF19"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Traj 2</w:t>
            </w:r>
          </w:p>
        </w:tc>
        <w:tc>
          <w:tcPr>
            <w:tcW w:w="620" w:type="dxa"/>
            <w:vMerge/>
            <w:tcBorders>
              <w:top w:val="nil"/>
              <w:left w:val="single" w:sz="4" w:space="0" w:color="auto"/>
              <w:bottom w:val="nil"/>
              <w:right w:val="single" w:sz="4" w:space="0" w:color="auto"/>
            </w:tcBorders>
            <w:shd w:val="clear" w:color="auto" w:fill="auto"/>
            <w:textDirection w:val="btLr"/>
            <w:vAlign w:val="center"/>
          </w:tcPr>
          <w:p w14:paraId="59723E18" w14:textId="77777777" w:rsidR="0072369B" w:rsidRDefault="0072369B">
            <w:pPr>
              <w:rPr>
                <w:rFonts w:ascii="Times New Roman" w:hAnsi="Times New Roman"/>
                <w:color w:val="000000"/>
                <w:sz w:val="16"/>
                <w:szCs w:val="16"/>
              </w:rPr>
            </w:pPr>
          </w:p>
        </w:tc>
        <w:tc>
          <w:tcPr>
            <w:tcW w:w="620" w:type="dxa"/>
            <w:tcBorders>
              <w:top w:val="nil"/>
              <w:left w:val="nil"/>
              <w:bottom w:val="nil"/>
              <w:right w:val="nil"/>
            </w:tcBorders>
            <w:shd w:val="clear" w:color="auto" w:fill="auto"/>
            <w:textDirection w:val="btLr"/>
            <w:vAlign w:val="center"/>
          </w:tcPr>
          <w:p w14:paraId="0EC4FAA9"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―3</w:t>
            </w:r>
            <w:r>
              <w:rPr>
                <w:rStyle w:val="font71"/>
                <w:rFonts w:ascii="Times New Roman" w:hAnsi="Times New Roman" w:cs="Times New Roman"/>
                <w:lang w:bidi="ar"/>
              </w:rPr>
              <w:t>.48(</w:t>
            </w:r>
            <w:r>
              <w:rPr>
                <w:rFonts w:ascii="Times New Roman" w:eastAsia="Microsoft YaHei" w:hAnsi="Times New Roman"/>
                <w:color w:val="000000"/>
                <w:kern w:val="0"/>
                <w:sz w:val="16"/>
                <w:szCs w:val="16"/>
                <w:lang w:bidi="ar"/>
              </w:rPr>
              <w:t>―6</w:t>
            </w:r>
            <w:r>
              <w:rPr>
                <w:rStyle w:val="font71"/>
                <w:rFonts w:ascii="Times New Roman" w:hAnsi="Times New Roman" w:cs="Times New Roman"/>
                <w:lang w:bidi="ar"/>
              </w:rPr>
              <w:t>.37,</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0.59)</w:t>
            </w:r>
            <w:r>
              <w:rPr>
                <w:rStyle w:val="font71"/>
                <w:rFonts w:ascii="Times New Roman" w:hAnsi="Times New Roman" w:cs="Times New Roman"/>
                <w:lang w:bidi="ar"/>
              </w:rPr>
              <w:br/>
              <w:t>0.018</w:t>
            </w:r>
          </w:p>
        </w:tc>
        <w:tc>
          <w:tcPr>
            <w:tcW w:w="620" w:type="dxa"/>
            <w:tcBorders>
              <w:top w:val="nil"/>
              <w:left w:val="nil"/>
              <w:bottom w:val="nil"/>
              <w:right w:val="nil"/>
            </w:tcBorders>
            <w:shd w:val="clear" w:color="auto" w:fill="auto"/>
            <w:textDirection w:val="btLr"/>
            <w:vAlign w:val="center"/>
          </w:tcPr>
          <w:p w14:paraId="35D0D400"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0.63(</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2.86,1.60)</w:t>
            </w:r>
            <w:r>
              <w:rPr>
                <w:rStyle w:val="font71"/>
                <w:rFonts w:ascii="Times New Roman" w:hAnsi="Times New Roman" w:cs="Times New Roman"/>
                <w:lang w:bidi="ar"/>
              </w:rPr>
              <w:br/>
              <w:t>0.579</w:t>
            </w:r>
          </w:p>
        </w:tc>
        <w:tc>
          <w:tcPr>
            <w:tcW w:w="620" w:type="dxa"/>
            <w:tcBorders>
              <w:top w:val="nil"/>
              <w:left w:val="nil"/>
              <w:bottom w:val="nil"/>
              <w:right w:val="nil"/>
            </w:tcBorders>
            <w:shd w:val="clear" w:color="auto" w:fill="auto"/>
            <w:textDirection w:val="btLr"/>
            <w:vAlign w:val="center"/>
          </w:tcPr>
          <w:p w14:paraId="2761DD17"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0.16(</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0.28,</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0.04)</w:t>
            </w:r>
            <w:r>
              <w:rPr>
                <w:rStyle w:val="font71"/>
                <w:rFonts w:ascii="Times New Roman" w:hAnsi="Times New Roman" w:cs="Times New Roman"/>
                <w:lang w:bidi="ar"/>
              </w:rPr>
              <w:br/>
              <w:t>0.009</w:t>
            </w:r>
          </w:p>
        </w:tc>
        <w:tc>
          <w:tcPr>
            <w:tcW w:w="620" w:type="dxa"/>
            <w:tcBorders>
              <w:top w:val="nil"/>
              <w:left w:val="nil"/>
              <w:bottom w:val="nil"/>
              <w:right w:val="nil"/>
            </w:tcBorders>
            <w:shd w:val="clear" w:color="auto" w:fill="auto"/>
            <w:textDirection w:val="btLr"/>
            <w:vAlign w:val="center"/>
          </w:tcPr>
          <w:p w14:paraId="706B9411"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0.37(</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0.52,</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0.22)</w:t>
            </w:r>
            <w:r>
              <w:rPr>
                <w:rStyle w:val="font71"/>
                <w:rFonts w:ascii="Times New Roman" w:hAnsi="Times New Roman" w:cs="Times New Roman"/>
                <w:lang w:bidi="ar"/>
              </w:rPr>
              <w:br/>
              <w:t>0.000</w:t>
            </w:r>
          </w:p>
        </w:tc>
        <w:tc>
          <w:tcPr>
            <w:tcW w:w="620" w:type="dxa"/>
            <w:tcBorders>
              <w:top w:val="nil"/>
              <w:left w:val="nil"/>
              <w:bottom w:val="nil"/>
              <w:right w:val="nil"/>
            </w:tcBorders>
            <w:shd w:val="clear" w:color="auto" w:fill="auto"/>
            <w:textDirection w:val="btLr"/>
            <w:vAlign w:val="center"/>
          </w:tcPr>
          <w:p w14:paraId="6A1C52C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0.03(</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0.29,0.22)</w:t>
            </w:r>
            <w:r>
              <w:rPr>
                <w:rStyle w:val="font71"/>
                <w:rFonts w:ascii="Times New Roman" w:hAnsi="Times New Roman" w:cs="Times New Roman"/>
                <w:lang w:bidi="ar"/>
              </w:rPr>
              <w:br/>
              <w:t>0.790</w:t>
            </w:r>
          </w:p>
        </w:tc>
        <w:tc>
          <w:tcPr>
            <w:tcW w:w="620" w:type="dxa"/>
            <w:tcBorders>
              <w:top w:val="nil"/>
              <w:left w:val="nil"/>
              <w:bottom w:val="nil"/>
              <w:right w:val="nil"/>
            </w:tcBorders>
            <w:shd w:val="clear" w:color="auto" w:fill="auto"/>
            <w:textDirection w:val="btLr"/>
            <w:vAlign w:val="center"/>
          </w:tcPr>
          <w:p w14:paraId="5BA066D8"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0.28(</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0.48,</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0.09)</w:t>
            </w:r>
            <w:r>
              <w:rPr>
                <w:rStyle w:val="font71"/>
                <w:rFonts w:ascii="Times New Roman" w:hAnsi="Times New Roman" w:cs="Times New Roman"/>
                <w:lang w:bidi="ar"/>
              </w:rPr>
              <w:br/>
              <w:t>0.004</w:t>
            </w:r>
          </w:p>
        </w:tc>
        <w:tc>
          <w:tcPr>
            <w:tcW w:w="620" w:type="dxa"/>
            <w:tcBorders>
              <w:top w:val="nil"/>
              <w:left w:val="nil"/>
              <w:bottom w:val="nil"/>
              <w:right w:val="nil"/>
            </w:tcBorders>
            <w:shd w:val="clear" w:color="auto" w:fill="auto"/>
            <w:textDirection w:val="btLr"/>
            <w:vAlign w:val="center"/>
          </w:tcPr>
          <w:p w14:paraId="33966268"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0.14(0.05,0.23)</w:t>
            </w:r>
            <w:r>
              <w:rPr>
                <w:rFonts w:ascii="Times New Roman" w:hAnsi="Times New Roman"/>
                <w:color w:val="000000"/>
                <w:kern w:val="0"/>
                <w:sz w:val="16"/>
                <w:szCs w:val="16"/>
                <w:lang w:bidi="ar"/>
              </w:rPr>
              <w:br/>
              <w:t>0.003</w:t>
            </w:r>
          </w:p>
        </w:tc>
        <w:tc>
          <w:tcPr>
            <w:tcW w:w="620" w:type="dxa"/>
            <w:tcBorders>
              <w:top w:val="nil"/>
              <w:left w:val="nil"/>
              <w:bottom w:val="nil"/>
              <w:right w:val="nil"/>
            </w:tcBorders>
            <w:shd w:val="clear" w:color="auto" w:fill="auto"/>
            <w:textDirection w:val="btLr"/>
            <w:vAlign w:val="center"/>
          </w:tcPr>
          <w:p w14:paraId="2B4A05E0"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0.11(</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0.32,0.11)</w:t>
            </w:r>
            <w:r>
              <w:rPr>
                <w:rStyle w:val="font71"/>
                <w:rFonts w:ascii="Times New Roman" w:hAnsi="Times New Roman" w:cs="Times New Roman"/>
                <w:lang w:bidi="ar"/>
              </w:rPr>
              <w:br/>
              <w:t>0.342</w:t>
            </w:r>
          </w:p>
        </w:tc>
        <w:tc>
          <w:tcPr>
            <w:tcW w:w="620" w:type="dxa"/>
            <w:tcBorders>
              <w:top w:val="nil"/>
              <w:left w:val="nil"/>
              <w:bottom w:val="nil"/>
              <w:right w:val="nil"/>
            </w:tcBorders>
            <w:shd w:val="clear" w:color="auto" w:fill="auto"/>
            <w:textDirection w:val="btLr"/>
            <w:vAlign w:val="center"/>
          </w:tcPr>
          <w:p w14:paraId="51D030E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w:t>
            </w:r>
            <w:r>
              <w:rPr>
                <w:rStyle w:val="font71"/>
                <w:rFonts w:ascii="Times New Roman" w:hAnsi="Times New Roman" w:cs="Times New Roman"/>
                <w:lang w:bidi="ar"/>
              </w:rPr>
              <w:t>.02(</w:t>
            </w:r>
            <w:r>
              <w:rPr>
                <w:rFonts w:ascii="Times New Roman" w:eastAsia="Microsoft YaHei" w:hAnsi="Times New Roman"/>
                <w:color w:val="000000"/>
                <w:kern w:val="0"/>
                <w:sz w:val="16"/>
                <w:szCs w:val="16"/>
                <w:lang w:bidi="ar"/>
              </w:rPr>
              <w:t>―0</w:t>
            </w:r>
            <w:r>
              <w:rPr>
                <w:rStyle w:val="font71"/>
                <w:rFonts w:ascii="Times New Roman" w:hAnsi="Times New Roman" w:cs="Times New Roman"/>
                <w:lang w:bidi="ar"/>
              </w:rPr>
              <w:t>.04,</w:t>
            </w:r>
            <w:r>
              <w:rPr>
                <w:rFonts w:ascii="Times New Roman" w:eastAsia="Microsoft YaHei" w:hAnsi="Times New Roman"/>
                <w:color w:val="000000"/>
                <w:kern w:val="0"/>
                <w:sz w:val="16"/>
                <w:szCs w:val="16"/>
                <w:lang w:bidi="ar"/>
              </w:rPr>
              <w:t>―0</w:t>
            </w:r>
            <w:r>
              <w:rPr>
                <w:rStyle w:val="font71"/>
                <w:rFonts w:ascii="Times New Roman" w:hAnsi="Times New Roman" w:cs="Times New Roman"/>
                <w:lang w:bidi="ar"/>
              </w:rPr>
              <w:t>.01)</w:t>
            </w:r>
            <w:r>
              <w:rPr>
                <w:rStyle w:val="font71"/>
                <w:rFonts w:ascii="Times New Roman" w:hAnsi="Times New Roman" w:cs="Times New Roman"/>
                <w:lang w:bidi="ar"/>
              </w:rPr>
              <w:br/>
              <w:t>0.000</w:t>
            </w:r>
          </w:p>
        </w:tc>
        <w:tc>
          <w:tcPr>
            <w:tcW w:w="620" w:type="dxa"/>
            <w:tcBorders>
              <w:top w:val="nil"/>
              <w:left w:val="nil"/>
              <w:bottom w:val="nil"/>
              <w:right w:val="nil"/>
            </w:tcBorders>
            <w:shd w:val="clear" w:color="auto" w:fill="auto"/>
            <w:textDirection w:val="btLr"/>
            <w:vAlign w:val="center"/>
          </w:tcPr>
          <w:p w14:paraId="3AF0CF2E"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―3</w:t>
            </w:r>
            <w:r>
              <w:rPr>
                <w:rStyle w:val="font71"/>
                <w:rFonts w:ascii="Times New Roman" w:hAnsi="Times New Roman" w:cs="Times New Roman"/>
                <w:lang w:bidi="ar"/>
              </w:rPr>
              <w:t>.94(</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5.50,</w:t>
            </w:r>
            <w:r>
              <w:rPr>
                <w:rFonts w:ascii="Times New Roman" w:eastAsia="Microsoft YaHei" w:hAnsi="Times New Roman"/>
                <w:color w:val="000000"/>
                <w:kern w:val="0"/>
                <w:sz w:val="16"/>
                <w:szCs w:val="16"/>
                <w:lang w:bidi="ar"/>
              </w:rPr>
              <w:t>―2</w:t>
            </w:r>
            <w:r>
              <w:rPr>
                <w:rStyle w:val="font71"/>
                <w:rFonts w:ascii="Times New Roman" w:hAnsi="Times New Roman" w:cs="Times New Roman"/>
                <w:lang w:bidi="ar"/>
              </w:rPr>
              <w:t>.39)</w:t>
            </w:r>
            <w:r>
              <w:rPr>
                <w:rStyle w:val="font71"/>
                <w:rFonts w:ascii="Times New Roman" w:hAnsi="Times New Roman" w:cs="Times New Roman"/>
                <w:lang w:bidi="ar"/>
              </w:rPr>
              <w:br/>
              <w:t>0.000</w:t>
            </w:r>
          </w:p>
        </w:tc>
        <w:tc>
          <w:tcPr>
            <w:tcW w:w="620" w:type="dxa"/>
            <w:tcBorders>
              <w:top w:val="nil"/>
              <w:left w:val="nil"/>
              <w:bottom w:val="nil"/>
              <w:right w:val="single" w:sz="4" w:space="0" w:color="auto"/>
            </w:tcBorders>
            <w:shd w:val="clear" w:color="auto" w:fill="auto"/>
            <w:textDirection w:val="btLr"/>
            <w:vAlign w:val="center"/>
          </w:tcPr>
          <w:p w14:paraId="4348F991"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w:t>
            </w:r>
            <w:r>
              <w:rPr>
                <w:rStyle w:val="font71"/>
                <w:rFonts w:ascii="Times New Roman" w:hAnsi="Times New Roman" w:cs="Times New Roman"/>
                <w:lang w:bidi="ar"/>
              </w:rPr>
              <w:t>.02(</w:t>
            </w:r>
            <w:r>
              <w:rPr>
                <w:rFonts w:ascii="Times New Roman" w:eastAsia="Microsoft YaHei" w:hAnsi="Times New Roman"/>
                <w:color w:val="000000"/>
                <w:kern w:val="0"/>
                <w:sz w:val="16"/>
                <w:szCs w:val="16"/>
                <w:lang w:bidi="ar"/>
              </w:rPr>
              <w:t>―0</w:t>
            </w:r>
            <w:r>
              <w:rPr>
                <w:rStyle w:val="font71"/>
                <w:rFonts w:ascii="Times New Roman" w:hAnsi="Times New Roman" w:cs="Times New Roman"/>
                <w:lang w:bidi="ar"/>
              </w:rPr>
              <w:t>.04,</w:t>
            </w:r>
            <w:r>
              <w:rPr>
                <w:rFonts w:ascii="Times New Roman" w:eastAsia="Microsoft YaHei" w:hAnsi="Times New Roman"/>
                <w:color w:val="000000"/>
                <w:kern w:val="0"/>
                <w:sz w:val="16"/>
                <w:szCs w:val="16"/>
                <w:lang w:bidi="ar"/>
              </w:rPr>
              <w:t>―0</w:t>
            </w:r>
            <w:r>
              <w:rPr>
                <w:rStyle w:val="font71"/>
                <w:rFonts w:ascii="Times New Roman" w:hAnsi="Times New Roman" w:cs="Times New Roman"/>
                <w:lang w:bidi="ar"/>
              </w:rPr>
              <w:t>.00)</w:t>
            </w:r>
            <w:r>
              <w:rPr>
                <w:rStyle w:val="font71"/>
                <w:rFonts w:ascii="Times New Roman" w:hAnsi="Times New Roman" w:cs="Times New Roman"/>
                <w:lang w:bidi="ar"/>
              </w:rPr>
              <w:br/>
              <w:t>0.027</w:t>
            </w:r>
          </w:p>
        </w:tc>
      </w:tr>
      <w:tr w:rsidR="0072369B" w14:paraId="5D189886" w14:textId="77777777">
        <w:trPr>
          <w:trHeight w:val="1760"/>
        </w:trPr>
        <w:tc>
          <w:tcPr>
            <w:tcW w:w="960" w:type="dxa"/>
            <w:vMerge/>
            <w:tcBorders>
              <w:top w:val="nil"/>
              <w:left w:val="nil"/>
              <w:bottom w:val="nil"/>
              <w:right w:val="nil"/>
            </w:tcBorders>
            <w:shd w:val="clear" w:color="auto" w:fill="auto"/>
            <w:textDirection w:val="btLr"/>
            <w:vAlign w:val="center"/>
          </w:tcPr>
          <w:p w14:paraId="15108FE2" w14:textId="77777777" w:rsidR="0072369B" w:rsidRDefault="0072369B">
            <w:pPr>
              <w:rPr>
                <w:rFonts w:ascii="Times New Roman" w:hAnsi="Times New Roman"/>
                <w:color w:val="000000"/>
                <w:sz w:val="16"/>
                <w:szCs w:val="16"/>
              </w:rPr>
            </w:pPr>
          </w:p>
        </w:tc>
        <w:tc>
          <w:tcPr>
            <w:tcW w:w="0" w:type="auto"/>
            <w:vMerge/>
            <w:tcBorders>
              <w:top w:val="nil"/>
              <w:left w:val="single" w:sz="4" w:space="0" w:color="auto"/>
              <w:bottom w:val="nil"/>
              <w:right w:val="nil"/>
            </w:tcBorders>
            <w:shd w:val="clear" w:color="auto" w:fill="auto"/>
            <w:noWrap/>
            <w:textDirection w:val="btLr"/>
            <w:vAlign w:val="center"/>
          </w:tcPr>
          <w:p w14:paraId="376CA10D" w14:textId="77777777" w:rsidR="0072369B" w:rsidRDefault="0072369B">
            <w:pPr>
              <w:jc w:val="center"/>
              <w:rPr>
                <w:rFonts w:ascii="Times New Roman" w:hAnsi="Times New Roman"/>
                <w:color w:val="000000"/>
                <w:sz w:val="16"/>
                <w:szCs w:val="16"/>
              </w:rPr>
            </w:pPr>
          </w:p>
        </w:tc>
        <w:tc>
          <w:tcPr>
            <w:tcW w:w="0" w:type="auto"/>
            <w:tcBorders>
              <w:top w:val="nil"/>
              <w:left w:val="single" w:sz="4" w:space="0" w:color="auto"/>
              <w:bottom w:val="nil"/>
              <w:right w:val="single" w:sz="4" w:space="0" w:color="auto"/>
            </w:tcBorders>
            <w:shd w:val="clear" w:color="auto" w:fill="auto"/>
            <w:noWrap/>
            <w:textDirection w:val="btLr"/>
            <w:vAlign w:val="center"/>
          </w:tcPr>
          <w:p w14:paraId="5D6B424B"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Traj 1</w:t>
            </w:r>
          </w:p>
        </w:tc>
        <w:tc>
          <w:tcPr>
            <w:tcW w:w="620" w:type="dxa"/>
            <w:vMerge/>
            <w:tcBorders>
              <w:top w:val="nil"/>
              <w:left w:val="single" w:sz="4" w:space="0" w:color="auto"/>
              <w:bottom w:val="nil"/>
              <w:right w:val="single" w:sz="4" w:space="0" w:color="auto"/>
            </w:tcBorders>
            <w:shd w:val="clear" w:color="auto" w:fill="auto"/>
            <w:textDirection w:val="btLr"/>
            <w:vAlign w:val="center"/>
          </w:tcPr>
          <w:p w14:paraId="76DB1787" w14:textId="77777777" w:rsidR="0072369B" w:rsidRDefault="0072369B">
            <w:pPr>
              <w:rPr>
                <w:rFonts w:ascii="Times New Roman" w:hAnsi="Times New Roman"/>
                <w:color w:val="000000"/>
                <w:sz w:val="16"/>
                <w:szCs w:val="16"/>
              </w:rPr>
            </w:pPr>
          </w:p>
        </w:tc>
        <w:tc>
          <w:tcPr>
            <w:tcW w:w="620" w:type="dxa"/>
            <w:tcBorders>
              <w:top w:val="nil"/>
              <w:left w:val="nil"/>
              <w:bottom w:val="nil"/>
              <w:right w:val="nil"/>
            </w:tcBorders>
            <w:shd w:val="clear" w:color="auto" w:fill="auto"/>
            <w:textDirection w:val="btLr"/>
            <w:vAlign w:val="center"/>
          </w:tcPr>
          <w:p w14:paraId="4E227F8B"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1</w:t>
            </w:r>
            <w:r>
              <w:rPr>
                <w:rStyle w:val="font71"/>
                <w:rFonts w:ascii="Times New Roman" w:hAnsi="Times New Roman" w:cs="Times New Roman"/>
                <w:lang w:bidi="ar"/>
              </w:rPr>
              <w:t>.82(</w:t>
            </w:r>
            <w:r>
              <w:rPr>
                <w:rFonts w:ascii="Times New Roman" w:eastAsia="Microsoft YaHei" w:hAnsi="Times New Roman"/>
                <w:color w:val="000000"/>
                <w:kern w:val="0"/>
                <w:sz w:val="16"/>
                <w:szCs w:val="16"/>
                <w:lang w:bidi="ar"/>
              </w:rPr>
              <w:t>―2</w:t>
            </w:r>
            <w:r>
              <w:rPr>
                <w:rStyle w:val="font71"/>
                <w:rFonts w:ascii="Times New Roman" w:hAnsi="Times New Roman" w:cs="Times New Roman"/>
                <w:lang w:bidi="ar"/>
              </w:rPr>
              <w:t>.11,5.74)</w:t>
            </w:r>
            <w:r>
              <w:rPr>
                <w:rStyle w:val="font71"/>
                <w:rFonts w:ascii="Times New Roman" w:hAnsi="Times New Roman" w:cs="Times New Roman"/>
                <w:lang w:bidi="ar"/>
              </w:rPr>
              <w:br/>
              <w:t>0.364</w:t>
            </w:r>
          </w:p>
        </w:tc>
        <w:tc>
          <w:tcPr>
            <w:tcW w:w="620" w:type="dxa"/>
            <w:tcBorders>
              <w:top w:val="nil"/>
              <w:left w:val="nil"/>
              <w:bottom w:val="nil"/>
              <w:right w:val="nil"/>
            </w:tcBorders>
            <w:shd w:val="clear" w:color="auto" w:fill="auto"/>
            <w:textDirection w:val="btLr"/>
            <w:vAlign w:val="center"/>
          </w:tcPr>
          <w:p w14:paraId="1C83C7BF"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1</w:t>
            </w:r>
            <w:r>
              <w:rPr>
                <w:rStyle w:val="font71"/>
                <w:rFonts w:ascii="Times New Roman" w:hAnsi="Times New Roman" w:cs="Times New Roman"/>
                <w:lang w:bidi="ar"/>
              </w:rPr>
              <w:t>.32(</w:t>
            </w:r>
            <w:r>
              <w:rPr>
                <w:rFonts w:ascii="Times New Roman" w:eastAsia="Microsoft YaHei" w:hAnsi="Times New Roman"/>
                <w:color w:val="000000"/>
                <w:kern w:val="0"/>
                <w:sz w:val="16"/>
                <w:szCs w:val="16"/>
                <w:lang w:bidi="ar"/>
              </w:rPr>
              <w:t>―1</w:t>
            </w:r>
            <w:r>
              <w:rPr>
                <w:rStyle w:val="font71"/>
                <w:rFonts w:ascii="Times New Roman" w:hAnsi="Times New Roman" w:cs="Times New Roman"/>
                <w:lang w:bidi="ar"/>
              </w:rPr>
              <w:t>.70,4.35)</w:t>
            </w:r>
            <w:r>
              <w:rPr>
                <w:rStyle w:val="font71"/>
                <w:rFonts w:ascii="Times New Roman" w:hAnsi="Times New Roman" w:cs="Times New Roman"/>
                <w:lang w:bidi="ar"/>
              </w:rPr>
              <w:br/>
              <w:t>0.390</w:t>
            </w:r>
          </w:p>
        </w:tc>
        <w:tc>
          <w:tcPr>
            <w:tcW w:w="620" w:type="dxa"/>
            <w:tcBorders>
              <w:top w:val="nil"/>
              <w:left w:val="nil"/>
              <w:bottom w:val="nil"/>
              <w:right w:val="nil"/>
            </w:tcBorders>
            <w:shd w:val="clear" w:color="auto" w:fill="auto"/>
            <w:textDirection w:val="btLr"/>
            <w:vAlign w:val="center"/>
          </w:tcPr>
          <w:p w14:paraId="0692B279"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0.03(</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0.19,0.14)</w:t>
            </w:r>
            <w:r>
              <w:rPr>
                <w:rStyle w:val="font71"/>
                <w:rFonts w:ascii="Times New Roman" w:hAnsi="Times New Roman" w:cs="Times New Roman"/>
                <w:lang w:bidi="ar"/>
              </w:rPr>
              <w:br/>
              <w:t>0.756</w:t>
            </w:r>
          </w:p>
        </w:tc>
        <w:tc>
          <w:tcPr>
            <w:tcW w:w="620" w:type="dxa"/>
            <w:tcBorders>
              <w:top w:val="nil"/>
              <w:left w:val="nil"/>
              <w:bottom w:val="nil"/>
              <w:right w:val="nil"/>
            </w:tcBorders>
            <w:shd w:val="clear" w:color="auto" w:fill="auto"/>
            <w:textDirection w:val="btLr"/>
            <w:vAlign w:val="center"/>
          </w:tcPr>
          <w:p w14:paraId="44D57564"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t>
            </w:r>
            <w:r>
              <w:rPr>
                <w:rStyle w:val="font71"/>
                <w:rFonts w:ascii="Times New Roman" w:hAnsi="Times New Roman" w:cs="Times New Roman"/>
                <w:lang w:bidi="ar"/>
              </w:rPr>
              <w:t>0.22(</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0.43,</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0.01)</w:t>
            </w:r>
            <w:r>
              <w:rPr>
                <w:rStyle w:val="font71"/>
                <w:rFonts w:ascii="Times New Roman" w:hAnsi="Times New Roman" w:cs="Times New Roman"/>
                <w:lang w:bidi="ar"/>
              </w:rPr>
              <w:br/>
              <w:t>0.036</w:t>
            </w:r>
          </w:p>
        </w:tc>
        <w:tc>
          <w:tcPr>
            <w:tcW w:w="620" w:type="dxa"/>
            <w:tcBorders>
              <w:top w:val="nil"/>
              <w:left w:val="nil"/>
              <w:bottom w:val="nil"/>
              <w:right w:val="nil"/>
            </w:tcBorders>
            <w:shd w:val="clear" w:color="auto" w:fill="auto"/>
            <w:textDirection w:val="btLr"/>
            <w:vAlign w:val="center"/>
          </w:tcPr>
          <w:p w14:paraId="4C056853"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0.23(</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0.11,0.56)</w:t>
            </w:r>
            <w:r>
              <w:rPr>
                <w:rStyle w:val="font71"/>
                <w:rFonts w:ascii="Times New Roman" w:hAnsi="Times New Roman" w:cs="Times New Roman"/>
                <w:lang w:bidi="ar"/>
              </w:rPr>
              <w:br/>
              <w:t>0.188</w:t>
            </w:r>
          </w:p>
        </w:tc>
        <w:tc>
          <w:tcPr>
            <w:tcW w:w="620" w:type="dxa"/>
            <w:tcBorders>
              <w:top w:val="nil"/>
              <w:left w:val="nil"/>
              <w:bottom w:val="nil"/>
              <w:right w:val="nil"/>
            </w:tcBorders>
            <w:shd w:val="clear" w:color="auto" w:fill="auto"/>
            <w:textDirection w:val="btLr"/>
            <w:vAlign w:val="center"/>
          </w:tcPr>
          <w:p w14:paraId="068020AE"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0.01(</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0.24,0.27)</w:t>
            </w:r>
            <w:r>
              <w:rPr>
                <w:rStyle w:val="font71"/>
                <w:rFonts w:ascii="Times New Roman" w:hAnsi="Times New Roman" w:cs="Times New Roman"/>
                <w:lang w:bidi="ar"/>
              </w:rPr>
              <w:br/>
              <w:t>0.923</w:t>
            </w:r>
          </w:p>
        </w:tc>
        <w:tc>
          <w:tcPr>
            <w:tcW w:w="620" w:type="dxa"/>
            <w:tcBorders>
              <w:top w:val="nil"/>
              <w:left w:val="nil"/>
              <w:bottom w:val="nil"/>
              <w:right w:val="nil"/>
            </w:tcBorders>
            <w:shd w:val="clear" w:color="auto" w:fill="auto"/>
            <w:textDirection w:val="btLr"/>
            <w:vAlign w:val="center"/>
          </w:tcPr>
          <w:p w14:paraId="7C727598"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0.17(0.05,0.29)</w:t>
            </w:r>
            <w:r>
              <w:rPr>
                <w:rFonts w:ascii="Times New Roman" w:hAnsi="Times New Roman"/>
                <w:color w:val="000000"/>
                <w:kern w:val="0"/>
                <w:sz w:val="16"/>
                <w:szCs w:val="16"/>
                <w:lang w:bidi="ar"/>
              </w:rPr>
              <w:br/>
              <w:t>0.005</w:t>
            </w:r>
          </w:p>
        </w:tc>
        <w:tc>
          <w:tcPr>
            <w:tcW w:w="620" w:type="dxa"/>
            <w:tcBorders>
              <w:top w:val="nil"/>
              <w:left w:val="nil"/>
              <w:bottom w:val="nil"/>
              <w:right w:val="nil"/>
            </w:tcBorders>
            <w:shd w:val="clear" w:color="auto" w:fill="auto"/>
            <w:textDirection w:val="btLr"/>
            <w:vAlign w:val="center"/>
          </w:tcPr>
          <w:p w14:paraId="4E1645DF"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0.09(</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0.20,0.38)</w:t>
            </w:r>
            <w:r>
              <w:rPr>
                <w:rStyle w:val="font71"/>
                <w:rFonts w:ascii="Times New Roman" w:hAnsi="Times New Roman" w:cs="Times New Roman"/>
                <w:lang w:bidi="ar"/>
              </w:rPr>
              <w:br/>
              <w:t>0.542</w:t>
            </w:r>
          </w:p>
        </w:tc>
        <w:tc>
          <w:tcPr>
            <w:tcW w:w="620" w:type="dxa"/>
            <w:tcBorders>
              <w:top w:val="nil"/>
              <w:left w:val="nil"/>
              <w:bottom w:val="nil"/>
              <w:right w:val="nil"/>
            </w:tcBorders>
            <w:shd w:val="clear" w:color="auto" w:fill="auto"/>
            <w:textDirection w:val="btLr"/>
            <w:vAlign w:val="center"/>
          </w:tcPr>
          <w:p w14:paraId="47836D61"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w:t>
            </w:r>
            <w:r>
              <w:rPr>
                <w:rStyle w:val="font71"/>
                <w:rFonts w:ascii="Times New Roman" w:hAnsi="Times New Roman" w:cs="Times New Roman"/>
                <w:lang w:bidi="ar"/>
              </w:rPr>
              <w:t>.04(</w:t>
            </w:r>
            <w:r>
              <w:rPr>
                <w:rFonts w:ascii="Times New Roman" w:eastAsia="Microsoft YaHei" w:hAnsi="Times New Roman"/>
                <w:color w:val="000000"/>
                <w:kern w:val="0"/>
                <w:sz w:val="16"/>
                <w:szCs w:val="16"/>
                <w:lang w:bidi="ar"/>
              </w:rPr>
              <w:t>―0</w:t>
            </w:r>
            <w:r>
              <w:rPr>
                <w:rStyle w:val="font71"/>
                <w:rFonts w:ascii="Times New Roman" w:hAnsi="Times New Roman" w:cs="Times New Roman"/>
                <w:lang w:bidi="ar"/>
              </w:rPr>
              <w:t>.05,</w:t>
            </w:r>
            <w:r>
              <w:rPr>
                <w:rFonts w:ascii="Times New Roman" w:eastAsia="Microsoft YaHei" w:hAnsi="Times New Roman"/>
                <w:color w:val="000000"/>
                <w:kern w:val="0"/>
                <w:sz w:val="16"/>
                <w:szCs w:val="16"/>
                <w:lang w:bidi="ar"/>
              </w:rPr>
              <w:t>―0</w:t>
            </w:r>
            <w:r>
              <w:rPr>
                <w:rStyle w:val="font71"/>
                <w:rFonts w:ascii="Times New Roman" w:hAnsi="Times New Roman" w:cs="Times New Roman"/>
                <w:lang w:bidi="ar"/>
              </w:rPr>
              <w:t>.02)</w:t>
            </w:r>
            <w:r>
              <w:rPr>
                <w:rStyle w:val="font71"/>
                <w:rFonts w:ascii="Times New Roman" w:hAnsi="Times New Roman" w:cs="Times New Roman"/>
                <w:lang w:bidi="ar"/>
              </w:rPr>
              <w:br/>
              <w:t>0.000</w:t>
            </w:r>
          </w:p>
        </w:tc>
        <w:tc>
          <w:tcPr>
            <w:tcW w:w="620" w:type="dxa"/>
            <w:tcBorders>
              <w:top w:val="nil"/>
              <w:left w:val="nil"/>
              <w:bottom w:val="nil"/>
              <w:right w:val="nil"/>
            </w:tcBorders>
            <w:shd w:val="clear" w:color="auto" w:fill="auto"/>
            <w:textDirection w:val="btLr"/>
            <w:vAlign w:val="center"/>
          </w:tcPr>
          <w:p w14:paraId="1807F543"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―5</w:t>
            </w:r>
            <w:r>
              <w:rPr>
                <w:rStyle w:val="font71"/>
                <w:rFonts w:ascii="Times New Roman" w:hAnsi="Times New Roman" w:cs="Times New Roman"/>
                <w:lang w:bidi="ar"/>
              </w:rPr>
              <w:t>.18(</w:t>
            </w:r>
            <w:r>
              <w:rPr>
                <w:rFonts w:ascii="Times New Roman" w:eastAsia="Microsoft YaHei" w:hAnsi="Times New Roman"/>
                <w:color w:val="000000"/>
                <w:kern w:val="0"/>
                <w:sz w:val="16"/>
                <w:szCs w:val="16"/>
                <w:lang w:bidi="ar"/>
              </w:rPr>
              <w:t>―7</w:t>
            </w:r>
            <w:r>
              <w:rPr>
                <w:rStyle w:val="font71"/>
                <w:rFonts w:ascii="Times New Roman" w:hAnsi="Times New Roman" w:cs="Times New Roman"/>
                <w:lang w:bidi="ar"/>
              </w:rPr>
              <w:t>.29,</w:t>
            </w:r>
            <w:r>
              <w:rPr>
                <w:rFonts w:ascii="Times New Roman" w:eastAsia="Microsoft YaHei" w:hAnsi="Times New Roman"/>
                <w:color w:val="000000"/>
                <w:kern w:val="0"/>
                <w:sz w:val="16"/>
                <w:szCs w:val="16"/>
                <w:lang w:bidi="ar"/>
              </w:rPr>
              <w:t>―</w:t>
            </w:r>
            <w:r>
              <w:rPr>
                <w:rStyle w:val="font71"/>
                <w:rFonts w:ascii="Times New Roman" w:hAnsi="Times New Roman" w:cs="Times New Roman"/>
                <w:lang w:bidi="ar"/>
              </w:rPr>
              <w:t>3.08)</w:t>
            </w:r>
            <w:r>
              <w:rPr>
                <w:rStyle w:val="font71"/>
                <w:rFonts w:ascii="Times New Roman" w:hAnsi="Times New Roman" w:cs="Times New Roman"/>
                <w:lang w:bidi="ar"/>
              </w:rPr>
              <w:br/>
            </w:r>
            <w:r>
              <w:rPr>
                <w:rStyle w:val="font71"/>
                <w:rFonts w:ascii="Times New Roman" w:hAnsi="Times New Roman" w:cs="Times New Roman"/>
                <w:lang w:bidi="ar"/>
              </w:rPr>
              <w:t>0.000</w:t>
            </w:r>
          </w:p>
        </w:tc>
        <w:tc>
          <w:tcPr>
            <w:tcW w:w="620" w:type="dxa"/>
            <w:tcBorders>
              <w:top w:val="nil"/>
              <w:left w:val="nil"/>
              <w:bottom w:val="nil"/>
              <w:right w:val="single" w:sz="4" w:space="0" w:color="auto"/>
            </w:tcBorders>
            <w:shd w:val="clear" w:color="auto" w:fill="auto"/>
            <w:textDirection w:val="btLr"/>
            <w:vAlign w:val="center"/>
          </w:tcPr>
          <w:p w14:paraId="0458C8B6"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―0</w:t>
            </w:r>
            <w:r>
              <w:rPr>
                <w:rStyle w:val="font71"/>
                <w:rFonts w:ascii="Times New Roman" w:hAnsi="Times New Roman" w:cs="Times New Roman"/>
                <w:lang w:bidi="ar"/>
              </w:rPr>
              <w:t>.01(</w:t>
            </w:r>
            <w:r>
              <w:rPr>
                <w:rFonts w:ascii="Times New Roman" w:eastAsia="Microsoft YaHei" w:hAnsi="Times New Roman"/>
                <w:color w:val="000000"/>
                <w:kern w:val="0"/>
                <w:sz w:val="16"/>
                <w:szCs w:val="16"/>
                <w:lang w:bidi="ar"/>
              </w:rPr>
              <w:t>―0</w:t>
            </w:r>
            <w:r>
              <w:rPr>
                <w:rStyle w:val="font71"/>
                <w:rFonts w:ascii="Times New Roman" w:hAnsi="Times New Roman" w:cs="Times New Roman"/>
                <w:lang w:bidi="ar"/>
              </w:rPr>
              <w:t>.03,0.02)</w:t>
            </w:r>
            <w:r>
              <w:rPr>
                <w:rStyle w:val="font71"/>
                <w:rFonts w:ascii="Times New Roman" w:hAnsi="Times New Roman" w:cs="Times New Roman"/>
                <w:lang w:bidi="ar"/>
              </w:rPr>
              <w:br/>
              <w:t>0.608</w:t>
            </w:r>
          </w:p>
        </w:tc>
      </w:tr>
      <w:tr w:rsidR="0072369B" w14:paraId="5D2EB37B" w14:textId="77777777">
        <w:trPr>
          <w:trHeight w:val="1600"/>
        </w:trPr>
        <w:tc>
          <w:tcPr>
            <w:tcW w:w="960" w:type="dxa"/>
            <w:vMerge/>
            <w:tcBorders>
              <w:top w:val="nil"/>
              <w:left w:val="nil"/>
              <w:bottom w:val="nil"/>
              <w:right w:val="nil"/>
            </w:tcBorders>
            <w:shd w:val="clear" w:color="auto" w:fill="auto"/>
            <w:textDirection w:val="btLr"/>
            <w:vAlign w:val="center"/>
          </w:tcPr>
          <w:p w14:paraId="13A0458B" w14:textId="77777777" w:rsidR="0072369B" w:rsidRDefault="0072369B">
            <w:pPr>
              <w:rPr>
                <w:rFonts w:ascii="Times New Roman" w:hAnsi="Times New Roman"/>
                <w:color w:val="000000"/>
                <w:sz w:val="16"/>
                <w:szCs w:val="16"/>
              </w:rPr>
            </w:pPr>
          </w:p>
        </w:tc>
        <w:tc>
          <w:tcPr>
            <w:tcW w:w="0" w:type="auto"/>
            <w:tcBorders>
              <w:top w:val="nil"/>
              <w:left w:val="single" w:sz="4" w:space="0" w:color="auto"/>
              <w:bottom w:val="nil"/>
              <w:right w:val="nil"/>
            </w:tcBorders>
            <w:shd w:val="clear" w:color="auto" w:fill="auto"/>
            <w:noWrap/>
            <w:textDirection w:val="btLr"/>
            <w:vAlign w:val="center"/>
          </w:tcPr>
          <w:p w14:paraId="06989873" w14:textId="77777777" w:rsidR="0072369B" w:rsidRDefault="0072369B">
            <w:pPr>
              <w:widowControl/>
              <w:jc w:val="center"/>
              <w:textAlignment w:val="center"/>
              <w:rPr>
                <w:rFonts w:ascii="Times New Roman" w:hAnsi="Times New Roman"/>
                <w:color w:val="000000"/>
                <w:sz w:val="16"/>
                <w:szCs w:val="16"/>
              </w:rPr>
            </w:pPr>
          </w:p>
        </w:tc>
        <w:tc>
          <w:tcPr>
            <w:tcW w:w="0" w:type="auto"/>
            <w:tcBorders>
              <w:top w:val="nil"/>
              <w:left w:val="nil"/>
              <w:bottom w:val="nil"/>
              <w:right w:val="nil"/>
            </w:tcBorders>
            <w:shd w:val="clear" w:color="auto" w:fill="auto"/>
            <w:noWrap/>
            <w:textDirection w:val="btLr"/>
            <w:vAlign w:val="center"/>
          </w:tcPr>
          <w:p w14:paraId="271D3B09" w14:textId="77777777" w:rsidR="0072369B" w:rsidRDefault="0072369B">
            <w:pPr>
              <w:rPr>
                <w:rFonts w:ascii="Times New Roman" w:hAnsi="Times New Roman"/>
                <w:color w:val="000000"/>
                <w:sz w:val="16"/>
                <w:szCs w:val="16"/>
              </w:rPr>
            </w:pPr>
          </w:p>
        </w:tc>
        <w:tc>
          <w:tcPr>
            <w:tcW w:w="620" w:type="dxa"/>
            <w:tcBorders>
              <w:top w:val="nil"/>
              <w:left w:val="nil"/>
              <w:bottom w:val="nil"/>
              <w:right w:val="nil"/>
            </w:tcBorders>
            <w:shd w:val="clear" w:color="auto" w:fill="auto"/>
            <w:textDirection w:val="btLr"/>
            <w:vAlign w:val="center"/>
          </w:tcPr>
          <w:p w14:paraId="276E9825"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outcome</w:t>
            </w:r>
            <w:r>
              <w:rPr>
                <w:rFonts w:ascii="Times New Roman" w:hAnsi="Times New Roman"/>
                <w:color w:val="000000"/>
                <w:kern w:val="0"/>
                <w:sz w:val="16"/>
                <w:szCs w:val="16"/>
                <w:lang w:bidi="ar"/>
              </w:rPr>
              <w:br/>
              <w:t xml:space="preserve"> variables</w:t>
            </w:r>
          </w:p>
        </w:tc>
        <w:tc>
          <w:tcPr>
            <w:tcW w:w="0" w:type="auto"/>
            <w:tcBorders>
              <w:top w:val="nil"/>
              <w:left w:val="nil"/>
              <w:bottom w:val="nil"/>
              <w:right w:val="nil"/>
            </w:tcBorders>
            <w:shd w:val="clear" w:color="auto" w:fill="auto"/>
            <w:noWrap/>
            <w:textDirection w:val="btLr"/>
            <w:vAlign w:val="center"/>
          </w:tcPr>
          <w:p w14:paraId="58CF8F0B" w14:textId="323102DE"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SBP</w:t>
            </w:r>
            <w:r w:rsidR="00495282">
              <w:rPr>
                <w:rFonts w:ascii="Segoe UI Symbol" w:hAnsi="Segoe UI Symbol" w:cs="Segoe UI Symbol"/>
                <w:color w:val="000000"/>
                <w:kern w:val="0"/>
                <w:sz w:val="16"/>
                <w:szCs w:val="16"/>
              </w:rPr>
              <w:t>*</w:t>
            </w:r>
            <w:r w:rsidR="00495282" w:rsidRPr="00495282">
              <w:rPr>
                <w:rFonts w:ascii="Segoe UI Symbol" w:hAnsi="Segoe UI Symbol" w:cs="Segoe UI Symbol"/>
                <w:color w:val="000000"/>
                <w:kern w:val="0"/>
                <w:sz w:val="16"/>
                <w:szCs w:val="16"/>
                <w:vertAlign w:val="superscript"/>
              </w:rPr>
              <w:t>5</w:t>
            </w:r>
          </w:p>
        </w:tc>
        <w:tc>
          <w:tcPr>
            <w:tcW w:w="0" w:type="auto"/>
            <w:tcBorders>
              <w:top w:val="nil"/>
              <w:left w:val="nil"/>
              <w:bottom w:val="nil"/>
              <w:right w:val="nil"/>
            </w:tcBorders>
            <w:shd w:val="clear" w:color="auto" w:fill="auto"/>
            <w:noWrap/>
            <w:textDirection w:val="btLr"/>
            <w:vAlign w:val="center"/>
          </w:tcPr>
          <w:p w14:paraId="2DAF7D67"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DBP</w:t>
            </w:r>
          </w:p>
        </w:tc>
        <w:tc>
          <w:tcPr>
            <w:tcW w:w="620" w:type="dxa"/>
            <w:tcBorders>
              <w:top w:val="nil"/>
              <w:left w:val="nil"/>
              <w:bottom w:val="nil"/>
              <w:right w:val="nil"/>
            </w:tcBorders>
            <w:shd w:val="clear" w:color="auto" w:fill="auto"/>
            <w:textDirection w:val="btLr"/>
            <w:vAlign w:val="center"/>
          </w:tcPr>
          <w:p w14:paraId="406A9B2E"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FPG</w:t>
            </w:r>
          </w:p>
        </w:tc>
        <w:tc>
          <w:tcPr>
            <w:tcW w:w="0" w:type="auto"/>
            <w:tcBorders>
              <w:top w:val="nil"/>
              <w:left w:val="nil"/>
              <w:bottom w:val="nil"/>
              <w:right w:val="nil"/>
            </w:tcBorders>
            <w:shd w:val="clear" w:color="auto" w:fill="auto"/>
            <w:noWrap/>
            <w:textDirection w:val="btLr"/>
            <w:vAlign w:val="center"/>
          </w:tcPr>
          <w:p w14:paraId="54D0077B" w14:textId="24DB4C25"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HOMA-IR</w:t>
            </w:r>
            <w:r w:rsidR="00495282">
              <w:rPr>
                <w:rFonts w:ascii="Segoe UI Symbol" w:hAnsi="Segoe UI Symbol" w:cs="Segoe UI Symbol"/>
                <w:color w:val="000000"/>
                <w:kern w:val="0"/>
                <w:sz w:val="16"/>
                <w:szCs w:val="16"/>
              </w:rPr>
              <w:t>*</w:t>
            </w:r>
            <w:r w:rsidR="00495282" w:rsidRPr="00495282">
              <w:rPr>
                <w:rFonts w:ascii="Segoe UI Symbol" w:hAnsi="Segoe UI Symbol" w:cs="Segoe UI Symbol"/>
                <w:color w:val="000000"/>
                <w:kern w:val="0"/>
                <w:sz w:val="16"/>
                <w:szCs w:val="16"/>
                <w:vertAlign w:val="superscript"/>
              </w:rPr>
              <w:t>6</w:t>
            </w:r>
          </w:p>
        </w:tc>
        <w:tc>
          <w:tcPr>
            <w:tcW w:w="0" w:type="auto"/>
            <w:tcBorders>
              <w:top w:val="nil"/>
              <w:left w:val="nil"/>
              <w:bottom w:val="nil"/>
              <w:right w:val="nil"/>
            </w:tcBorders>
            <w:shd w:val="clear" w:color="auto" w:fill="auto"/>
            <w:noWrap/>
            <w:textDirection w:val="btLr"/>
            <w:vAlign w:val="center"/>
          </w:tcPr>
          <w:p w14:paraId="4BBBD65F"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TC</w:t>
            </w:r>
          </w:p>
        </w:tc>
        <w:tc>
          <w:tcPr>
            <w:tcW w:w="0" w:type="auto"/>
            <w:tcBorders>
              <w:top w:val="nil"/>
              <w:left w:val="nil"/>
              <w:bottom w:val="nil"/>
              <w:right w:val="nil"/>
            </w:tcBorders>
            <w:shd w:val="clear" w:color="auto" w:fill="auto"/>
            <w:noWrap/>
            <w:textDirection w:val="btLr"/>
            <w:vAlign w:val="center"/>
          </w:tcPr>
          <w:p w14:paraId="001BC871" w14:textId="653CFAA6"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TG</w:t>
            </w:r>
            <w:r w:rsidR="00495282">
              <w:rPr>
                <w:rFonts w:ascii="Segoe UI Symbol" w:hAnsi="Segoe UI Symbol" w:cs="Segoe UI Symbol"/>
                <w:color w:val="000000"/>
                <w:kern w:val="0"/>
                <w:sz w:val="16"/>
                <w:szCs w:val="16"/>
              </w:rPr>
              <w:t>*</w:t>
            </w:r>
            <w:r w:rsidR="00495282" w:rsidRPr="00495282">
              <w:rPr>
                <w:rFonts w:ascii="Segoe UI Symbol" w:hAnsi="Segoe UI Symbol" w:cs="Segoe UI Symbol"/>
                <w:color w:val="000000"/>
                <w:kern w:val="0"/>
                <w:sz w:val="16"/>
                <w:szCs w:val="16"/>
                <w:vertAlign w:val="superscript"/>
              </w:rPr>
              <w:t>7</w:t>
            </w:r>
          </w:p>
        </w:tc>
        <w:tc>
          <w:tcPr>
            <w:tcW w:w="0" w:type="auto"/>
            <w:tcBorders>
              <w:top w:val="nil"/>
              <w:left w:val="nil"/>
              <w:bottom w:val="nil"/>
              <w:right w:val="nil"/>
            </w:tcBorders>
            <w:shd w:val="clear" w:color="auto" w:fill="auto"/>
            <w:noWrap/>
            <w:textDirection w:val="btLr"/>
            <w:vAlign w:val="center"/>
          </w:tcPr>
          <w:p w14:paraId="44E546EE"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HDL-C</w:t>
            </w:r>
          </w:p>
        </w:tc>
        <w:tc>
          <w:tcPr>
            <w:tcW w:w="0" w:type="auto"/>
            <w:tcBorders>
              <w:top w:val="nil"/>
              <w:left w:val="nil"/>
              <w:bottom w:val="nil"/>
              <w:right w:val="nil"/>
            </w:tcBorders>
            <w:shd w:val="clear" w:color="auto" w:fill="auto"/>
            <w:noWrap/>
            <w:textDirection w:val="btLr"/>
            <w:vAlign w:val="center"/>
          </w:tcPr>
          <w:p w14:paraId="2ADEF4ED"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LDL-C</w:t>
            </w:r>
          </w:p>
        </w:tc>
        <w:tc>
          <w:tcPr>
            <w:tcW w:w="0" w:type="auto"/>
            <w:tcBorders>
              <w:top w:val="nil"/>
              <w:left w:val="nil"/>
              <w:bottom w:val="nil"/>
              <w:right w:val="nil"/>
            </w:tcBorders>
            <w:shd w:val="clear" w:color="auto" w:fill="auto"/>
            <w:noWrap/>
            <w:textDirection w:val="btLr"/>
            <w:vAlign w:val="center"/>
          </w:tcPr>
          <w:p w14:paraId="4666EF81"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WHR</w:t>
            </w:r>
          </w:p>
        </w:tc>
        <w:tc>
          <w:tcPr>
            <w:tcW w:w="0" w:type="auto"/>
            <w:tcBorders>
              <w:top w:val="nil"/>
              <w:left w:val="nil"/>
              <w:bottom w:val="nil"/>
              <w:right w:val="nil"/>
            </w:tcBorders>
            <w:shd w:val="clear" w:color="auto" w:fill="auto"/>
            <w:noWrap/>
            <w:textDirection w:val="btLr"/>
            <w:vAlign w:val="center"/>
          </w:tcPr>
          <w:p w14:paraId="75FF05AC"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BF%</w:t>
            </w:r>
          </w:p>
        </w:tc>
        <w:tc>
          <w:tcPr>
            <w:tcW w:w="620" w:type="dxa"/>
            <w:tcBorders>
              <w:top w:val="nil"/>
              <w:left w:val="nil"/>
              <w:bottom w:val="nil"/>
              <w:right w:val="single" w:sz="4" w:space="0" w:color="auto"/>
            </w:tcBorders>
            <w:shd w:val="clear" w:color="auto" w:fill="auto"/>
            <w:textDirection w:val="btLr"/>
            <w:vAlign w:val="center"/>
          </w:tcPr>
          <w:p w14:paraId="53898135" w14:textId="77777777" w:rsidR="0072369B" w:rsidRDefault="00E434B7">
            <w:pPr>
              <w:widowControl/>
              <w:textAlignment w:val="center"/>
              <w:rPr>
                <w:rFonts w:ascii="Times New Roman" w:hAnsi="Times New Roman"/>
                <w:color w:val="000000"/>
                <w:sz w:val="16"/>
                <w:szCs w:val="16"/>
              </w:rPr>
            </w:pPr>
            <w:r>
              <w:rPr>
                <w:rFonts w:ascii="Times New Roman" w:hAnsi="Times New Roman"/>
                <w:color w:val="000000"/>
                <w:kern w:val="0"/>
                <w:sz w:val="16"/>
                <w:szCs w:val="16"/>
                <w:lang w:bidi="ar"/>
              </w:rPr>
              <w:t>CIMT max</w:t>
            </w:r>
          </w:p>
        </w:tc>
      </w:tr>
    </w:tbl>
    <w:p w14:paraId="63A85EBB" w14:textId="77777777" w:rsidR="0072369B" w:rsidRDefault="00E434B7">
      <w:pPr>
        <w:rPr>
          <w:rFonts w:ascii="Times New Roman" w:hAnsi="Times New Roman"/>
          <w:sz w:val="20"/>
          <w:szCs w:val="20"/>
        </w:rPr>
      </w:pPr>
      <w:r>
        <w:rPr>
          <w:rFonts w:ascii="Times New Roman" w:hAnsi="Times New Roman"/>
          <w:noProof/>
          <w:sz w:val="20"/>
          <w:szCs w:val="20"/>
        </w:rPr>
        <mc:AlternateContent>
          <mc:Choice Requires="wps">
            <w:drawing>
              <wp:anchor distT="0" distB="0" distL="114300" distR="114300" simplePos="0" relativeHeight="251662336" behindDoc="0" locked="0" layoutInCell="1" allowOverlap="1" wp14:anchorId="1BAB0CE8" wp14:editId="0C1AD02A">
                <wp:simplePos x="0" y="0"/>
                <wp:positionH relativeFrom="column">
                  <wp:posOffset>-76200</wp:posOffset>
                </wp:positionH>
                <wp:positionV relativeFrom="paragraph">
                  <wp:posOffset>15875</wp:posOffset>
                </wp:positionV>
                <wp:extent cx="6210300" cy="1522095"/>
                <wp:effectExtent l="0" t="0" r="0" b="2540"/>
                <wp:wrapNone/>
                <wp:docPr id="37" name="文本框 37"/>
                <wp:cNvGraphicFramePr/>
                <a:graphic xmlns:a="http://schemas.openxmlformats.org/drawingml/2006/main">
                  <a:graphicData uri="http://schemas.microsoft.com/office/word/2010/wordprocessingShape">
                    <wps:wsp>
                      <wps:cNvSpPr txBox="1"/>
                      <wps:spPr>
                        <a:xfrm>
                          <a:off x="0" y="0"/>
                          <a:ext cx="6210300" cy="15219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C57B73B" w14:textId="77777777" w:rsidR="0072369B" w:rsidRDefault="00E434B7">
                            <w:pPr>
                              <w:rPr>
                                <w:rFonts w:ascii="Times New Roman" w:hAnsi="Times New Roman"/>
                                <w:color w:val="231F20"/>
                                <w:kern w:val="0"/>
                                <w:sz w:val="16"/>
                                <w:szCs w:val="16"/>
                              </w:rPr>
                            </w:pPr>
                            <w:r>
                              <w:rPr>
                                <w:rFonts w:ascii="Times New Roman" w:hAnsi="Times New Roman"/>
                                <w:color w:val="231F20"/>
                                <w:kern w:val="0"/>
                                <w:sz w:val="16"/>
                                <w:szCs w:val="16"/>
                              </w:rPr>
                              <w:t xml:space="preserve">Note: </w:t>
                            </w:r>
                          </w:p>
                          <w:p w14:paraId="3C1D1A97" w14:textId="0C83708D" w:rsidR="0072369B" w:rsidRDefault="00495282">
                            <w:pPr>
                              <w:rPr>
                                <w:rFonts w:ascii="Times New Roman" w:hAnsi="Times New Roman"/>
                                <w:color w:val="231F20"/>
                                <w:kern w:val="0"/>
                                <w:sz w:val="16"/>
                                <w:szCs w:val="16"/>
                              </w:rPr>
                            </w:pPr>
                            <w:r>
                              <w:rPr>
                                <w:rFonts w:ascii="Segoe UI Symbol" w:hAnsi="Segoe UI Symbol" w:cs="Segoe UI Symbol"/>
                                <w:color w:val="000000"/>
                                <w:kern w:val="0"/>
                                <w:sz w:val="16"/>
                                <w:szCs w:val="16"/>
                              </w:rPr>
                              <w:t>*</w:t>
                            </w:r>
                            <w:r w:rsidRPr="00495282">
                              <w:rPr>
                                <w:rFonts w:ascii="Times New Roman" w:hAnsi="Times New Roman"/>
                                <w:color w:val="000000"/>
                                <w:kern w:val="0"/>
                                <w:sz w:val="16"/>
                                <w:szCs w:val="16"/>
                                <w:vertAlign w:val="superscript"/>
                              </w:rPr>
                              <w:t>1</w:t>
                            </w:r>
                            <w:r>
                              <w:rPr>
                                <w:rFonts w:ascii="Times New Roman" w:hAnsi="Times New Roman"/>
                                <w:color w:val="000000"/>
                                <w:kern w:val="0"/>
                                <w:sz w:val="16"/>
                                <w:szCs w:val="16"/>
                              </w:rPr>
                              <w:t xml:space="preserve">: </w:t>
                            </w:r>
                            <w:r>
                              <w:rPr>
                                <w:rFonts w:ascii="Times New Roman" w:hAnsi="Times New Roman"/>
                                <w:color w:val="231F20"/>
                                <w:kern w:val="0"/>
                                <w:sz w:val="16"/>
                                <w:szCs w:val="16"/>
                              </w:rPr>
                              <w:t xml:space="preserve">Adjusted for sociodemographic information, diabetes, hypertensive disorders of pregnancy, and </w:t>
                            </w:r>
                            <w:r w:rsidR="00F6386F">
                              <w:rPr>
                                <w:rFonts w:ascii="Times New Roman" w:hAnsi="Times New Roman"/>
                                <w:color w:val="231F20"/>
                                <w:kern w:val="0"/>
                                <w:sz w:val="16"/>
                                <w:szCs w:val="16"/>
                              </w:rPr>
                              <w:t>infant’s gender</w:t>
                            </w:r>
                          </w:p>
                          <w:p w14:paraId="4391E99F" w14:textId="23D2E4FF" w:rsidR="0072369B" w:rsidRDefault="00495282">
                            <w:pPr>
                              <w:rPr>
                                <w:rFonts w:ascii="Times New Roman" w:hAnsi="Times New Roman"/>
                                <w:color w:val="231F20"/>
                                <w:kern w:val="0"/>
                                <w:sz w:val="16"/>
                                <w:szCs w:val="16"/>
                              </w:rPr>
                            </w:pPr>
                            <w:r>
                              <w:rPr>
                                <w:rFonts w:ascii="Segoe UI Symbol" w:hAnsi="Segoe UI Symbol" w:cs="Segoe UI Symbol"/>
                                <w:color w:val="000000"/>
                                <w:kern w:val="0"/>
                                <w:sz w:val="16"/>
                                <w:szCs w:val="16"/>
                              </w:rPr>
                              <w:t>*</w:t>
                            </w:r>
                            <w:r>
                              <w:rPr>
                                <w:rFonts w:ascii="Times New Roman" w:hAnsi="Times New Roman"/>
                                <w:color w:val="000000"/>
                                <w:kern w:val="0"/>
                                <w:sz w:val="16"/>
                                <w:szCs w:val="16"/>
                                <w:vertAlign w:val="superscript"/>
                              </w:rPr>
                              <w:t>2</w:t>
                            </w:r>
                            <w:r>
                              <w:rPr>
                                <w:rFonts w:ascii="Times New Roman" w:hAnsi="Times New Roman"/>
                                <w:color w:val="000000"/>
                                <w:kern w:val="0"/>
                                <w:sz w:val="16"/>
                                <w:szCs w:val="16"/>
                              </w:rPr>
                              <w:t xml:space="preserve">, </w:t>
                            </w:r>
                            <w:r>
                              <w:rPr>
                                <w:rFonts w:ascii="Segoe UI Symbol" w:hAnsi="Segoe UI Symbol" w:cs="Segoe UI Symbol"/>
                                <w:color w:val="000000"/>
                                <w:kern w:val="0"/>
                                <w:sz w:val="16"/>
                                <w:szCs w:val="16"/>
                              </w:rPr>
                              <w:t>*</w:t>
                            </w:r>
                            <w:r>
                              <w:rPr>
                                <w:rFonts w:ascii="Times New Roman" w:hAnsi="Times New Roman"/>
                                <w:color w:val="000000"/>
                                <w:kern w:val="0"/>
                                <w:sz w:val="16"/>
                                <w:szCs w:val="16"/>
                                <w:vertAlign w:val="superscript"/>
                              </w:rPr>
                              <w:t>3</w:t>
                            </w:r>
                            <w:r>
                              <w:rPr>
                                <w:rFonts w:ascii="Times New Roman" w:hAnsi="Times New Roman"/>
                                <w:color w:val="000000"/>
                                <w:kern w:val="0"/>
                                <w:sz w:val="16"/>
                                <w:szCs w:val="16"/>
                              </w:rPr>
                              <w:t xml:space="preserve">, </w:t>
                            </w:r>
                            <w:r>
                              <w:rPr>
                                <w:rFonts w:ascii="Segoe UI Symbol" w:hAnsi="Segoe UI Symbol" w:cs="Segoe UI Symbol"/>
                                <w:color w:val="000000"/>
                                <w:kern w:val="0"/>
                                <w:sz w:val="16"/>
                                <w:szCs w:val="16"/>
                              </w:rPr>
                              <w:t>*</w:t>
                            </w:r>
                            <w:r>
                              <w:rPr>
                                <w:rFonts w:ascii="Times New Roman" w:hAnsi="Times New Roman"/>
                                <w:color w:val="000000"/>
                                <w:kern w:val="0"/>
                                <w:sz w:val="16"/>
                                <w:szCs w:val="16"/>
                                <w:vertAlign w:val="superscript"/>
                              </w:rPr>
                              <w:t>4</w:t>
                            </w:r>
                            <w:r>
                              <w:rPr>
                                <w:rFonts w:ascii="Times New Roman" w:hAnsi="Times New Roman"/>
                                <w:color w:val="000000"/>
                                <w:kern w:val="0"/>
                                <w:sz w:val="16"/>
                                <w:szCs w:val="16"/>
                              </w:rPr>
                              <w:t xml:space="preserve">: </w:t>
                            </w:r>
                            <w:r>
                              <w:rPr>
                                <w:rFonts w:ascii="Times New Roman" w:hAnsi="Times New Roman"/>
                                <w:color w:val="231F20"/>
                                <w:kern w:val="0"/>
                                <w:sz w:val="16"/>
                                <w:szCs w:val="16"/>
                              </w:rPr>
                              <w:t xml:space="preserve">Multiple linear regression models to estimate </w:t>
                            </w:r>
                            <w:r>
                              <w:rPr>
                                <w:rFonts w:ascii="Times New Roman" w:hAnsi="Times New Roman"/>
                                <w:b/>
                                <w:bCs/>
                                <w:color w:val="231F20"/>
                                <w:kern w:val="0"/>
                                <w:sz w:val="16"/>
                                <w:szCs w:val="16"/>
                              </w:rPr>
                              <w:t>β</w:t>
                            </w:r>
                            <w:r>
                              <w:rPr>
                                <w:rFonts w:ascii="Times New Roman" w:hAnsi="Times New Roman"/>
                                <w:color w:val="231F20"/>
                                <w:kern w:val="0"/>
                                <w:sz w:val="16"/>
                                <w:szCs w:val="16"/>
                              </w:rPr>
                              <w:t>coef and 95% CI meanwhile considering Bonferroni's correction (corrected P&lt;0.005)</w:t>
                            </w:r>
                          </w:p>
                          <w:p w14:paraId="4FBC5FA3" w14:textId="2FC127C0" w:rsidR="0072369B" w:rsidRDefault="00495282">
                            <w:pPr>
                              <w:rPr>
                                <w:rFonts w:ascii="Times New Roman" w:hAnsi="Times New Roman"/>
                                <w:color w:val="231F20"/>
                                <w:kern w:val="0"/>
                                <w:sz w:val="16"/>
                                <w:szCs w:val="16"/>
                              </w:rPr>
                            </w:pPr>
                            <w:r>
                              <w:rPr>
                                <w:rFonts w:ascii="Segoe UI Symbol" w:hAnsi="Segoe UI Symbol" w:cs="Segoe UI Symbol"/>
                                <w:color w:val="000000"/>
                                <w:kern w:val="0"/>
                                <w:sz w:val="16"/>
                                <w:szCs w:val="16"/>
                              </w:rPr>
                              <w:t>*</w:t>
                            </w:r>
                            <w:r>
                              <w:rPr>
                                <w:rFonts w:ascii="Times New Roman" w:hAnsi="Times New Roman"/>
                                <w:color w:val="000000"/>
                                <w:kern w:val="0"/>
                                <w:sz w:val="16"/>
                                <w:szCs w:val="16"/>
                                <w:vertAlign w:val="superscript"/>
                              </w:rPr>
                              <w:t>5</w:t>
                            </w:r>
                            <w:r>
                              <w:rPr>
                                <w:rFonts w:ascii="Times New Roman" w:hAnsi="Times New Roman"/>
                                <w:color w:val="000000"/>
                                <w:kern w:val="0"/>
                                <w:sz w:val="16"/>
                                <w:szCs w:val="16"/>
                              </w:rPr>
                              <w:t xml:space="preserve">, </w:t>
                            </w:r>
                            <w:r>
                              <w:rPr>
                                <w:rFonts w:ascii="Segoe UI Symbol" w:hAnsi="Segoe UI Symbol" w:cs="Segoe UI Symbol"/>
                                <w:color w:val="000000"/>
                                <w:kern w:val="0"/>
                                <w:sz w:val="16"/>
                                <w:szCs w:val="16"/>
                              </w:rPr>
                              <w:t>*</w:t>
                            </w:r>
                            <w:r>
                              <w:rPr>
                                <w:rFonts w:ascii="Times New Roman" w:hAnsi="Times New Roman"/>
                                <w:color w:val="000000"/>
                                <w:kern w:val="0"/>
                                <w:sz w:val="16"/>
                                <w:szCs w:val="16"/>
                                <w:vertAlign w:val="superscript"/>
                              </w:rPr>
                              <w:t>6</w:t>
                            </w:r>
                            <w:r>
                              <w:rPr>
                                <w:rFonts w:ascii="Times New Roman" w:hAnsi="Times New Roman"/>
                                <w:color w:val="000000"/>
                                <w:kern w:val="0"/>
                                <w:sz w:val="16"/>
                                <w:szCs w:val="16"/>
                              </w:rPr>
                              <w:t xml:space="preserve">, </w:t>
                            </w:r>
                            <w:r>
                              <w:rPr>
                                <w:rFonts w:ascii="Segoe UI Symbol" w:hAnsi="Segoe UI Symbol" w:cs="Segoe UI Symbol"/>
                                <w:color w:val="000000"/>
                                <w:kern w:val="0"/>
                                <w:sz w:val="16"/>
                                <w:szCs w:val="16"/>
                              </w:rPr>
                              <w:t>*</w:t>
                            </w:r>
                            <w:r>
                              <w:rPr>
                                <w:rFonts w:ascii="Times New Roman" w:hAnsi="Times New Roman"/>
                                <w:color w:val="000000"/>
                                <w:kern w:val="0"/>
                                <w:sz w:val="16"/>
                                <w:szCs w:val="16"/>
                                <w:vertAlign w:val="superscript"/>
                              </w:rPr>
                              <w:t>7</w:t>
                            </w:r>
                            <w:r>
                              <w:rPr>
                                <w:rFonts w:ascii="Times New Roman" w:hAnsi="Times New Roman"/>
                                <w:color w:val="000000"/>
                                <w:kern w:val="0"/>
                                <w:sz w:val="16"/>
                                <w:szCs w:val="16"/>
                              </w:rPr>
                              <w:t xml:space="preserve">: </w:t>
                            </w:r>
                            <w:r>
                              <w:rPr>
                                <w:rFonts w:ascii="Times New Roman" w:hAnsi="Times New Roman"/>
                                <w:color w:val="231F20"/>
                                <w:kern w:val="0"/>
                                <w:sz w:val="16"/>
                                <w:szCs w:val="16"/>
                              </w:rPr>
                              <w:t>Log-transformed variables before analysis: HOMA-IR, TG</w:t>
                            </w:r>
                          </w:p>
                          <w:p w14:paraId="08ADD91E" w14:textId="77777777" w:rsidR="0072369B" w:rsidRDefault="00E434B7">
                            <w:pPr>
                              <w:rPr>
                                <w:rFonts w:ascii="Arial" w:hAnsi="Arial" w:cs="Arial"/>
                                <w:color w:val="231F20"/>
                                <w:kern w:val="0"/>
                                <w:sz w:val="20"/>
                                <w:szCs w:val="20"/>
                              </w:rPr>
                            </w:pPr>
                            <w:r>
                              <w:rPr>
                                <w:rFonts w:ascii="Times New Roman" w:hAnsi="Times New Roman"/>
                                <w:b/>
                                <w:bCs/>
                                <w:color w:val="231F20"/>
                                <w:kern w:val="0"/>
                                <w:sz w:val="16"/>
                                <w:szCs w:val="16"/>
                              </w:rPr>
                              <w:t>β</w:t>
                            </w:r>
                            <w:r>
                              <w:rPr>
                                <w:rFonts w:ascii="Times New Roman" w:hAnsi="Times New Roman"/>
                                <w:color w:val="231F20"/>
                                <w:kern w:val="0"/>
                                <w:sz w:val="16"/>
                                <w:szCs w:val="16"/>
                              </w:rPr>
                              <w:t>coef,</w:t>
                            </w:r>
                            <w:r>
                              <w:rPr>
                                <w:rFonts w:ascii="Times New Roman" w:hAnsi="Times New Roman"/>
                                <w:b/>
                                <w:bCs/>
                                <w:color w:val="231F20"/>
                                <w:kern w:val="0"/>
                                <w:sz w:val="16"/>
                                <w:szCs w:val="16"/>
                              </w:rPr>
                              <w:t>β</w:t>
                            </w:r>
                            <w:r>
                              <w:rPr>
                                <w:rFonts w:ascii="Times New Roman" w:hAnsi="Times New Roman"/>
                                <w:color w:val="231F20"/>
                                <w:kern w:val="0"/>
                                <w:sz w:val="16"/>
                                <w:szCs w:val="16"/>
                              </w:rPr>
                              <w:t xml:space="preserve">coefficients; SBP, systolic blood pressure; DBP, diastolic blood pressure; FPG, fasting plasma glucose; HOMA-IR, homeostasis model assessment of insulin resistance; TC, total </w:t>
                            </w:r>
                            <w:r>
                              <w:rPr>
                                <w:rFonts w:ascii="Times New Roman" w:hAnsi="Times New Roman"/>
                                <w:color w:val="231F20"/>
                                <w:kern w:val="0"/>
                                <w:sz w:val="16"/>
                                <w:szCs w:val="16"/>
                              </w:rPr>
                              <w:t>cholesterol; TG, triglyceride; HDL-C, high-density lipoprotein cholesterol; LDL-C, low-density lipoprotein cholesterol; BF%, body fat percentage; WHR, waist-to-hip ratio; CIMT max, the maximum of carotid intima-media thickness.</w:t>
                            </w:r>
                          </w:p>
                        </w:txbxContent>
                      </wps:txbx>
                      <wps:bodyPr rot="0" spcFirstLastPara="0" vertOverflow="overflow" horzOverflow="overflow" vert="horz" wrap="square" numCol="1" spcCol="0" rtlCol="0" fromWordArt="0" anchor="t" anchorCtr="0" forceAA="0" compatLnSpc="1">
                        <a:noAutofit/>
                      </wps:bodyPr>
                    </wps:wsp>
                  </a:graphicData>
                </a:graphic>
              </wp:anchor>
            </w:drawing>
          </mc:Choice>
          <mc:Fallback>
            <w:pict>
              <v:shape w14:anchorId="1BAB0CE8" id="文本框 37" o:spid="_x0000_s1027" type="#_x0000_t202" style="position:absolute;left:0;text-align:left;margin-left:-6pt;margin-top:1.25pt;width:489pt;height:119.8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" fillcolor="white [3201]" stroked="f" strokeweight=".5pt">
                <v:textbox>
                  <w:txbxContent>
                    <w:p w14:paraId="2C57B73B" w14:textId="77777777" w:rsidR="0072369B" w:rsidRDefault="00E434B7">
                      <w:pPr>
                        <w:rPr>
                          <w:rFonts w:ascii="Times New Roman" w:hAnsi="Times New Roman"/>
                          <w:color w:val="231F20"/>
                          <w:kern w:val="0"/>
                          <w:sz w:val="16"/>
                          <w:szCs w:val="16"/>
                        </w:rPr>
                      </w:pPr>
                      <w:r>
                        <w:rPr>
                          <w:rFonts w:ascii="Times New Roman" w:hAnsi="Times New Roman"/>
                          <w:color w:val="231F20"/>
                          <w:kern w:val="0"/>
                          <w:sz w:val="16"/>
                          <w:szCs w:val="16"/>
                        </w:rPr>
                        <w:t xml:space="preserve">Note: </w:t>
                      </w:r>
                    </w:p>
                    <w:p w14:paraId="3C1D1A97" w14:textId="0C83708D" w:rsidR="0072369B" w:rsidRDefault="00495282">
                      <w:pPr>
                        <w:rPr>
                          <w:rFonts w:ascii="Times New Roman" w:hAnsi="Times New Roman"/>
                          <w:color w:val="231F20"/>
                          <w:kern w:val="0"/>
                          <w:sz w:val="16"/>
                          <w:szCs w:val="16"/>
                        </w:rPr>
                      </w:pPr>
                      <w:r>
                        <w:rPr>
                          <w:rFonts w:ascii="Segoe UI Symbol" w:hAnsi="Segoe UI Symbol" w:cs="Segoe UI Symbol"/>
                          <w:color w:val="000000"/>
                          <w:kern w:val="0"/>
                          <w:sz w:val="16"/>
                          <w:szCs w:val="16"/>
                        </w:rPr>
                        <w:t>*</w:t>
                      </w:r>
                      <w:r w:rsidRPr="00495282">
                        <w:rPr>
                          <w:rFonts w:ascii="Times New Roman" w:hAnsi="Times New Roman"/>
                          <w:color w:val="000000"/>
                          <w:kern w:val="0"/>
                          <w:sz w:val="16"/>
                          <w:szCs w:val="16"/>
                          <w:vertAlign w:val="superscript"/>
                        </w:rPr>
                        <w:t>1</w:t>
                      </w:r>
                      <w:r>
                        <w:rPr>
                          <w:rFonts w:ascii="Times New Roman" w:hAnsi="Times New Roman"/>
                          <w:color w:val="000000"/>
                          <w:kern w:val="0"/>
                          <w:sz w:val="16"/>
                          <w:szCs w:val="16"/>
                        </w:rPr>
                        <w:t xml:space="preserve">: </w:t>
                      </w:r>
                      <w:r>
                        <w:rPr>
                          <w:rFonts w:ascii="Times New Roman" w:hAnsi="Times New Roman"/>
                          <w:color w:val="231F20"/>
                          <w:kern w:val="0"/>
                          <w:sz w:val="16"/>
                          <w:szCs w:val="16"/>
                        </w:rPr>
                        <w:t xml:space="preserve">Adjusted for sociodemographic information, diabetes, hypertensive disorders of pregnancy, and </w:t>
                      </w:r>
                      <w:r w:rsidR="00F6386F">
                        <w:rPr>
                          <w:rFonts w:ascii="Times New Roman" w:hAnsi="Times New Roman"/>
                          <w:color w:val="231F20"/>
                          <w:kern w:val="0"/>
                          <w:sz w:val="16"/>
                          <w:szCs w:val="16"/>
                        </w:rPr>
                        <w:t>infant’s gender</w:t>
                      </w:r>
                    </w:p>
                    <w:p w14:paraId="4391E99F" w14:textId="23D2E4FF" w:rsidR="0072369B" w:rsidRDefault="00495282">
                      <w:pPr>
                        <w:rPr>
                          <w:rFonts w:ascii="Times New Roman" w:hAnsi="Times New Roman"/>
                          <w:color w:val="231F20"/>
                          <w:kern w:val="0"/>
                          <w:sz w:val="16"/>
                          <w:szCs w:val="16"/>
                        </w:rPr>
                      </w:pPr>
                      <w:r>
                        <w:rPr>
                          <w:rFonts w:ascii="Segoe UI Symbol" w:hAnsi="Segoe UI Symbol" w:cs="Segoe UI Symbol"/>
                          <w:color w:val="000000"/>
                          <w:kern w:val="0"/>
                          <w:sz w:val="16"/>
                          <w:szCs w:val="16"/>
                        </w:rPr>
                        <w:t>*</w:t>
                      </w:r>
                      <w:r>
                        <w:rPr>
                          <w:rFonts w:ascii="Times New Roman" w:hAnsi="Times New Roman"/>
                          <w:color w:val="000000"/>
                          <w:kern w:val="0"/>
                          <w:sz w:val="16"/>
                          <w:szCs w:val="16"/>
                          <w:vertAlign w:val="superscript"/>
                        </w:rPr>
                        <w:t>2</w:t>
                      </w:r>
                      <w:r>
                        <w:rPr>
                          <w:rFonts w:ascii="Times New Roman" w:hAnsi="Times New Roman"/>
                          <w:color w:val="000000"/>
                          <w:kern w:val="0"/>
                          <w:sz w:val="16"/>
                          <w:szCs w:val="16"/>
                        </w:rPr>
                        <w:t xml:space="preserve">, </w:t>
                      </w:r>
                      <w:r>
                        <w:rPr>
                          <w:rFonts w:ascii="Segoe UI Symbol" w:hAnsi="Segoe UI Symbol" w:cs="Segoe UI Symbol"/>
                          <w:color w:val="000000"/>
                          <w:kern w:val="0"/>
                          <w:sz w:val="16"/>
                          <w:szCs w:val="16"/>
                        </w:rPr>
                        <w:t>*</w:t>
                      </w:r>
                      <w:r>
                        <w:rPr>
                          <w:rFonts w:ascii="Times New Roman" w:hAnsi="Times New Roman"/>
                          <w:color w:val="000000"/>
                          <w:kern w:val="0"/>
                          <w:sz w:val="16"/>
                          <w:szCs w:val="16"/>
                          <w:vertAlign w:val="superscript"/>
                        </w:rPr>
                        <w:t>3</w:t>
                      </w:r>
                      <w:r>
                        <w:rPr>
                          <w:rFonts w:ascii="Times New Roman" w:hAnsi="Times New Roman"/>
                          <w:color w:val="000000"/>
                          <w:kern w:val="0"/>
                          <w:sz w:val="16"/>
                          <w:szCs w:val="16"/>
                        </w:rPr>
                        <w:t xml:space="preserve">, </w:t>
                      </w:r>
                      <w:r>
                        <w:rPr>
                          <w:rFonts w:ascii="Segoe UI Symbol" w:hAnsi="Segoe UI Symbol" w:cs="Segoe UI Symbol"/>
                          <w:color w:val="000000"/>
                          <w:kern w:val="0"/>
                          <w:sz w:val="16"/>
                          <w:szCs w:val="16"/>
                        </w:rPr>
                        <w:t>*</w:t>
                      </w:r>
                      <w:r>
                        <w:rPr>
                          <w:rFonts w:ascii="Times New Roman" w:hAnsi="Times New Roman"/>
                          <w:color w:val="000000"/>
                          <w:kern w:val="0"/>
                          <w:sz w:val="16"/>
                          <w:szCs w:val="16"/>
                          <w:vertAlign w:val="superscript"/>
                        </w:rPr>
                        <w:t>4</w:t>
                      </w:r>
                      <w:r>
                        <w:rPr>
                          <w:rFonts w:ascii="Times New Roman" w:hAnsi="Times New Roman"/>
                          <w:color w:val="000000"/>
                          <w:kern w:val="0"/>
                          <w:sz w:val="16"/>
                          <w:szCs w:val="16"/>
                        </w:rPr>
                        <w:t xml:space="preserve">: </w:t>
                      </w:r>
                      <w:r>
                        <w:rPr>
                          <w:rFonts w:ascii="Times New Roman" w:hAnsi="Times New Roman"/>
                          <w:color w:val="231F20"/>
                          <w:kern w:val="0"/>
                          <w:sz w:val="16"/>
                          <w:szCs w:val="16"/>
                        </w:rPr>
                        <w:t xml:space="preserve">Multiple linear regression models to estimate </w:t>
                      </w:r>
                      <w:r>
                        <w:rPr>
                          <w:rFonts w:ascii="Times New Roman" w:hAnsi="Times New Roman"/>
                          <w:b/>
                          <w:bCs/>
                          <w:color w:val="231F20"/>
                          <w:kern w:val="0"/>
                          <w:sz w:val="16"/>
                          <w:szCs w:val="16"/>
                        </w:rPr>
                        <w:t>β</w:t>
                      </w:r>
                      <w:r>
                        <w:rPr>
                          <w:rFonts w:ascii="Times New Roman" w:hAnsi="Times New Roman"/>
                          <w:color w:val="231F20"/>
                          <w:kern w:val="0"/>
                          <w:sz w:val="16"/>
                          <w:szCs w:val="16"/>
                        </w:rPr>
                        <w:t>coef and 95% CI meanwhile considering Bonferroni's correction (corrected P&lt;0.005)</w:t>
                      </w:r>
                    </w:p>
                    <w:p w14:paraId="4FBC5FA3" w14:textId="2FC127C0" w:rsidR="0072369B" w:rsidRDefault="00495282">
                      <w:pPr>
                        <w:rPr>
                          <w:rFonts w:ascii="Times New Roman" w:hAnsi="Times New Roman"/>
                          <w:color w:val="231F20"/>
                          <w:kern w:val="0"/>
                          <w:sz w:val="16"/>
                          <w:szCs w:val="16"/>
                        </w:rPr>
                      </w:pPr>
                      <w:r>
                        <w:rPr>
                          <w:rFonts w:ascii="Segoe UI Symbol" w:hAnsi="Segoe UI Symbol" w:cs="Segoe UI Symbol"/>
                          <w:color w:val="000000"/>
                          <w:kern w:val="0"/>
                          <w:sz w:val="16"/>
                          <w:szCs w:val="16"/>
                        </w:rPr>
                        <w:t>*</w:t>
                      </w:r>
                      <w:r>
                        <w:rPr>
                          <w:rFonts w:ascii="Times New Roman" w:hAnsi="Times New Roman"/>
                          <w:color w:val="000000"/>
                          <w:kern w:val="0"/>
                          <w:sz w:val="16"/>
                          <w:szCs w:val="16"/>
                          <w:vertAlign w:val="superscript"/>
                        </w:rPr>
                        <w:t>5</w:t>
                      </w:r>
                      <w:r>
                        <w:rPr>
                          <w:rFonts w:ascii="Times New Roman" w:hAnsi="Times New Roman"/>
                          <w:color w:val="000000"/>
                          <w:kern w:val="0"/>
                          <w:sz w:val="16"/>
                          <w:szCs w:val="16"/>
                        </w:rPr>
                        <w:t xml:space="preserve">, </w:t>
                      </w:r>
                      <w:r>
                        <w:rPr>
                          <w:rFonts w:ascii="Segoe UI Symbol" w:hAnsi="Segoe UI Symbol" w:cs="Segoe UI Symbol"/>
                          <w:color w:val="000000"/>
                          <w:kern w:val="0"/>
                          <w:sz w:val="16"/>
                          <w:szCs w:val="16"/>
                        </w:rPr>
                        <w:t>*</w:t>
                      </w:r>
                      <w:r>
                        <w:rPr>
                          <w:rFonts w:ascii="Times New Roman" w:hAnsi="Times New Roman"/>
                          <w:color w:val="000000"/>
                          <w:kern w:val="0"/>
                          <w:sz w:val="16"/>
                          <w:szCs w:val="16"/>
                          <w:vertAlign w:val="superscript"/>
                        </w:rPr>
                        <w:t>6</w:t>
                      </w:r>
                      <w:r>
                        <w:rPr>
                          <w:rFonts w:ascii="Times New Roman" w:hAnsi="Times New Roman"/>
                          <w:color w:val="000000"/>
                          <w:kern w:val="0"/>
                          <w:sz w:val="16"/>
                          <w:szCs w:val="16"/>
                        </w:rPr>
                        <w:t xml:space="preserve">, </w:t>
                      </w:r>
                      <w:r>
                        <w:rPr>
                          <w:rFonts w:ascii="Segoe UI Symbol" w:hAnsi="Segoe UI Symbol" w:cs="Segoe UI Symbol"/>
                          <w:color w:val="000000"/>
                          <w:kern w:val="0"/>
                          <w:sz w:val="16"/>
                          <w:szCs w:val="16"/>
                        </w:rPr>
                        <w:t>*</w:t>
                      </w:r>
                      <w:r>
                        <w:rPr>
                          <w:rFonts w:ascii="Times New Roman" w:hAnsi="Times New Roman"/>
                          <w:color w:val="000000"/>
                          <w:kern w:val="0"/>
                          <w:sz w:val="16"/>
                          <w:szCs w:val="16"/>
                          <w:vertAlign w:val="superscript"/>
                        </w:rPr>
                        <w:t>7</w:t>
                      </w:r>
                      <w:r>
                        <w:rPr>
                          <w:rFonts w:ascii="Times New Roman" w:hAnsi="Times New Roman"/>
                          <w:color w:val="000000"/>
                          <w:kern w:val="0"/>
                          <w:sz w:val="16"/>
                          <w:szCs w:val="16"/>
                        </w:rPr>
                        <w:t xml:space="preserve">: </w:t>
                      </w:r>
                      <w:r>
                        <w:rPr>
                          <w:rFonts w:ascii="Times New Roman" w:hAnsi="Times New Roman"/>
                          <w:color w:val="231F20"/>
                          <w:kern w:val="0"/>
                          <w:sz w:val="16"/>
                          <w:szCs w:val="16"/>
                        </w:rPr>
                        <w:t>Log-transformed variables before analysis: HOMA-IR, TG</w:t>
                      </w:r>
                    </w:p>
                    <w:p w14:paraId="08ADD91E" w14:textId="77777777" w:rsidR="0072369B" w:rsidRDefault="00E434B7">
                      <w:pPr>
                        <w:rPr>
                          <w:rFonts w:ascii="Arial" w:hAnsi="Arial" w:cs="Arial"/>
                          <w:color w:val="231F20"/>
                          <w:kern w:val="0"/>
                          <w:sz w:val="20"/>
                          <w:szCs w:val="20"/>
                        </w:rPr>
                      </w:pPr>
                      <w:r>
                        <w:rPr>
                          <w:rFonts w:ascii="Times New Roman" w:hAnsi="Times New Roman"/>
                          <w:b/>
                          <w:bCs/>
                          <w:color w:val="231F20"/>
                          <w:kern w:val="0"/>
                          <w:sz w:val="16"/>
                          <w:szCs w:val="16"/>
                        </w:rPr>
                        <w:t>β</w:t>
                      </w:r>
                      <w:r>
                        <w:rPr>
                          <w:rFonts w:ascii="Times New Roman" w:hAnsi="Times New Roman"/>
                          <w:color w:val="231F20"/>
                          <w:kern w:val="0"/>
                          <w:sz w:val="16"/>
                          <w:szCs w:val="16"/>
                        </w:rPr>
                        <w:t>coef,</w:t>
                      </w:r>
                      <w:r>
                        <w:rPr>
                          <w:rFonts w:ascii="Times New Roman" w:hAnsi="Times New Roman"/>
                          <w:b/>
                          <w:bCs/>
                          <w:color w:val="231F20"/>
                          <w:kern w:val="0"/>
                          <w:sz w:val="16"/>
                          <w:szCs w:val="16"/>
                        </w:rPr>
                        <w:t>β</w:t>
                      </w:r>
                      <w:r>
                        <w:rPr>
                          <w:rFonts w:ascii="Times New Roman" w:hAnsi="Times New Roman"/>
                          <w:color w:val="231F20"/>
                          <w:kern w:val="0"/>
                          <w:sz w:val="16"/>
                          <w:szCs w:val="16"/>
                        </w:rPr>
                        <w:t xml:space="preserve">coefficients; SBP, systolic blood pressure; DBP, diastolic blood pressure; FPG, fasting plasma glucose; HOMA-IR, homeostasis model assessment of insulin resistance; TC, total </w:t>
                      </w:r>
                      <w:r>
                        <w:rPr>
                          <w:rFonts w:ascii="Times New Roman" w:hAnsi="Times New Roman"/>
                          <w:color w:val="231F20"/>
                          <w:kern w:val="0"/>
                          <w:sz w:val="16"/>
                          <w:szCs w:val="16"/>
                        </w:rPr>
                        <w:t>cholesterol; TG, triglyceride; HDL-C, high-density lipoprotein cholesterol; LDL-C, low-density lipoprotein cholesterol; BF%, body fat percentage; WHR, waist-to-hip ratio; CIMT max, the maximum of carotid intima-media thickness.</w:t>
                      </w:r>
                    </w:p>
                  </w:txbxContent>
                </v:textbox>
              </v:shape>
            </w:pict>
          </mc:Fallback>
        </mc:AlternateContent>
      </w:r>
    </w:p>
    <w:p w14:paraId="4D471F19" w14:textId="77777777" w:rsidR="0072369B" w:rsidRDefault="0072369B">
      <w:pPr>
        <w:rPr>
          <w:rFonts w:ascii="Times New Roman" w:hAnsi="Times New Roman"/>
          <w:sz w:val="20"/>
          <w:szCs w:val="20"/>
        </w:rPr>
      </w:pPr>
    </w:p>
    <w:p w14:paraId="3C80E2E4" w14:textId="77777777" w:rsidR="0072369B" w:rsidRDefault="0072369B">
      <w:pPr>
        <w:rPr>
          <w:rFonts w:ascii="Times New Roman" w:hAnsi="Times New Roman"/>
          <w:sz w:val="20"/>
          <w:szCs w:val="20"/>
        </w:rPr>
      </w:pPr>
    </w:p>
    <w:p w14:paraId="378D1261" w14:textId="77777777" w:rsidR="0072369B" w:rsidRDefault="0072369B">
      <w:pPr>
        <w:rPr>
          <w:rFonts w:ascii="Times New Roman" w:hAnsi="Times New Roman"/>
          <w:sz w:val="20"/>
          <w:szCs w:val="20"/>
        </w:rPr>
      </w:pPr>
    </w:p>
    <w:p w14:paraId="3A06ED01" w14:textId="77777777" w:rsidR="0072369B" w:rsidRDefault="0072369B">
      <w:pPr>
        <w:rPr>
          <w:rFonts w:ascii="Times New Roman" w:hAnsi="Times New Roman"/>
          <w:sz w:val="20"/>
          <w:szCs w:val="20"/>
        </w:rPr>
      </w:pPr>
    </w:p>
    <w:p w14:paraId="36BF0A11" w14:textId="77777777" w:rsidR="0072369B" w:rsidRDefault="0072369B">
      <w:pPr>
        <w:rPr>
          <w:rFonts w:ascii="Times New Roman" w:hAnsi="Times New Roman"/>
          <w:sz w:val="20"/>
          <w:szCs w:val="20"/>
        </w:rPr>
      </w:pPr>
    </w:p>
    <w:p w14:paraId="59F20BAF" w14:textId="77777777" w:rsidR="0072369B" w:rsidRDefault="0072369B">
      <w:pPr>
        <w:rPr>
          <w:rFonts w:ascii="Times New Roman" w:hAnsi="Times New Roman"/>
          <w:sz w:val="20"/>
          <w:szCs w:val="20"/>
        </w:rPr>
      </w:pPr>
    </w:p>
    <w:p w14:paraId="35B72CCA" w14:textId="77777777" w:rsidR="0072369B" w:rsidRDefault="0072369B">
      <w:pPr>
        <w:rPr>
          <w:rFonts w:ascii="Times New Roman" w:hAnsi="Times New Roman"/>
          <w:sz w:val="20"/>
          <w:szCs w:val="20"/>
        </w:rPr>
      </w:pPr>
    </w:p>
    <w:p w14:paraId="4F3E10A8" w14:textId="77777777" w:rsidR="0072369B" w:rsidRDefault="0072369B">
      <w:pPr>
        <w:rPr>
          <w:rFonts w:ascii="Times New Roman" w:hAnsi="Times New Roman"/>
          <w:sz w:val="20"/>
          <w:szCs w:val="20"/>
        </w:rPr>
      </w:pPr>
    </w:p>
    <w:p w14:paraId="1B11DD9E" w14:textId="77777777" w:rsidR="0072369B" w:rsidRDefault="0072369B">
      <w:pPr>
        <w:rPr>
          <w:rFonts w:ascii="Times New Roman" w:hAnsi="Times New Roman"/>
          <w:sz w:val="20"/>
          <w:szCs w:val="20"/>
        </w:rPr>
      </w:pPr>
    </w:p>
    <w:sectPr w:rsidR="0072369B">
      <w:footerReference w:type="default" r:id="rId9"/>
      <w:pgSz w:w="11906" w:h="16838"/>
      <w:pgMar w:top="420" w:right="1077" w:bottom="1554" w:left="107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0A56EC" w14:textId="77777777" w:rsidR="00E434B7" w:rsidRDefault="00E434B7">
      <w:r>
        <w:separator/>
      </w:r>
    </w:p>
  </w:endnote>
  <w:endnote w:type="continuationSeparator" w:id="0">
    <w:p w14:paraId="7FBAA49E" w14:textId="77777777" w:rsidR="00E434B7" w:rsidRDefault="00E43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altName w:val="微软雅黑"/>
    <w:panose1 w:val="020B0503020204020204"/>
    <w:charset w:val="86"/>
    <w:family w:val="swiss"/>
    <w:pitch w:val="variable"/>
    <w:sig w:usb0="80000287" w:usb1="2ACF3C50" w:usb2="00000016" w:usb3="00000000" w:csb0="0004001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8869942"/>
    </w:sdtPr>
    <w:sdtEndPr/>
    <w:sdtContent>
      <w:p w14:paraId="2544480A" w14:textId="77777777" w:rsidR="0072369B" w:rsidRDefault="00E434B7">
        <w:pPr>
          <w:pStyle w:val="Footer"/>
          <w:jc w:val="center"/>
        </w:pPr>
        <w:r>
          <w:fldChar w:fldCharType="begin"/>
        </w:r>
        <w:r>
          <w:instrText>PAGE   \* MERGEFORMAT</w:instrText>
        </w:r>
        <w:r>
          <w:fldChar w:fldCharType="separate"/>
        </w:r>
        <w:r>
          <w:rPr>
            <w:lang w:val="zh-CN"/>
          </w:rPr>
          <w:t>2</w:t>
        </w:r>
        <w:r>
          <w:fldChar w:fldCharType="end"/>
        </w:r>
      </w:p>
    </w:sdtContent>
  </w:sdt>
  <w:p w14:paraId="478C666C" w14:textId="77777777" w:rsidR="0072369B" w:rsidRDefault="007236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D3AD14" w14:textId="77777777" w:rsidR="00E434B7" w:rsidRDefault="00E434B7">
      <w:r>
        <w:separator/>
      </w:r>
    </w:p>
  </w:footnote>
  <w:footnote w:type="continuationSeparator" w:id="0">
    <w:p w14:paraId="1B3D694F" w14:textId="77777777" w:rsidR="00E434B7" w:rsidRDefault="00E43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7C357E1"/>
    <w:multiLevelType w:val="multilevel"/>
    <w:tmpl w:val="87C357E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3D89116"/>
    <w:multiLevelType w:val="multilevel"/>
    <w:tmpl w:val="A3D8911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1D288E6"/>
    <w:multiLevelType w:val="multilevel"/>
    <w:tmpl w:val="F1D288E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F465A7"/>
    <w:multiLevelType w:val="multilevel"/>
    <w:tmpl w:val="2BF465A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3B7CCA79"/>
    <w:multiLevelType w:val="multilevel"/>
    <w:tmpl w:val="3B7CCA7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FD718F7"/>
    <w:multiLevelType w:val="multilevel"/>
    <w:tmpl w:val="3FD718F7"/>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WFkNzczNWE4NTNiYzFjNmUyM2VlYmE5NGJhOWZiZDIifQ=="/>
    <w:docVar w:name="NE.Ref{00E062D9-5EA0-4697-A59D-BAD42BD27BCA}" w:val=" ADDIN NE.Ref.{00E062D9-5EA0-4697-A59D-BAD42BD27BCA}&lt;Citation&gt;&lt;Group&gt;&lt;References&gt;&lt;Item&gt;&lt;ID&gt;16&lt;/ID&gt;&lt;UID&gt;{7D0F4671-530A-4321-9D3D-CBF584A4CE98}&lt;/UID&gt;&lt;Title&gt;Maternal weight change from prepregnancy to 18 months postpartum and subsequent  risk of hypertension and cardiovascular disease in Danish women: A cohort study&lt;/Title&gt;&lt;Template&gt;Journal Article&lt;/Template&gt;&lt;Star&gt;0&lt;/Star&gt;&lt;Tag&gt;0&lt;/Tag&gt;&lt;Author&gt;Kirkegaard, H; Bliddal, M; Støvring, H; Rasmussen, K M; Gunderson, E P; Køber, L; Sørensen, TIA; Nøhr, E A&lt;/Author&gt;&lt;Year&gt;2021&lt;/Year&gt;&lt;Details&gt;&lt;_accession_num&gt;33798198&lt;/_accession_num&gt;&lt;_author_adr&gt;Research Unit of Obstetrics and Gynecology, Department of Clinical Research,  University of Southern Denmark, Odense, Denmark.; Open Patient Data Explorative Network (OPEN), Department of Clinical Research,  University of Southern Denmark and Odense University Hospital, Odense, Denmark.; Open Patient Data Explorative Network (OPEN), Department of Clinical Research,  University of Southern Denmark and Odense University Hospital, Odense, Denmark.; Department of Public Health, Biostatistics, Aarhus University, Aarhus, Denmark.; Division of Nutritional Sciences, Cornell University, Ithaca, New York, United  States of America.; Division of Research, Cardiovascular and Metabolic Conditions Section, Kaiser  Permanente Northern California, Oakland, California, United States of America.; Department of Cardiology, Rigshospitalet, University Hospital, Copenhagen,  Denmark.; Novo Nordisk Foundation Center for Basic Metabolic Research and Department of  Public Health, Faculty of Health and Medical Sciences, University of Copenhagen,  Copenhagen, Denmark.; Research Unit of Obstetrics and Gynecology, Department of Clinical Research,  University of Southern Denmark, Odense, Denmark.; Department of Gynecology and Obstetrics, Odense University Hospital, Odense,  Denmark.&lt;/_author_adr&gt;&lt;_collection_scope&gt;SCIE&lt;/_collection_scope&gt;&lt;_created&gt;64733397&lt;/_created&gt;&lt;_date&gt;2021-04-01&lt;/_date&gt;&lt;_date_display&gt;2021 Apr&lt;/_date_display&gt;&lt;_doi&gt;10.1371/journal.pmed.1003486&lt;/_doi&gt;&lt;_impact_factor&gt;  11.069&lt;/_impact_factor&gt;&lt;_isbn&gt;1549-1676 (Electronic); 1549-1277 (Print); 1549-1277 (Linking)&lt;/_isbn&gt;&lt;_issue&gt;4&lt;/_issue&gt;&lt;_journal&gt;PLoS Med&lt;/_journal&gt;&lt;_language&gt;eng&lt;/_language&gt;&lt;_modified&gt;64734679&lt;/_modified&gt;&lt;_pages&gt;e1003486&lt;/_pages&gt;&lt;_subject_headings&gt;Adult; Cardiovascular Diseases/*epidemiology/etiology; Cohort Studies; Denmark/epidemiology; Female; Humans; Hypertension/epidemiology/etiology; Middle Aged; Obesity/epidemiology/etiology; Overweight/*epidemiology/etiology; Postpartum Period/*physiology; Pregnancy; Pregnancy Complications/*epidemiology/etiology; Risk Factors; Thinness/*epidemiology/etiology; *Weight Gain; Young Adult&lt;/_subject_headings&gt;&lt;_tertiary_title&gt;PLoS medicine&lt;/_tertiary_title&gt;&lt;_type_work&gt;Journal Article; Research Support, Non-U.S. Gov&amp;apos;t&lt;/_type_work&gt;&lt;_url&gt;http://www.ncbi.nlm.nih.gov/entrez/query.fcgi?cmd=Retrieve&amp;amp;db=pubmed&amp;amp;dopt=Abstract&amp;amp;list_uids=33798198&amp;amp;query_hl=1&lt;/_url&gt;&lt;_volume&gt;18&lt;/_volume&gt;&lt;/Details&gt;&lt;Extra&gt;&lt;DBUID&gt;{C818A046-6D8C-4B07-8765-4E05C48B46EA}&lt;/DBUID&gt;&lt;/Extra&gt;&lt;/Item&gt;&lt;/References&gt;&lt;/Group&gt;&lt;/Citation&gt;_x000a_"/>
    <w:docVar w:name="NE.Ref{03A32573-BCBA-4739-8AE8-D5021D3B79D8}" w:val=" ADDIN NE.Ref.{03A32573-BCBA-4739-8AE8-D5021D3B79D8}&lt;Citation&gt;&lt;Group&gt;&lt;References&gt;&lt;Item&gt;&lt;ID&gt;2&lt;/ID&gt;&lt;UID&gt;{A29ED86C-4B2C-4447-BA91-349449A57E1A}&lt;/UID&gt;&lt;Title&gt;Preconceptional and maternal obesity: epidemiology and health consequences&lt;/Title&gt;&lt;Template&gt;Journal Article&lt;/Template&gt;&lt;Star&gt;0&lt;/Star&gt;&lt;Tag&gt;0&lt;/Tag&gt;&lt;Author&gt;Poston, L; Caleyachetty, R; Cnattingius, S; Corvalán, C; Uauy, R; Herring, S; Gillman, M W&lt;/Author&gt;&lt;Year&gt;2016&lt;/Year&gt;&lt;Details&gt;&lt;_accession_num&gt;27743975&lt;/_accession_num&gt;&lt;_author_adr&gt;Division of Women&amp;apos;s Health, Faculty of Life Sciences and Medicine, King&amp;apos;s College  London, London, UK. Electronic address: lucilla.poston@kcl.ac.uk.; Institute of Applied Health Research, University of Birmingham, Birmingham, UK.; Department of Medicine Solna, Karolinska Universitetssjukhuset, Stockholm,  Sweden.; Institute of Nutrition and Food Technology, University of Chile, Santiago, Chile.; Division of Pediatrics, Faculty of Medicine, Pontifical Catholic University of  Chile, Santiago, Chile; Center for Obesity Research and Education, Departments of  Medicine and Public Health, Temple University, Philadelphia, PA, USA.; Center for Obesity Research and Education, Departments of Medicine and Public  Health, Temple University, Philadelphia, PA, USA.; Office of the Director, Environmental Influences on Child Health Outcomes (ECHO),  National Institutes of Health, Rockville, MD, USA.&lt;/_author_adr&gt;&lt;_created&gt;64733386&lt;/_created&gt;&lt;_date&gt;2016-12-01&lt;/_date&gt;&lt;_date_display&gt;2016 Dec&lt;/_date_display&gt;&lt;_doi&gt;10.1016/S2213-8587(16)30217-0&lt;/_doi&gt;&lt;_impact_factor&gt;  32.069&lt;/_impact_factor&gt;&lt;_isbn&gt;2213-8595 (Electronic); 2213-8587 (Linking)&lt;/_isbn&gt;&lt;_issue&gt;12&lt;/_issue&gt;&lt;_journal&gt;Lancet Diabetes Endocrinol&lt;/_journal&gt;&lt;_language&gt;eng&lt;/_language&gt;&lt;_modified&gt;64734679&lt;/_modified&gt;&lt;_ori_publication&gt;Copyright Â© 2016 Elsevier Ltd. All rights reserved.&lt;/_ori_publication&gt;&lt;_pages&gt;1025-1036&lt;/_pages&gt;&lt;_subject_headings&gt;Abortion, Spontaneous/etiology; Delivery, Obstetric; Female; Fertility; Humans; Obesity/complications/*epidemiology; Postpartum Period; Pregnancy; Pregnancy Complications/*epidemiology/etiology; Premature Birth/etiology; Prevalence&lt;/_subject_headings&gt;&lt;_tertiary_title&gt;The lancet. Diabetes &amp;amp; endocrinology&lt;/_tertiary_title&gt;&lt;_type_work&gt;Journal Article; Research Support, Non-U.S. Gov&amp;apos;t; Review&lt;/_type_work&gt;&lt;_url&gt;http://www.ncbi.nlm.nih.gov/entrez/query.fcgi?cmd=Retrieve&amp;amp;db=pubmed&amp;amp;dopt=Abstract&amp;amp;list_uids=27743975&amp;amp;query_hl=1&lt;/_url&gt;&lt;_volume&gt;4&lt;/_volume&gt;&lt;/Details&gt;&lt;Extra&gt;&lt;DBUID&gt;{C818A046-6D8C-4B07-8765-4E05C48B46EA}&lt;/DBUID&gt;&lt;/Extra&gt;&lt;/Item&gt;&lt;/References&gt;&lt;/Group&gt;&lt;Group&gt;&lt;References&gt;&lt;Item&gt;&lt;ID&gt;10&lt;/ID&gt;&lt;UID&gt;{B3BA5906-51A5-4892-A06E-003BC896ED22}&lt;/UID&gt;&lt;Title&gt;Global, regional, and national comparative risk assessment of 79 behavioural,  environmental and occupational, and metabolic risks or clusters of risks,  1990-2015: a systematic analysis for the Global Burden of Disease Study 2015&lt;/Title&gt;&lt;Template&gt;Journal Article&lt;/Template&gt;&lt;Star&gt;0&lt;/Star&gt;&lt;Tag&gt;0&lt;/Tag&gt;&lt;Author/&gt;&lt;Year&gt;2016&lt;/Year&gt;&lt;Details&gt;&lt;_accession_num&gt;27733284&lt;/_accession_num&gt;&lt;_collection_scope&gt;SCI;SCIE&lt;/_collection_scope&gt;&lt;_created&gt;64733396&lt;/_created&gt;&lt;_date&gt;2016-10-08&lt;/_date&gt;&lt;_date_display&gt;2016 Oct 8&lt;/_date_display&gt;&lt;_doi&gt;10.1016/S0140-6736(16)31679-8&lt;/_doi&gt;&lt;_impact_factor&gt;  79.323&lt;/_impact_factor&gt;&lt;_isbn&gt;1474-547X (Electronic); 0140-6736 (Print); 0140-6736 (Linking)&lt;/_isbn&gt;&lt;_issue&gt;10053&lt;/_issue&gt;&lt;_journal&gt;Lancet&lt;/_journal&gt;&lt;_language&gt;eng&lt;/_language&gt;&lt;_modified&gt;64734679&lt;/_modified&gt;&lt;_ori_publication&gt;Copyright © 2016 The Author(s). Published by Elsevier Ltd. This is an Open Access _x000d__x000a_      article under the CC BY license. Published by Elsevier Ltd.. All rights reserved.&lt;/_ori_publication&gt;&lt;_pages&gt;1659-1724&lt;/_pages&gt;&lt;_subject_headings&gt;Africa South of the Sahara/epidemiology; Africa, Northern/epidemiology; Air Pollution, Indoor/statistics &amp;amp; numerical data; Alcohol Drinking/epidemiology; Biomarkers/blood; Blood Glucose/metabolism; Body Mass Index; Cholesterol/blood; *Cost of Illness; Disabled Persons/*statistics &amp;amp; numerical data; *Environmental Exposure/statistics &amp;amp; numerical data; *Global Health; Humans; Hypertension/epidemiology; *Life Expectancy; Malnutrition/epidemiology; Middle East/epidemiology; *Occupational Exposure/statistics &amp;amp; numerical data; Quality-Adjusted Life Years; Risk Assessment; Risk Factors; *Risk-Taking; Smoking/epidemiology; Sodium, Dietary/administration &amp;amp; dosage; Substance-Related Disorders/epidemiology; Unsafe Sex/statistics &amp;amp; numerical data&lt;/_subject_headings&gt;&lt;_tertiary_title&gt;Lancet (London, England)&lt;/_tertiary_title&gt;&lt;_type_work&gt;Comparative Study; Journal Article; Research Support, N.I.H., Extramural; Research Support, Non-U.S. Gov&amp;apos;t; Research Support, U.S. Gov&amp;apos;t, Non-P.H.S.&lt;/_type_work&gt;&lt;_url&gt;http://www.ncbi.nlm.nih.gov/entrez/query.fcgi?cmd=Retrieve&amp;amp;db=pubmed&amp;amp;dopt=Abstract&amp;amp;list_uids=27733284&amp;amp;query_hl=1&lt;/_url&gt;&lt;_volume&gt;388&lt;/_volume&gt;&lt;/Details&gt;&lt;Extra&gt;&lt;DBUID&gt;{C818A046-6D8C-4B07-8765-4E05C48B46EA}&lt;/DBUID&gt;&lt;/Extra&gt;&lt;/Item&gt;&lt;/References&gt;&lt;/Group&gt;&lt;Group&gt;&lt;References&gt;&lt;Item&gt;&lt;ID&gt;47&lt;/ID&gt;&lt;UID&gt;{8ABC1079-BB6F-447D-82C8-F1F44D27B277}&lt;/UID&gt;&lt;Title&gt;A survey of lifestyle risk factors for cardiovascular health among young Hong  Kong Chinese women: implications for long-term cardiovascular health&lt;/Title&gt;&lt;Template&gt;Journal Article&lt;/Template&gt;&lt;Star&gt;0&lt;/Star&gt;&lt;Tag&gt;0&lt;/Tag&gt;&lt;Author&gt;Twinn, S F; Lee, G C; Thompson, D R&lt;/Author&gt;&lt;Year&gt;2010&lt;/Year&gt;&lt;Details&gt;&lt;_accession_num&gt;20092416&lt;/_accession_num&gt;&lt;_author_adr&gt;The Nethersole School of Nursing, The Chinese University of Hong Kong, Hong Kong  SAR, People&amp;apos;s Republic of China. sftwinn@cuhk.edu.hk&lt;/_author_adr&gt;&lt;_date_display&gt;2010 Feb&lt;/_date_display&gt;&lt;_date&gt;2010-02-01&lt;/_date&gt;&lt;_doi&gt;10.1089/jwh.2008.1318&lt;/_doi&gt;&lt;_isbn&gt;1931-843X (Electronic); 1540-9996 (Linking)&lt;/_isbn&gt;&lt;_issue&gt;2&lt;/_issue&gt;&lt;_journal&gt;J Womens Health (Larchmt)&lt;/_journal&gt;&lt;_language&gt;eng&lt;/_language&gt;&lt;_pages&gt;289-95&lt;/_pages&gt;&lt;_subject_headings&gt;Adult; Alcohol Drinking/epidemiology; Cardiovascular Diseases/*etiology; Cross-Sectional Studies; Exercise; Female; Health Status; Hong Kong/epidemiology; Humans; *Life Style; Obesity/epidemiology; Risk Factors; Smoking/epidemiology; Surveys and Questionnaires; Thinness/epidemiology; Young Adult&lt;/_subject_headings&gt;&lt;_tertiary_title&gt;Journal of women&amp;apos;s health (2002)&lt;/_tertiary_title&gt;&lt;_type_work&gt;Journal Article&lt;/_type_work&gt;&lt;_url&gt;http://www.ncbi.nlm.nih.gov/entrez/query.fcgi?cmd=Retrieve&amp;amp;db=pubmed&amp;amp;dopt=Abstract&amp;amp;list_uids=20092416&amp;amp;query_hl=1&lt;/_url&gt;&lt;_volume&gt;19&lt;/_volume&gt;&lt;_created&gt;64736296&lt;/_created&gt;&lt;_modified&gt;64736296&lt;/_modified&gt;&lt;_impact_factor&gt;   2.681&lt;/_impact_factor&gt;&lt;/Details&gt;&lt;Extra&gt;&lt;DBUID&gt;{C818A046-6D8C-4B07-8765-4E05C48B46EA}&lt;/DBUID&gt;&lt;/Extra&gt;&lt;/Item&gt;&lt;/References&gt;&lt;/Group&gt;&lt;/Citation&gt;_x000a_"/>
    <w:docVar w:name="NE.Ref{0514CA40-3252-40E5-A6E0-D9DDABF45D45}" w:val=" ADDIN NE.Ref.{0514CA40-3252-40E5-A6E0-D9DDABF45D45}&lt;Citation&gt;&lt;Group&gt;&lt;References&gt;&lt;Item&gt;&lt;ID&gt;16&lt;/ID&gt;&lt;UID&gt;{7D0F4671-530A-4321-9D3D-CBF584A4CE98}&lt;/UID&gt;&lt;Title&gt;Maternal weight change from prepregnancy to 18 months postpartum and subsequent  risk of hypertension and cardiovascular disease in Danish women: A cohort study&lt;/Title&gt;&lt;Template&gt;Journal Article&lt;/Template&gt;&lt;Star&gt;0&lt;/Star&gt;&lt;Tag&gt;0&lt;/Tag&gt;&lt;Author&gt;Kirkegaard, H; Bliddal, M; Støvring, H; Rasmussen, K M; Gunderson, E P; Køber, L; Sørensen, TIA; Nøhr, E A&lt;/Author&gt;&lt;Year&gt;2021&lt;/Year&gt;&lt;Details&gt;&lt;_accession_num&gt;33798198&lt;/_accession_num&gt;&lt;_author_adr&gt;Research Unit of Obstetrics and Gynecology, Department of Clinical Research,  University of Southern Denmark, Odense, Denmark.; Open Patient Data Explorative Network (OPEN), Department of Clinical Research,  University of Southern Denmark and Odense University Hospital, Odense, Denmark.; Open Patient Data Explorative Network (OPEN), Department of Clinical Research,  University of Southern Denmark and Odense University Hospital, Odense, Denmark.; Department of Public Health, Biostatistics, Aarhus University, Aarhus, Denmark.; Division of Nutritional Sciences, Cornell University, Ithaca, New York, United  States of America.; Division of Research, Cardiovascular and Metabolic Conditions Section, Kaiser  Permanente Northern California, Oakland, California, United States of America.; Department of Cardiology, Rigshospitalet, University Hospital, Copenhagen,  Denmark.; Novo Nordisk Foundation Center for Basic Metabolic Research and Department of  Public Health, Faculty of Health and Medical Sciences, University of Copenhagen,  Copenhagen, Denmark.; Research Unit of Obstetrics and Gynecology, Department of Clinical Research,  University of Southern Denmark, Odense, Denmark.; Department of Gynecology and Obstetrics, Odense University Hospital, Odense,  Denmark.&lt;/_author_adr&gt;&lt;_collection_scope&gt;SCIE&lt;/_collection_scope&gt;&lt;_created&gt;64733397&lt;/_created&gt;&lt;_date&gt;2021-04-01&lt;/_date&gt;&lt;_date_display&gt;2021 Apr&lt;/_date_display&gt;&lt;_doi&gt;10.1371/journal.pmed.1003486&lt;/_doi&gt;&lt;_impact_factor&gt;  11.069&lt;/_impact_factor&gt;&lt;_isbn&gt;1549-1676 (Electronic); 1549-1277 (Print); 1549-1277 (Linking)&lt;/_isbn&gt;&lt;_issue&gt;4&lt;/_issue&gt;&lt;_journal&gt;PLoS Med&lt;/_journal&gt;&lt;_language&gt;eng&lt;/_language&gt;&lt;_modified&gt;64734679&lt;/_modified&gt;&lt;_pages&gt;e1003486&lt;/_pages&gt;&lt;_subject_headings&gt;Adult; Cardiovascular Diseases/*epidemiology/etiology; Cohort Studies; Denmark/epidemiology; Female; Humans; Hypertension/epidemiology/etiology; Middle Aged; Obesity/epidemiology/etiology; Overweight/*epidemiology/etiology; Postpartum Period/*physiology; Pregnancy; Pregnancy Complications/*epidemiology/etiology; Risk Factors; Thinness/*epidemiology/etiology; *Weight Gain; Young Adult&lt;/_subject_headings&gt;&lt;_tertiary_title&gt;PLoS medicine&lt;/_tertiary_title&gt;&lt;_type_work&gt;Journal Article; Research Support, Non-U.S. Gov&amp;apos;t&lt;/_type_work&gt;&lt;_url&gt;http://www.ncbi.nlm.nih.gov/entrez/query.fcgi?cmd=Retrieve&amp;amp;db=pubmed&amp;amp;dopt=Abstract&amp;amp;list_uids=33798198&amp;amp;query_hl=1&lt;/_url&gt;&lt;_volume&gt;18&lt;/_volume&gt;&lt;/Details&gt;&lt;Extra&gt;&lt;DBUID&gt;{C818A046-6D8C-4B07-8765-4E05C48B46EA}&lt;/DBUID&gt;&lt;/Extra&gt;&lt;/Item&gt;&lt;/References&gt;&lt;/Group&gt;&lt;/Citation&gt;_x000a_"/>
    <w:docVar w:name="NE.Ref{0542F6A4-B696-4BAC-8BB4-8B5151CEF6A8}" w:val=" ADDIN NE.Ref.{0542F6A4-B696-4BAC-8BB4-8B5151CEF6A8}&lt;Citation&gt;&lt;Group&gt;&lt;References&gt;&lt;Item&gt;&lt;ID&gt;556&lt;/ID&gt;&lt;UID&gt;{31284E05-DB15-43CA-9DA3-06B44098E4A3}&lt;/UID&gt;&lt;Title&gt;Health Effects of Overweight and Obesity in 195 Countries over 25 Years&lt;/Title&gt;&lt;Template&gt;Journal Article&lt;/Template&gt;&lt;Star&gt;0&lt;/Star&gt;&lt;Tag&gt;0&lt;/Tag&gt;&lt;Author&gt;Afshin, A; Forouzanfar, M H; Reitsma, M B; Sur, P; Estep, K; Lee, A; Marczak, L; Mokdad, A H; Moradi-Lakeh, M; Naghavi, M; Salama, J S; Vos, T; Abate, K H; Abbafati, C; Ahmed, M B; Al-Aly, Z; Alkerwi, A; Al-Raddadi, R; Amare, A T; Amberbir, A; Amegah, A K; Amini, E; Amrock, S M; Anjana, R M; Ärnlöv, J; Asayesh, H; Banerjee, A; Barac, A; Baye, E; Bennett, D A; Beyene, A S; Biadgilign, S; Biryukov, S; Bjertness, E; Boneya, D J; Campos-Nonato, I; Carrero, J J; Cecilio, P; Cercy, K; Ciobanu, L G; Cornaby, L; Damtew, S A; Dandona, L; Dandona, R; Dharmaratne, S D; Duncan, B B; Eshrati, B; Esteghamati, A; Feigin, V L; Fernandes, J C; Fürst, T; Gebrehiwot, T T; Gold, A; Gona, P N; Goto, A; Habtewold, T D; Hadush, K T; Hafezi-Nejad, N; Hay, S I; Horino, M; Islami, F; Kamal, R; Kasaeian, A; Katikireddi, S V; Kengne, A P; Kesavachandran, C N; Khader, Y S; Khang, Y H; Khubchandani, J; Kim, D; Kim, Y J; Kinfu, Y; Kosen, S; Ku, T; Defo, B K; Kumar, G A; Larson, H J; Leinsalu, M; Liang, X; Lim, S S; Liu, P; Lopez, A D; Lozano, R; Majeed, A; Malekzadeh, R; Malta, D C; Mazidi, M; McAlinden, C; McGarvey, S T; Mengistu, D T; Mensah, G A; Mensink, GBM; Mezgebe, H B; Mirrakhimov, E M; Mueller, U O; Noubiap, J J; Obermeyer, C M; Ogbo, F A; Owolabi, M O; Patton, G C; Pourmalek, F; Qorbani, M; Rafay, A; Rai, R K; Ranabhat, C L; Reinig, N; Safiri, S; Salomon, J A; Sanabria, J R; Santos, I S; Sartorius, B; Sawhney, M; Schmidhuber, J; Schutte, A E; Schmidt, M I; Sepanlou, S G; Shamsizadeh, M; Sheikhbahaei, S; Shin, M J; Shiri, R; Shiue, I; Roba, H S; Silva, DAS; Silverberg, J I; Singh, J A; Stranges, S; Swaminathan, S; Tabarés-Seisdedos, R; Tadese, F; Tedla, B A; Tegegne, B S; Terkawi, A S; Thakur, J S; Tonelli, M; Topor-Madry, R; Tyrovolas, S; Ukwaja, K N; Uthman, O A; Vaezghasemi, M; Vasankari, T; Vlassov, V V; Vollset, S E; Weiderpass, E; Werdecker, A; Wesana, J; Westerman, R; Yano, Y; Yonemoto, N; Yonga, G; Zaidi, Z; Zenebe, Z M; Zipkin, B; Murray, CJL&lt;/Author&gt;&lt;Year&gt;2017&lt;/Year&gt;&lt;Details&gt;&lt;_accession_num&gt;28604169&lt;/_accession_num&gt;&lt;_created&gt;64526496&lt;/_created&gt;&lt;_date&gt;2017-07-06&lt;/_date&gt;&lt;_date_display&gt;2017 Jul 6&lt;/_date_display&gt;&lt;_doi&gt;10.1056/NEJMoa1614362&lt;/_doi&gt;&lt;_impact_factor&gt;  91.253&lt;/_impact_factor&gt;&lt;_isbn&gt;1533-4406 (Electronic); 0028-4793 (Print); 0028-4793 (Linking)&lt;/_isbn&gt;&lt;_issue&gt;1&lt;/_issue&gt;&lt;_journal&gt;N Engl J Med&lt;/_journal&gt;&lt;_language&gt;eng&lt;/_language&gt;&lt;_modified&gt;64530067&lt;/_modified&gt;&lt;_pages&gt;13-27&lt;/_pages&gt;&lt;_subject_headings&gt;Adult; Body Mass Index; Cardiovascular Diseases/complications/mortality; Child; Female; Global Health; Humans; Male; Obesity/complications/*epidemiology; Overweight/complications/epidemiology; Pediatric Obesity/epidemiology; Prevalence&lt;/_subject_headings&gt;&lt;_tertiary_title&gt;The New England journal of medicine&lt;/_tertiary_title&gt;&lt;_type_work&gt;Journal Article&lt;/_type_work&gt;&lt;_url&gt;http://www.ncbi.nlm.nih.gov/entrez/query.fcgi?cmd=Retrieve&amp;amp;db=pubmed&amp;amp;dopt=Abstract&amp;amp;list_uids=28604169&amp;amp;query_hl=1&lt;/_url&gt;&lt;_volume&gt;377&lt;/_volume&gt;&lt;/Details&gt;&lt;Extra&gt;&lt;DBUID&gt;{F96A950B-833F-4880-A151-76DA2D6A2879}&lt;/DBUID&gt;&lt;/Extra&gt;&lt;/Item&gt;&lt;/References&gt;&lt;/Group&gt;&lt;/Citation&gt;_x000a_"/>
    <w:docVar w:name="NE.Ref{06FE7D22-B7EF-4EA0-871B-F3F977BC16F7}" w:val=" ADDIN NE.Ref.{06FE7D22-B7EF-4EA0-871B-F3F977BC16F7}&lt;Citation&gt;&lt;Group&gt;&lt;References&gt;&lt;Item&gt;&lt;ID&gt;15&lt;/ID&gt;&lt;UID&gt;{C5428FCB-C584-45CE-A283-0188E8044204}&lt;/UID&gt;&lt;Title&gt;Obesity levels in a national cohort of women 9 months after delivery&lt;/Title&gt;&lt;Template&gt;Journal Article&lt;/Template&gt;&lt;Star&gt;0&lt;/Star&gt;&lt;Tag&gt;0&lt;/Tag&gt;&lt;Author&gt;Turner, M J; Layte, R&lt;/Author&gt;&lt;Year&gt;2013&lt;/Year&gt;&lt;Details&gt;&lt;_accession_num&gt;23583210&lt;/_accession_num&gt;&lt;_author_adr&gt;UCD Centre for Human Reproduction, Coombe Women and Infants University Hospital,  Dublin, Ireland. Michael.turner@ucd.ie&lt;/_author_adr&gt;&lt;_collection_scope&gt;SCI;SCIE&lt;/_collection_scope&gt;&lt;_created&gt;64733397&lt;/_created&gt;&lt;_date&gt;2013-08-01&lt;/_date&gt;&lt;_date_display&gt;2013 Aug&lt;/_date_display&gt;&lt;_doi&gt;10.1016/j.ajog.2013.04.020&lt;/_doi&gt;&lt;_impact_factor&gt;   8.661&lt;/_impact_factor&gt;&lt;_isbn&gt;1097-6868 (Electronic); 0002-9378 (Linking)&lt;/_isbn&gt;&lt;_issue&gt;2&lt;/_issue&gt;&lt;_journal&gt;Am J Obstet Gynecol&lt;/_journal&gt;&lt;_keywords&gt;maternal obesity; parity; postpartum weight&lt;/_keywords&gt;&lt;_language&gt;eng&lt;/_language&gt;&lt;_modified&gt;64734679&lt;/_modified&gt;&lt;_ori_publication&gt;Copyright © 2013 Mosby, Inc. All rights reserved.&lt;/_ori_publication&gt;&lt;_pages&gt;124.e1-7&lt;/_pages&gt;&lt;_subject_headings&gt;Adult; Body Mass Index; Cohort Studies; Female; Humans; Ireland; Logistic Models; Obesity/*etiology; Parity; Postpartum Period; Pregnancy; Pregnancy Complications/*etiology; Socioeconomic Factors; Weight Gain&lt;/_subject_headings&gt;&lt;_tertiary_title&gt;American journal of obstetrics and gynecology&lt;/_tertiary_title&gt;&lt;_type_work&gt;Journal Article; Research Support, Non-U.S. Gov&amp;apos;t&lt;/_type_work&gt;&lt;_url&gt;http://www.ncbi.nlm.nih.gov/entrez/query.fcgi?cmd=Retrieve&amp;amp;db=pubmed&amp;amp;dopt=Abstract&amp;amp;list_uids=23583210&amp;amp;query_hl=1&lt;/_url&gt;&lt;_volume&gt;209&lt;/_volume&gt;&lt;/Details&gt;&lt;Extra&gt;&lt;DBUID&gt;{C818A046-6D8C-4B07-8765-4E05C48B46EA}&lt;/DBUID&gt;&lt;/Extra&gt;&lt;/Item&gt;&lt;/References&gt;&lt;/Group&gt;&lt;/Citation&gt;_x000a_"/>
    <w:docVar w:name="NE.Ref{0722228C-A98A-470F-9EAA-AA48301BC0DC}" w:val=" ADDIN NE.Ref.{0722228C-A98A-470F-9EAA-AA48301BC0DC}&lt;Citation&gt;&lt;Group&gt;&lt;References&gt;&lt;Item&gt;&lt;ID&gt;546&lt;/ID&gt;&lt;UID&gt;{33DBA32B-A1D3-4D57-A4CB-E45415084370}&lt;/UID&gt;&lt;Title&gt;Associations between gestational weight gain and BMI, abdominal adiposity, and  traditional measures of cardiometabolic risk in mothers 8 y postpartum&lt;/Title&gt;&lt;Template&gt;Journal Article&lt;/Template&gt;&lt;Star&gt;0&lt;/Star&gt;&lt;Tag&gt;0&lt;/Tag&gt;&lt;Author&gt;McClure, C K; Catov, J M; Ness, R; Bodnar, L M&lt;/Author&gt;&lt;Year&gt;2013&lt;/Year&gt;&lt;Details&gt;&lt;_accessed&gt;64664557&lt;/_accessed&gt;&lt;_accession_num&gt;24047920&lt;/_accession_num&gt;&lt;_author_adr&gt;Department of Epidemiology, Graduate School of Public Health, University of  Pittsburgh, Pittsburgh, PA (CKM, JMC, and LMB); the Departments of Obstetrics,  Gynecology, and Reproductive Sciences, University of Pittsburgh, Pittsburgh, PA  (JMC and LMB); and the School of Public Health, University of Texas, Houston, TX  (RN).&lt;/_author_adr&gt;&lt;_collection_scope&gt;SCI;SCIE&lt;/_collection_scope&gt;&lt;_created&gt;64525782&lt;/_created&gt;&lt;_date&gt;2013-11-01&lt;/_date&gt;&lt;_date_display&gt;2013 Nov&lt;/_date_display&gt;&lt;_doi&gt;10.3945/ajcn.112.055772&lt;/_doi&gt;&lt;_impact_factor&gt;   7.047&lt;/_impact_factor&gt;&lt;_isbn&gt;1938-3207 (Electronic); 0002-9165 (Print); 0002-9165 (Linking)&lt;/_isbn&gt;&lt;_issue&gt;5&lt;/_issue&gt;&lt;_journal&gt;Am J Clin Nutr&lt;/_journal&gt;&lt;_language&gt;eng&lt;/_language&gt;&lt;_modified&gt;64664557&lt;/_modified&gt;&lt;_pages&gt;1218-25&lt;/_pages&gt;&lt;_subject_headings&gt;*Adiposity; Adult; *Body Mass Index; Cardiovascular Diseases/*epidemiology/etiology/physiopathology; Female; Humans; Life Style; Middle Aged; Multivariate Analysis; Obesity, Abdominal/complications/*epidemiology/physiopathology; *Postpartum Period; Pregnancy; Prevalence; Regression Analysis; Risk Factors; Socioeconomic Factors; Waist Circumference; Weight Gain/*physiology&lt;/_subject_headings&gt;&lt;_tertiary_title&gt;The American journal of clinical nutrition&lt;/_tertiary_title&gt;&lt;_type_work&gt;Journal Article; Research Support, N.I.H., Extramural&lt;/_type_work&gt;&lt;_url&gt;http://www.ncbi.nlm.nih.gov/entrez/query.fcgi?cmd=Retrieve&amp;amp;db=pubmed&amp;amp;dopt=Abstract&amp;amp;list_uids=24047920&amp;amp;query_hl=1&lt;/_url&gt;&lt;_volume&gt;98&lt;/_volume&gt;&lt;/Details&gt;&lt;Extra&gt;&lt;DBUID&gt;{F96A950B-833F-4880-A151-76DA2D6A2879}&lt;/DBUID&gt;&lt;/Extra&gt;&lt;/Item&gt;&lt;/References&gt;&lt;/Group&gt;&lt;/Citation&gt;_x000a_"/>
    <w:docVar w:name="NE.Ref{0AAAF3D3-36E5-4862-9840-58E12B499D65}" w:val=" ADDIN NE.Ref.{0AAAF3D3-36E5-4862-9840-58E12B499D65}&lt;Citation&gt;&lt;Group&gt;&lt;References&gt;&lt;Item&gt;&lt;ID&gt;530&lt;/ID&gt;&lt;UID&gt;{27CCE24E-D47A-4866-91AC-3D983B0B7FB5}&lt;/UID&gt;&lt;Title&gt;The role of postpartum weight retention in obesity among women: a review of the  evidence&lt;/Title&gt;&lt;Template&gt;Journal Article&lt;/Template&gt;&lt;Star&gt;1&lt;/Star&gt;&lt;Tag&gt;0&lt;/Tag&gt;&lt;Author&gt;Gore, S A; Brown, D M; West, D S&lt;/Author&gt;&lt;Year&gt;2003&lt;/Year&gt;&lt;Details&gt;&lt;_accessed&gt;64664558&lt;/_accessed&gt;&lt;_accession_num&gt;14534032&lt;/_accession_num&gt;&lt;_author_adr&gt;University of Alabama at Birmingham, USA.&lt;/_author_adr&gt;&lt;_collection_scope&gt;SSCI&lt;/_collection_scope&gt;&lt;_created&gt;64525134&lt;/_created&gt;&lt;_date&gt;2003-10-01&lt;/_date&gt;&lt;_date_display&gt;2003 Oct&lt;/_date_display&gt;&lt;_doi&gt;10.1207/S15324796ABM2602_07&lt;/_doi&gt;&lt;_impact_factor&gt;   4.908&lt;/_impact_factor&gt;&lt;_isbn&gt;0883-6612 (Print); 0883-6612 (Linking)&lt;/_isbn&gt;&lt;_issue&gt;2&lt;/_issue&gt;&lt;_journal&gt;Ann Behav Med&lt;/_journal&gt;&lt;_language&gt;eng&lt;/_language&gt;&lt;_modified&gt;64664558&lt;/_modified&gt;&lt;_pages&gt;149-59&lt;/_pages&gt;&lt;_subject_headings&gt;Adult; Behavior Therapy; Female; Humans; Minority Groups; Obesity/*etiology/prevention &amp;amp; control; Postpartum Period; *Pregnancy; Risk Factors; Smoking; *Weight Gain; Weight Loss&lt;/_subject_headings&gt;&lt;_tertiary_title&gt;Annals of behavioral medicine : a publication of the Society of Behavioral _x000d__x000a_      Medicine&lt;/_tertiary_title&gt;&lt;_type_work&gt;Journal Article; Review&lt;/_type_work&gt;&lt;_url&gt;http://www.ncbi.nlm.nih.gov/entrez/query.fcgi?cmd=Retrieve&amp;amp;db=pubmed&amp;amp;dopt=Abstract&amp;amp;list_uids=14534032&amp;amp;query_hl=1&lt;/_url&gt;&lt;_volume&gt;26&lt;/_volume&gt;&lt;/Details&gt;&lt;Extra&gt;&lt;DBUID&gt;{F96A950B-833F-4880-A151-76DA2D6A2879}&lt;/DBUID&gt;&lt;/Extra&gt;&lt;/Item&gt;&lt;/References&gt;&lt;/Group&gt;&lt;Group&gt;&lt;References&gt;&lt;Item&gt;&lt;ID&gt;535&lt;/ID&gt;&lt;UID&gt;{6E61AC54-26DE-465B-BCAF-85F9CB4C9F4D}&lt;/UID&gt;&lt;Title&gt;Postpartum Weight Retention Risk Factors in a Taiwanese Cohort Study&lt;/Title&gt;&lt;Template&gt;Journal Article&lt;/Template&gt;&lt;Star&gt;0&lt;/Star&gt;&lt;Tag&gt;0&lt;/Tag&gt;&lt;Author&gt;Shao, H H; Hwang, L C; Huang, J P; Hsu, H Y&lt;/Author&gt;&lt;Year&gt;2018&lt;/Year&gt;&lt;Details&gt;&lt;_accession_num&gt;29402791&lt;/_accession_num&gt;&lt;_author_adr&gt;MacKay Memorial Hospital, Taipei City, Taiwan.&lt;/_author_adr&gt;&lt;_created&gt;64525252&lt;/_created&gt;&lt;_date&gt;2018-01-20&lt;/_date&gt;&lt;_date_display&gt;2018&lt;/_date_display&gt;&lt;_doi&gt;10.1159/000484934&lt;/_doi&gt;&lt;_impact_factor&gt;   3.942&lt;/_impact_factor&gt;&lt;_isbn&gt;1662-4033 (Electronic); 1662-4025 (Print); 1662-4025 (Linking)&lt;/_isbn&gt;&lt;_issue&gt;1&lt;/_issue&gt;&lt;_journal&gt;Obes Facts&lt;/_journal&gt;&lt;_keywords&gt;Gestational weight gain; Obesity; Postpartum weight retention&lt;/_keywords&gt;&lt;_language&gt;eng&lt;/_language&gt;&lt;_modified&gt;64530391&lt;/_modified&gt;&lt;_ori_publication&gt;© 2018 The Author(s) Published by S. Karger GmbH, Freiburg.&lt;/_ori_publication&gt;&lt;_pages&gt;37-45&lt;/_pages&gt;&lt;_subject_headings&gt;Adult; Asians/statistics &amp;amp; numerical data; Body Mass Index; Breast Feeding/statistics &amp;amp; numerical data; Cesarean Section/statistics &amp;amp; numerical data; Cohort Studies; Female; Gestational Weight Gain/*physiology; Humans; Middle Aged; Obesity/epidemiology/etiology; Overweight/epidemiology/etiology; *Postpartum Period; Pregnancy; Pregnancy Complications/epidemiology; Risk Factors; Taiwan/epidemiology; Thinness/epidemiology/etiology; Weight Gain/*physiology; Young Adult&lt;/_subject_headings&gt;&lt;_tertiary_title&gt;Obesity facts&lt;/_tertiary_title&gt;&lt;_type_work&gt;Journal Article; Research Support, Non-U.S. Gov&amp;apos;t&lt;/_type_work&gt;&lt;_url&gt;http://www.ncbi.nlm.nih.gov/entrez/query.fcgi?cmd=Retrieve&amp;amp;db=pubmed&amp;amp;dopt=Abstract&amp;amp;list_uids=29402791&amp;amp;query_hl=1&lt;/_url&gt;&lt;_volume&gt;11&lt;/_volume&gt;&lt;/Details&gt;&lt;Extra&gt;&lt;DBUID&gt;{F96A950B-833F-4880-A151-76DA2D6A2879}&lt;/DBUID&gt;&lt;/Extra&gt;&lt;/Item&gt;&lt;/References&gt;&lt;/Group&gt;&lt;Group&gt;&lt;References&gt;&lt;Item&gt;&lt;ID&gt;541&lt;/ID&gt;&lt;UID&gt;{6A054FBF-659D-4DE2-BADA-DC582444B95D}&lt;/UID&gt;&lt;Title&gt;The Role of Parity in Gestational Weight Gain and Postpartum Weight Retention&lt;/Title&gt;&lt;Template&gt;Journal Article&lt;/Template&gt;&lt;Star&gt;1&lt;/Star&gt;&lt;Tag&gt;0&lt;/Tag&gt;&lt;Author&gt;Hill, B; McPhie, S; Skouteris, H&lt;/Author&gt;&lt;Year&gt;2016&lt;/Year&gt;&lt;Details&gt;&lt;_accession_num&gt;26542383&lt;/_accession_num&gt;&lt;_author_adr&gt;School of Psychology, Deakin University, Burwood, Victoria, Australia. Electronic  address: briony.hill@deakin.edu.au.; School of Psychology, Deakin University, Burwood, Victoria, Australia.; School of Psychology, Deakin University, Burwood, Victoria, Australia.&lt;/_author_adr&gt;&lt;_collection_scope&gt;SSCI&lt;/_collection_scope&gt;&lt;_created&gt;64525287&lt;/_created&gt;&lt;_date&gt;2016-01-01&lt;/_date&gt;&lt;_date_display&gt;2016 Jan-Feb&lt;/_date_display&gt;&lt;_doi&gt;10.1016/j.whi.2015.09.012&lt;/_doi&gt;&lt;_impact_factor&gt;   3.027&lt;/_impact_factor&gt;&lt;_isbn&gt;1878-4321 (Electronic); 1049-3867 (Linking)&lt;/_isbn&gt;&lt;_issue&gt;1&lt;/_issue&gt;&lt;_journal&gt;Womens Health Issues&lt;/_journal&gt;&lt;_language&gt;eng&lt;/_language&gt;&lt;_modified&gt;64525803&lt;/_modified&gt;&lt;_ori_publication&gt;Copyright © 2016 Jacobs Institute of Women&amp;apos;s Health. Published by Elsevier Inc. _x000d__x000a_      All rights reserved.&lt;/_ori_publication&gt;&lt;_pages&gt;123-9&lt;/_pages&gt;&lt;_subject_headings&gt;Adult; Australia/epidemiology; *Body Mass Index; Body Weight/physiology; Female; Humans; Multivariate Analysis; Overweight/*epidemiology; Parity/*physiology; Postpartum Period; Pregnancy; Pregnancy Outcome; Prospective Studies; Risk Factors; *Weight Gain; Young Adult&lt;/_subject_headings&gt;&lt;_tertiary_title&gt;Women&amp;apos;s health issues : official publication of the Jacobs Institute of Women&amp;apos;s _x000d__x000a_      Health&lt;/_tertiary_title&gt;&lt;_type_work&gt;Journal Article&lt;/_type_work&gt;&lt;_url&gt;http://www.ncbi.nlm.nih.gov/entrez/query.fcgi?cmd=Retrieve&amp;amp;db=pubmed&amp;amp;dopt=Abstract&amp;amp;list_uids=26542383&amp;amp;query_hl=1&lt;/_url&gt;&lt;_volume&gt;26&lt;/_volume&gt;&lt;/Details&gt;&lt;Extra&gt;&lt;DBUID&gt;{F96A950B-833F-4880-A151-76DA2D6A2879}&lt;/DBUID&gt;&lt;/Extra&gt;&lt;/Item&gt;&lt;/References&gt;&lt;/Group&gt;&lt;Group&gt;&lt;References&gt;&lt;Item&gt;&lt;ID&gt;551&lt;/ID&gt;&lt;UID&gt;{3EBE7698-9ED4-4234-BF83-133CF508F7F9}&lt;/UID&gt;&lt;Title&gt;Obesity levels in a national cohort of women 9 months after delivery&lt;/Title&gt;&lt;Template&gt;Journal Article&lt;/Template&gt;&lt;Star&gt;1&lt;/Star&gt;&lt;Tag&gt;0&lt;/Tag&gt;&lt;Author&gt;Turner, M J; Layte, R&lt;/Author&gt;&lt;Year&gt;2013&lt;/Year&gt;&lt;Details&gt;&lt;_accessed&gt;64529076&lt;/_accessed&gt;&lt;_accession_num&gt;23583210&lt;/_accession_num&gt;&lt;_author_adr&gt;UCD Centre for Human Reproduction, Coombe Women and Infants University Hospital,  Dublin, Ireland. Michael.turner@ucd.ie&lt;/_author_adr&gt;&lt;_collection_scope&gt;SCI;SCIE&lt;/_collection_scope&gt;&lt;_created&gt;64525826&lt;/_created&gt;&lt;_date&gt;2013-08-01&lt;/_date&gt;&lt;_date_display&gt;2013 Aug&lt;/_date_display&gt;&lt;_doi&gt;10.1016/j.ajog.2013.04.020&lt;/_doi&gt;&lt;_impact_factor&gt;   8.661&lt;/_impact_factor&gt;&lt;_isbn&gt;1097-6868 (Electronic); 0002-9378 (Linking)&lt;/_isbn&gt;&lt;_issue&gt;2&lt;/_issue&gt;&lt;_journal&gt;Am J Obstet Gynecol&lt;/_journal&gt;&lt;_keywords&gt;maternal obesity; parity; postpartum weight&lt;/_keywords&gt;&lt;_language&gt;eng&lt;/_language&gt;&lt;_modified&gt;64530227&lt;/_modified&gt;&lt;_ori_publication&gt;Copyright © 2013 Mosby, Inc. All rights reserved.&lt;/_ori_publication&gt;&lt;_pages&gt;124.e1-7&lt;/_pages&gt;&lt;_subject_headings&gt;Adult; Body Mass Index; Cohort Studies; Female; Humans; Ireland; Logistic Models; Obesity/*etiology; Parity; Postpartum Period; Pregnancy; Pregnancy Complications/*etiology; Socioeconomic Factors; Weight Gain&lt;/_subject_headings&gt;&lt;_tertiary_title&gt;American journal of obstetrics and gynecology&lt;/_tertiary_title&gt;&lt;_type_work&gt;Journal Article; Research Support, Non-U.S. Gov&amp;apos;t&lt;/_type_work&gt;&lt;_url&gt;http://www.ncbi.nlm.nih.gov/entrez/query.fcgi?cmd=Retrieve&amp;amp;db=pubmed&amp;amp;dopt=Abstract&amp;amp;list_uids=23583210&amp;amp;query_hl=1&lt;/_url&gt;&lt;_volume&gt;209&lt;/_volume&gt;&lt;/Details&gt;&lt;Extra&gt;&lt;DBUID&gt;{F96A950B-833F-4880-A151-76DA2D6A2879}&lt;/DBUID&gt;&lt;/Extra&gt;&lt;/Item&gt;&lt;/References&gt;&lt;/Group&gt;&lt;/Citation&gt;_x000a_"/>
    <w:docVar w:name="NE.Ref{0B43C086-B7E3-4E4C-B495-0D980EEC54B1}" w:val=" ADDIN NE.Ref.{0B43C086-B7E3-4E4C-B495-0D980EEC54B1}&lt;Citation&gt;&lt;Group&gt;&lt;References&gt;&lt;Item&gt;&lt;ID&gt;564&lt;/ID&gt;&lt;UID&gt;{0E55DC3A-2CE4-4EAA-A1E0-085990F68E34}&lt;/UID&gt;&lt;Title&gt;Carotid intima-media thickness and plaque in cardiovascular risk assessment&lt;/Title&gt;&lt;Template&gt;Journal Article&lt;/Template&gt;&lt;Star&gt;1&lt;/Star&gt;&lt;Tag&gt;0&lt;/Tag&gt;&lt;Author&gt;Naqvi, T Z; Lee, M S&lt;/Author&gt;&lt;Year&gt;2014&lt;/Year&gt;&lt;Details&gt;&lt;_accession_num&gt;25051948&lt;/_accession_num&gt;&lt;_author_adr&gt;Echocardiography Laboratory, Mayo Clinic, Scottsdale, Arizona; Cardiac  Noninvasive Laboratories, Keck School of Medicine, University of Southern  California, Los Angeles, California. Electronic address: naqvi.tasneem@mayo.edu.; Cardiac Noninvasive Laboratories, Keck School of Medicine, University of Southern  California, Los Angeles, California.&lt;/_author_adr&gt;&lt;_created&gt;64551889&lt;/_created&gt;&lt;_date&gt;2014-10-01&lt;/_date&gt;&lt;_date_display&gt;2014 Oct&lt;/_date_display&gt;&lt;_doi&gt;10.1016/j.jcmg.2013.11.014&lt;/_doi&gt;&lt;_isbn&gt;1876-7591 (Electronic); 1876-7591 (Linking)&lt;/_isbn&gt;&lt;_issue&gt;10&lt;/_issue&gt;&lt;_journal&gt;JACC Cardiovasc Imaging&lt;/_journal&gt;&lt;_keywords&gt;cardiovascular risk; carotid artery; intima-media thickness; plaque; ultrasound&lt;/_keywords&gt;&lt;_language&gt;eng&lt;/_language&gt;&lt;_modified&gt;64552181&lt;/_modified&gt;&lt;_ori_publication&gt;Copyright © 2014 American College of Cardiology Foundation. Published by Elsevier _x000d__x000a_      Inc. All rights reserved.&lt;/_ori_publication&gt;&lt;_pages&gt;1025-38&lt;/_pages&gt;&lt;_subject_headings&gt;Cardiovascular Diseases/*epidemiology/*pathology; Carotid Artery, Common/diagnostic imaging/pathology; Carotid Artery, Internal/diagnostic imaging/pathology; *Carotid Intima-Media Thickness; Carotid Stenosis/pathology; Humans; Imaging, Three-Dimensional; Prognosis; Risk Assessment&lt;/_subject_headings&gt;&lt;_tertiary_title&gt;JACC. Cardiovascular imaging&lt;/_tertiary_title&gt;&lt;_type_work&gt;Journal Article; Research Support, Non-U.S. Gov&amp;apos;t; Review&lt;/_type_work&gt;&lt;_url&gt;http://www.ncbi.nlm.nih.gov/entrez/query.fcgi?cmd=Retrieve&amp;amp;db=pubmed&amp;amp;dopt=Abstract&amp;amp;list_uids=25051948&amp;amp;query_hl=1&lt;/_url&gt;&lt;_volume&gt;7&lt;/_volume&gt;&lt;/Details&gt;&lt;Extra&gt;&lt;DBUID&gt;{F96A950B-833F-4880-A151-76DA2D6A2879}&lt;/DBUID&gt;&lt;/Extra&gt;&lt;/Item&gt;&lt;/References&gt;&lt;/Group&gt;&lt;Group&gt;&lt;References&gt;&lt;Item&gt;&lt;ID&gt;565&lt;/ID&gt;&lt;UID&gt;{7B2FABAB-71B0-4E18-A212-7FA4E2F633E3}&lt;/UID&gt;&lt;Title&gt;Carotid Intima-Media Thickness as Surrogate for and Predictor of CVD&lt;/Title&gt;&lt;Template&gt;Journal Article&lt;/Template&gt;&lt;Star&gt;1&lt;/Star&gt;&lt;Tag&gt;0&lt;/Tag&gt;&lt;Author&gt;Polak, J F; O&amp;apos;Leary, D H&lt;/Author&gt;&lt;Year&gt;2016&lt;/Year&gt;&lt;Details&gt;&lt;_accession_num&gt;27741977&lt;/_accession_num&gt;&lt;_author_adr&gt;Department of Radiology, Tufts Medical Center, Boston, MA, USA; Ultrasound  Reading Center, Boston, MA, USA. Electronic address:  jpolak@tuftsmedicalcenter.org.; Ultrasound Reading Center, Boston, MA, USA.&lt;/_author_adr&gt;&lt;_created&gt;64551889&lt;/_created&gt;&lt;_date&gt;2016-09-01&lt;/_date&gt;&lt;_date_display&gt;2016 Sep&lt;/_date_display&gt;&lt;_doi&gt;10.1016/j.gheart.2016.08.006&lt;/_doi&gt;&lt;_impact_factor&gt;   3.426&lt;/_impact_factor&gt;&lt;_isbn&gt;2211-8179 (Electronic); 2211-8160 (Linking)&lt;/_isbn&gt;&lt;_issue&gt;3&lt;/_issue&gt;&lt;_journal&gt;Glob Heart&lt;/_journal&gt;&lt;_language&gt;eng&lt;/_language&gt;&lt;_modified&gt;64552181&lt;/_modified&gt;&lt;_ori_publication&gt;Copyright © 2016. Published by Elsevier B.V.&lt;/_ori_publication&gt;&lt;_pages&gt;295-312.e3&lt;/_pages&gt;&lt;_subject_headings&gt;Atherosclerosis/*diagnostic imaging/pathology; Carotid Artery Diseases/diagnostic imaging/pathology; Carotid Artery, Common/diagnostic imaging; Carotid Artery, Internal/diagnostic imaging; Carotid Intima-Media Thickness/instrumentation/*standards; Clinical Protocols; Coronary Disease/diagnostic imaging/prevention &amp;amp; control; Humans; Plaque, Atherosclerotic/*diagnostic imaging/pathology&lt;/_subject_headings&gt;&lt;_tertiary_title&gt;Global heart&lt;/_tertiary_title&gt;&lt;_type_work&gt;Journal Article; Research Support, N.I.H., Extramural; Research Support, Non-U.S. Gov&amp;apos;t; Review&lt;/_type_work&gt;&lt;_url&gt;http://www.ncbi.nlm.nih.gov/entrez/query.fcgi?cmd=Retrieve&amp;amp;db=pubmed&amp;amp;dopt=Abstract&amp;amp;list_uids=27741977&amp;amp;query_hl=1&lt;/_url&gt;&lt;_volume&gt;11&lt;/_volume&gt;&lt;/Details&gt;&lt;Extra&gt;&lt;DBUID&gt;{F96A950B-833F-4880-A151-76DA2D6A2879}&lt;/DBUID&gt;&lt;/Extra&gt;&lt;/Item&gt;&lt;/References&gt;&lt;/Group&gt;&lt;/Citation&gt;_x000a_"/>
    <w:docVar w:name="NE.Ref{0CE10644-721E-4B50-A26C-B10B7A38DBBD}" w:val=" ADDIN NE.Ref.{0CE10644-721E-4B50-A26C-B10B7A38DBBD}&lt;Citation&gt;&lt;Group&gt;&lt;References&gt;&lt;Item&gt;&lt;ID&gt;14&lt;/ID&gt;&lt;UID&gt;{BBA49D07-9D1B-406C-A5E3-F60C3384A104}&lt;/UID&gt;&lt;Title&gt;Abdominal adiposity and cardiometabolic risk: do we have all the answers?&lt;/Title&gt;&lt;Template&gt;Journal Article&lt;/Template&gt;&lt;Star&gt;0&lt;/Star&gt;&lt;Tag&gt;0&lt;/Tag&gt;&lt;Author&gt;Haffner, S M&lt;/Author&gt;&lt;Year&gt;2007&lt;/Year&gt;&lt;Details&gt;&lt;_accession_num&gt;17720354&lt;/_accession_num&gt;&lt;_author_adr&gt;Department of Medicine and Clinical Epidemiology, University of Texas Health  Science Center, San Antonio, Texas 78240, USA. haffner@uthscsa.edu&lt;/_author_adr&gt;&lt;_collection_scope&gt;SCI;SCIE&lt;/_collection_scope&gt;&lt;_created&gt;64733397&lt;/_created&gt;&lt;_date&gt;2007-09-01&lt;/_date&gt;&lt;_date_display&gt;2007 Sep&lt;/_date_display&gt;&lt;_doi&gt;10.1016/j.amjmed.2007.06.006&lt;/_doi&gt;&lt;_impact_factor&gt;   4.965&lt;/_impact_factor&gt;&lt;_isbn&gt;1555-7162 (Electronic); 0002-9343 (Linking)&lt;/_isbn&gt;&lt;_issue&gt;9 Suppl 1&lt;/_issue&gt;&lt;_journal&gt;Am J Med&lt;/_journal&gt;&lt;_language&gt;eng&lt;/_language&gt;&lt;_modified&gt;64734679&lt;/_modified&gt;&lt;_pages&gt;S10-6; discussion S16-7&lt;/_pages&gt;&lt;_subject_headings&gt;*Abdominal Fat/metabolism; Cardiovascular Diseases/*diagnosis/etiology/metabolism/prevention &amp;amp; control; Diabetes Mellitus, Type 2/etiology/metabolism; Female; Humans; Male; Metabolic Syndrome/complications/*diagnosis/metabolism/prevention &amp;amp; control; Obesity/complications/metabolism/therapy; Outcome and Process Assessment, Health Care; Predictive Value of Tests; Reference Values; Risk Assessment/methods; Risk Factors; Sex Factors; Treatment Outcome&lt;/_subject_headings&gt;&lt;_tertiary_title&gt;The American journal of medicine&lt;/_tertiary_title&gt;&lt;_type_work&gt;Journal Article; Review&lt;/_type_work&gt;&lt;_url&gt;http://www.ncbi.nlm.nih.gov/entrez/query.fcgi?cmd=Retrieve&amp;amp;db=pubmed&amp;amp;dopt=Abstract&amp;amp;list_uids=17720354&amp;amp;query_hl=1&lt;/_url&gt;&lt;_volume&gt;120&lt;/_volume&gt;&lt;/Details&gt;&lt;Extra&gt;&lt;DBUID&gt;{C818A046-6D8C-4B07-8765-4E05C48B46EA}&lt;/DBUID&gt;&lt;/Extra&gt;&lt;/Item&gt;&lt;/References&gt;&lt;/Group&gt;&lt;/Citation&gt;_x000a_"/>
    <w:docVar w:name="NE.Ref{0F04C4EB-759A-4F4E-B0BA-B1FD52E51DE0}" w:val=" ADDIN NE.Ref.{0F04C4EB-759A-4F4E-B0BA-B1FD52E51DE0}&lt;Citation&gt;&lt;Group&gt;&lt;References&gt;&lt;Item&gt;&lt;ID&gt;582&lt;/ID&gt;&lt;UID&gt;{4A5645F1-9C5D-4B15-BA1C-10613F102557}&lt;/UID&gt;&lt;Title&gt;Impact of perinatal weight change on long-term obesity and obesity-related  illnesses&lt;/Title&gt;&lt;Template&gt;Journal Article&lt;/Template&gt;&lt;Star&gt;1&lt;/Star&gt;&lt;Tag&gt;5&lt;/Tag&gt;&lt;Author&gt;Rooney, B L; Schauberger, C W; Mathiason, M A&lt;/Author&gt;&lt;Year&gt;2005&lt;/Year&gt;&lt;Details&gt;&lt;_accession_num&gt;16319262&lt;/_accession_num&gt;&lt;_author_adr&gt;Gundersen Lutheran Medical Center, La Crosse, Wisconsin 54601, USA.  blrooney@gundluth.org&lt;/_author_adr&gt;&lt;_collection_scope&gt;SCI;SCIE&lt;/_collection_scope&gt;&lt;_created&gt;64586494&lt;/_created&gt;&lt;_date&gt;2005-12-01&lt;/_date&gt;&lt;_date_display&gt;2005 Dec&lt;/_date_display&gt;&lt;_doi&gt;10.1097/01.AOG.0000185480.09068.4a&lt;/_doi&gt;&lt;_impact_factor&gt;   7.661&lt;/_impact_factor&gt;&lt;_isbn&gt;0029-7844 (Print); 0029-7844 (Linking)&lt;/_isbn&gt;&lt;_issue&gt;6&lt;/_issue&gt;&lt;_journal&gt;Obstet Gynecol&lt;/_journal&gt;&lt;_language&gt;eng&lt;/_language&gt;&lt;_modified&gt;64599338&lt;/_modified&gt;&lt;_pages&gt;1349-56&lt;/_pages&gt;&lt;_subject_headings&gt;Adult; Age Distribution; Aged; Body Mass Index; Cohort Studies; Confidence Intervals; Diabetes Mellitus, Type 2/diagnosis/*epidemiology; Female; Follow-Up Studies; Humans; Hypertension/diagnosis/*epidemiology; Incidence; Linear Models; Middle Aged; Multivariate Analysis; Obesity/*diagnosis/*epidemiology; Parity; Perinatal Care; Postpartum Period; Pregnancy/*physiology; Probability; Retrospective Studies; Risk Assessment; Time Factors&lt;/_subject_headings&gt;&lt;_tertiary_title&gt;Obstetrics and gynecology&lt;/_tertiary_title&gt;&lt;_type_work&gt;Journal Article; Research Support, Non-U.S. Gov&amp;apos;t&lt;/_type_work&gt;&lt;_url&gt;http://www.ncbi.nlm.nih.gov/entrez/query.fcgi?cmd=Retrieve&amp;amp;db=pubmed&amp;amp;dopt=Abstract&amp;amp;list_uids=16319262&amp;amp;query_hl=1&lt;/_url&gt;&lt;_volume&gt;106&lt;/_volume&gt;&lt;/Details&gt;&lt;Extra&gt;&lt;DBUID&gt;{F96A950B-833F-4880-A151-76DA2D6A2879}&lt;/DBUID&gt;&lt;/Extra&gt;&lt;/Item&gt;&lt;/References&gt;&lt;/Group&gt;&lt;/Citation&gt;_x000a_"/>
    <w:docVar w:name="NE.Ref{0F47DF40-37D9-4BDB-9D68-21BED03A5975}" w:val=" ADDIN NE.Ref.{0F47DF40-37D9-4BDB-9D68-21BED03A5975}&lt;Citation&gt;&lt;Group&gt;&lt;References&gt;&lt;Item&gt;&lt;ID&gt;577&lt;/ID&gt;&lt;UID&gt;{3CBC6CED-E038-4FFE-AA9E-4B7D347BB531}&lt;/UID&gt;&lt;Title&gt;Postpartum weight retention is associated with elevated ratio of oxidized LDL  lipids to HDL-cholesterol&lt;/Title&gt;&lt;Template&gt;Journal Article&lt;/Template&gt;&lt;Star&gt;0&lt;/Star&gt;&lt;Tag&gt;5&lt;/Tag&gt;&lt;Author&gt;Puhkala, J; Luoto, R; Ahotupa, M; Raitanen, J; Vasankari, T&lt;/Author&gt;&lt;Year&gt;2013&lt;/Year&gt;&lt;Details&gt;&lt;_accession_num&gt;24122103&lt;/_accession_num&gt;&lt;_collection_scope&gt;SCI;SCIE&lt;/_collection_scope&gt;&lt;_created&gt;64585192&lt;/_created&gt;&lt;_date&gt;2013-12-01&lt;/_date&gt;&lt;_date_display&gt;2013 Dec&lt;/_date_display&gt;&lt;_doi&gt;10.1007/s11745-013-3852-9&lt;/_doi&gt;&lt;_impact_factor&gt;   1.880&lt;/_impact_factor&gt;&lt;_isbn&gt;1558-9307 (Electronic); 0024-4201 (Linking)&lt;/_isbn&gt;&lt;_issue&gt;12&lt;/_issue&gt;&lt;_journal&gt;Lipids&lt;/_journal&gt;&lt;_language&gt;eng&lt;/_language&gt;&lt;_modified&gt;64601568&lt;/_modified&gt;&lt;_pages&gt;1227-35&lt;/_pages&gt;&lt;_subject_headings&gt;Adult; Body Weight/*physiology; Cholesterol, HDL/*blood; Cholesterol, LDL/blood; Female; Humans; Lipoproteins, LDL/*blood; Postpartum Period/*physiology; Pregnancy; Triglycerides/blood; Weight Loss&lt;/_subject_headings&gt;&lt;_tertiary_title&gt;Lipids&lt;/_tertiary_title&gt;&lt;_type_work&gt;Journal Article; Randomized Controlled Trial; Research Support, Non-U.S. Gov&amp;apos;t&lt;/_type_work&gt;&lt;_url&gt;http://www.ncbi.nlm.nih.gov/entrez/query.fcgi?cmd=Retrieve&amp;amp;db=pubmed&amp;amp;dopt=Abstract&amp;amp;list_uids=24122103&amp;amp;query_hl=1&lt;/_url&gt;&lt;_volume&gt;48&lt;/_volume&gt;&lt;/Details&gt;&lt;Extra&gt;&lt;DBUID&gt;{F96A950B-833F-4880-A151-76DA2D6A2879}&lt;/DBUID&gt;&lt;/Extra&gt;&lt;/Item&gt;&lt;/References&gt;&lt;/Group&gt;&lt;/Citation&gt;_x000a_"/>
    <w:docVar w:name="NE.Ref{14E4164E-ECF5-4A44-B082-492018AC1562}" w:val=" ADDIN NE.Ref.{14E4164E-ECF5-4A44-B082-492018AC1562}"/>
    <w:docVar w:name="NE.Ref{198C6C11-140E-45E2-B975-C98B825A7570}" w:val=" ADDIN NE.Ref.{198C6C11-140E-45E2-B975-C98B825A7570}&lt;Citation&gt;&lt;Group&gt;&lt;References&gt;&lt;Item&gt;&lt;ID&gt;559&lt;/ID&gt;&lt;UID&gt;{901AA8C7-FF87-4C1F-887E-914B03A64465}&lt;/UID&gt;&lt;Title&gt;Preconceptional and maternal obesity: epidemiology and health consequences&lt;/Title&gt;&lt;Template&gt;Journal Article&lt;/Template&gt;&lt;Star&gt;1&lt;/Star&gt;&lt;Tag&gt;5&lt;/Tag&gt;&lt;Author&gt;Poston, L; Caleyachetty, R; Cnattingius, S; Corvalán, C; Uauy, R; Herring, S; Gillman, M W&lt;/Author&gt;&lt;Year&gt;2016&lt;/Year&gt;&lt;Details&gt;&lt;_accession_num&gt;27743975&lt;/_accession_num&gt;&lt;_author_adr&gt;Division of Women&amp;apos;s Health, Faculty of Life Sciences and Medicine, King&amp;apos;s College  London, London, UK. Electronic address: lucilla.poston@kcl.ac.uk.; Institute of Applied Health Research, University of Birmingham, Birmingham, UK.; Department of Medicine Solna, Karolinska Universitetssjukhuset, Stockholm,  Sweden.; Institute of Nutrition and Food Technology, University of Chile, Santiago, Chile.; Division of Pediatrics, Faculty of Medicine, Pontifical Catholic University of  Chile, Santiago, Chile; Center for Obesity Research and Education, Departments of  Medicine and Public Health, Temple University, Philadelphia, PA, USA.; Center for Obesity Research and Education, Departments of Medicine and Public  Health, Temple University, Philadelphia, PA, USA.; Office of the Director, Environmental Influences on Child Health Outcomes (ECHO),  National Institutes of Health, Rockville, MD, USA.&lt;/_author_adr&gt;&lt;_created&gt;64530196&lt;/_created&gt;&lt;_date&gt;2016-12-01&lt;/_date&gt;&lt;_date_display&gt;2016 Dec&lt;/_date_display&gt;&lt;_doi&gt;10.1016/S2213-8587(16)30217-0&lt;/_doi&gt;&lt;_impact_factor&gt;  32.069&lt;/_impact_factor&gt;&lt;_isbn&gt;2213-8595 (Electronic); 2213-8587 (Linking)&lt;/_isbn&gt;&lt;_issue&gt;12&lt;/_issue&gt;&lt;_journal&gt;Lancet Diabetes Endocrinol&lt;/_journal&gt;&lt;_language&gt;eng&lt;/_language&gt;&lt;_modified&gt;64605366&lt;/_modified&gt;&lt;_ori_publication&gt;Copyright Â© 2016 Elsevier Ltd. All rights reserved.&lt;/_ori_publication&gt;&lt;_pages&gt;1025-1036&lt;/_pages&gt;&lt;_subject_headings&gt;Abortion, Spontaneous/etiology; Delivery, Obstetric; Female; Fertility; Humans; Obesity/complications/*epidemiology; Postpartum Period; Pregnancy; Pregnancy Complications/*epidemiology/etiology; Premature Birth/etiology; Prevalence&lt;/_subject_headings&gt;&lt;_tertiary_title&gt;The lancet. Diabetes &amp;amp; endocrinology&lt;/_tertiary_title&gt;&lt;_type_work&gt;Journal Article; Research Support, Non-U.S. Gov&amp;apos;t; Review&lt;/_type_work&gt;&lt;_url&gt;http://www.ncbi.nlm.nih.gov/entrez/query.fcgi?cmd=Retrieve&amp;amp;db=pubmed&amp;amp;dopt=Abstract&amp;amp;list_uids=27743975&amp;amp;query_hl=1&lt;/_url&gt;&lt;_volume&gt;4&lt;/_volume&gt;&lt;/Details&gt;&lt;Extra&gt;&lt;DBUID&gt;{F96A950B-833F-4880-A151-76DA2D6A2879}&lt;/DBUID&gt;&lt;/Extra&gt;&lt;/Item&gt;&lt;/References&gt;&lt;/Group&gt;&lt;/Citation&gt;_x000a_"/>
    <w:docVar w:name="NE.Ref{1B86AEF7-B940-42D7-8AE3-877B7004F3EB}" w:val=" ADDIN NE.Ref.{1B86AEF7-B940-42D7-8AE3-877B7004F3EB}&lt;Citation&gt;&lt;Group&gt;&lt;References&gt;&lt;Item&gt;&lt;ID&gt;17&lt;/ID&gt;&lt;UID&gt;{DD6B72E4-DA0C-40E2-AE8C-699E2DF839D3}&lt;/UID&gt;&lt;Title&gt;Weight Trajectories After Delivery are Associated with Adiposity and  Cardiometabolic Markers at 3 Years Postpartum Among Women in Project Viva&lt;/Title&gt;&lt;Template&gt;Journal Article&lt;/Template&gt;&lt;Star&gt;0&lt;/Star&gt;&lt;Tag&gt;0&lt;/Tag&gt;&lt;Author&gt;Soria-Contreras, D C; Rifas-Shiman, S L; Aris, I M; Perng, W; Switkowski, K M; Téllez-Rojo, M M; Trejo-Valdivia, B; López-Ridaura, R; Oken, E&lt;/Author&gt;&lt;Year&gt;2020&lt;/Year&gt;&lt;Details&gt;&lt;_accession_num&gt;32321175&lt;/_accession_num&gt;&lt;_author_adr&gt;Center for Nutrition and Health Research, National Institute of Public Health,  Cuernavaca, Morelos, Mexico.; Division of Chronic Disease Research Across the Lifecourse, Department of  Population Medicine, Harvard Medical School, and Harvard Pilgrim Health Care  Institute, Boston, MA, USA.; Division of Chronic Disease Research Across the Lifecourse, Department of  Population Medicine, Harvard Medical School, and Harvard Pilgrim Health Care  Institute, Boston, MA, USA.; Department of Obstetrics and Gynecology, Yong Loo Lin School of Medicine,  National University of Singapore, Singapore.; Agency for Science, Technology and Research, Singapore Institute for Clinical  Sciences, Singapore.; Department of Epidemiology, Colorado School of Public Health, University of  Colorado Denver, Anschutz Medical Campus, Aurora, CO, USA.; Lifecourse Epidemiology of Adiposity and Diabetes (LEAD) Center, Colorado School  of Public Health, University of Colorado Denver, Anschutz Medical Campus, Aurora,  CO, USA.; Division of Chronic Disease Research Across the Lifecourse, Department of  Population Medicine, Harvard Medical School, and Harvard Pilgrim Health Care  Institute, Boston, MA, USA.; Center for Nutrition and Health Research, National Institute of Public Health,  Cuernavaca, Morelos, Mexico.; Center for Nutrition and Health Research, National Institute of Public Health,  Cuernavaca, Morelos, Mexico.; Center for Population Health Research, National Institute of Public Health,  Cuernavaca, Morelos, Mexico.; Division of Chronic Disease Research Across the Lifecourse, Department of  Population Medicine, Harvard Medical School, and Harvard Pilgrim Health Care  Institute, Boston, MA, USA.; Department of Nutrition, Harvard T.H. Chan School of Public Health, Boston, MA,  USA.&lt;/_author_adr&gt;&lt;_collection_scope&gt;SCI;SCIE&lt;/_collection_scope&gt;&lt;_created&gt;64733397&lt;/_created&gt;&lt;_date&gt;2020-07-01&lt;/_date&gt;&lt;_date_display&gt;2020 Jul 1&lt;/_date_display&gt;&lt;_doi&gt;10.1093/jn/nxaa104&lt;/_doi&gt;&lt;_impact_factor&gt;   4.798&lt;/_impact_factor&gt;&lt;_isbn&gt;1541-6100 (Electronic); 0022-3166 (Print); 0022-3166 (Linking)&lt;/_isbn&gt;&lt;_issue&gt;7&lt;/_issue&gt;&lt;_journal&gt;J Nutr&lt;/_journal&gt;&lt;_keywords&gt;Project Viva; adiposity; cardiovascular risk factors; diet; gestational weight gain; postpartum weight change; postpartum weight trajectories; pre-pregnancy BMI&lt;/_keywords&gt;&lt;_language&gt;eng&lt;/_language&gt;&lt;_modified&gt;64734679&lt;/_modified&gt;&lt;_ori_publication&gt;Copyright © The Author(s) on behalf of the American Society for Nutrition 2020.&lt;/_ori_publication&gt;&lt;_pages&gt;1889-1898&lt;/_pages&gt;&lt;_subject_headings&gt;*Adiposity; Adult; Biomarkers/blood; Cardiovascular Diseases/*blood; Diet; Female; Humans; Metabolic Diseases/*blood; *Postpartum Period; Pregnancy; Weight Gain; Weight Loss&lt;/_subject_headings&gt;&lt;_tertiary_title&gt;The Journal of nutrition&lt;/_tertiary_title&gt;&lt;_type_work&gt;Journal Article; Research Support, N.I.H., Extramural&lt;/_type_work&gt;&lt;_url&gt;http://www.ncbi.nlm.nih.gov/entrez/query.fcgi?cmd=Retrieve&amp;amp;db=pubmed&amp;amp;dopt=Abstract&amp;amp;list_uids=32321175&amp;amp;query_hl=1&lt;/_url&gt;&lt;_volume&gt;150&lt;/_volume&gt;&lt;/Details&gt;&lt;Extra&gt;&lt;DBUID&gt;{C818A046-6D8C-4B07-8765-4E05C48B46EA}&lt;/DBUID&gt;&lt;/Extra&gt;&lt;/Item&gt;&lt;/References&gt;&lt;/Group&gt;&lt;/Citation&gt;_x000a_"/>
    <w:docVar w:name="NE.Ref{1E3C43DF-9C52-457A-A7E6-CB371E29D6BE}" w:val=" ADDIN NE.Ref.{1E3C43DF-9C52-457A-A7E6-CB371E29D6BE}&lt;Citation&gt;&lt;Group&gt;&lt;References&gt;&lt;Item&gt;&lt;ID&gt;590&lt;/ID&gt;&lt;UID&gt;{FD3A7481-4007-466A-BED6-C2E71A5C6094}&lt;/UID&gt;&lt;Title&gt;Parity and Components of the Metabolic Syndrome Among US Hispanic/Latina Women:  Results From the Hispanic Community Health Study/Study of Latinos&lt;/Title&gt;&lt;Template&gt;Journal Article&lt;/Template&gt;&lt;Star&gt;0&lt;/Star&gt;&lt;Tag&gt;5&lt;/Tag&gt;&lt;Author&gt;Vladutiu, C J; Siega-Riz, A M; Sotres-Alvarez, D; Stuebe, A M; Ni, A; Tabb, K M; Gallo, L C; Potter, J E; Heiss, G&lt;/Author&gt;&lt;Year&gt;2016&lt;/Year&gt;&lt;Details&gt;&lt;_accession_num&gt;26908862&lt;/_accession_num&gt;&lt;_author_adr&gt;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catherine_vladutiu@med.unc.edu.;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lt;/_author_adr&gt;&lt;_created&gt;64592485&lt;/_created&gt;&lt;_date&gt;2016-02-01&lt;/_date&gt;&lt;_date_display&gt;2016 Feb&lt;/_date_display&gt;&lt;_doi&gt;10.1161/CIRCOUTCOMES.115.002464&lt;/_doi&gt;&lt;_impact_factor&gt;   5.882&lt;/_impact_factor&gt;&lt;_isbn&gt;1941-7705 (Electronic); 1941-7713 (Print); 1941-7713 (Linking)&lt;/_isbn&gt;&lt;_issue&gt;2 Suppl 1&lt;/_issue&gt;&lt;_journal&gt;Circ Cardiovasc Qual Outcomes&lt;/_journal&gt;&lt;_keywords&gt;Hispanic Americans; cohort studies; metabolic syndrome X; parity; pregnancy&lt;/_keywords&gt;&lt;_language&gt;eng&lt;/_language&gt;&lt;_modified&gt;64601490&lt;/_modified&gt;&lt;_ori_publication&gt;© 2016 American Heart Association, Inc.&lt;/_ori_publication&gt;&lt;_pages&gt;S62-9&lt;/_pages&gt;&lt;_subject_headings&gt;Adult; Cardiovascular Diseases/prevention &amp;amp; control; Cholesterol, HDL/blood; Cohort Studies; Female; *Hispanic or Latino; Humans; Metabolic Syndrome/epidemiology/*ethnology; Middle Aged; *Parity; Pregnancy; Prevalence; Prospective Studies&lt;/_subject_headings&gt;&lt;_tertiary_title&gt;Circulation. Cardiovascular quality and outcomes&lt;/_tertiary_title&gt;&lt;_type_work&gt;Journal Article; Research Support, N.I.H., Extramural; Research Support, U.S. Gov&amp;apos;t, P.H.S.&lt;/_type_work&gt;&lt;_url&gt;http://www.ncbi.nlm.nih.gov/entrez/query.fcgi?cmd=Retrieve&amp;amp;db=pubmed&amp;amp;dopt=Abstract&amp;amp;list_uids=26908862&amp;amp;query_hl=1&lt;/_url&gt;&lt;_volume&gt;9&lt;/_volume&gt;&lt;/Details&gt;&lt;Extra&gt;&lt;DBUID&gt;{F96A950B-833F-4880-A151-76DA2D6A2879}&lt;/DBUID&gt;&lt;/Extra&gt;&lt;/Item&gt;&lt;/References&gt;&lt;/Group&gt;&lt;Group&gt;&lt;References&gt;&lt;Item&gt;&lt;ID&gt;591&lt;/ID&gt;&lt;UID&gt;{C977948B-1E0E-4A35-B933-5DCE6E8BA75C}&lt;/UID&gt;&lt;Title&gt;Childbearing may increase visceral adipose tissue independent of overall increase  in body fat&lt;/Title&gt;&lt;Template&gt;Journal Article&lt;/Template&gt;&lt;Star&gt;0&lt;/Star&gt;&lt;Tag&gt;5&lt;/Tag&gt;&lt;Author&gt;Gunderson, E P; Sternfeld, B; Wellons, M F; Whitmer, R A; Chiang, V; Quesenberry, CP Jr; Lewis, C E; Sidney, S&lt;/Author&gt;&lt;Year&gt;2008&lt;/Year&gt;&lt;Details&gt;&lt;_accession_num&gt;18356843&lt;/_accession_num&gt;&lt;_author_adr&gt;Division of Research, Epidemiology and Prevention Section, Kaiser Permanente,  Oakland, California, USA. epg@dor.kaiser.org&lt;/_author_adr&gt;&lt;_created&gt;64592490&lt;/_created&gt;&lt;_date&gt;2008-05-01&lt;/_date&gt;&lt;_date_display&gt;2008 May&lt;/_date_display&gt;&lt;_doi&gt;10.1038/oby.2008.40&lt;/_doi&gt;&lt;_impact_factor&gt;   5.002&lt;/_impact_factor&gt;&lt;_isbn&gt;1930-7381 (Print); 1930-7381 (Linking)&lt;/_isbn&gt;&lt;_issue&gt;5&lt;/_issue&gt;&lt;_journal&gt;Obesity (Silver Spring)&lt;/_journal&gt;&lt;_language&gt;eng&lt;/_language&gt;&lt;_modified&gt;64601490&lt;/_modified&gt;&lt;_pages&gt;1078-84&lt;/_pages&gt;&lt;_subject_headings&gt;Absorptiometry, Photon; Adipose Tissue/diagnostic imaging/*physiology; Adolescent; Adult; Body Composition/physiology; *Body Fat Distribution; Cohort Studies; Female; Humans; Intra-Abdominal Fat/diagnostic imaging/*physiology; Linear Models; Longitudinal Studies; Pregnancy/*physiology; Prospective Studies; Subcutaneous Fat, Abdominal/diagnostic imaging/physiology; Tomography, X-Ray Computed&lt;/_subject_headings&gt;&lt;_tertiary_title&gt;Obesity (Silver Spring, Md.)&lt;/_tertiary_title&gt;&lt;_type_work&gt;Journal Article; Multicenter Study; Research Support, N.I.H., Extramural&lt;/_type_work&gt;&lt;_url&gt;http://www.ncbi.nlm.nih.gov/entrez/query.fcgi?cmd=Retrieve&amp;amp;db=pubmed&amp;amp;dopt=Abstract&amp;amp;list_uids=18356843&amp;amp;query_hl=1&lt;/_url&gt;&lt;_volume&gt;16&lt;/_volume&gt;&lt;/Details&gt;&lt;Extra&gt;&lt;DBUID&gt;{F96A950B-833F-4880-A151-76DA2D6A2879}&lt;/DBUID&gt;&lt;/Extra&gt;&lt;/Item&gt;&lt;/References&gt;&lt;/Group&gt;&lt;Group&gt;&lt;References&gt;&lt;Item&gt;&lt;ID&gt;592&lt;/ID&gt;&lt;UID&gt;{9E9AA557-9FA1-4C95-9440-B31986B0DF84}&lt;/UID&gt;&lt;Title&gt;Long-term plasma lipid changes associated with a first birth: the Coronary Artery  Risk Development in Young Adults study&lt;/Title&gt;&lt;Template&gt;Journal Article&lt;/Template&gt;&lt;Star&gt;0&lt;/Star&gt;&lt;Tag&gt;5&lt;/Tag&gt;&lt;Author&gt;Gunderson, E P; Lewis, C E; Murtaugh, M A; Quesenberry, C P; Smith, West D; Sidney, S&lt;/Author&gt;&lt;Year&gt;2004&lt;/Year&gt;&lt;Details&gt;&lt;_accession_num&gt;15155287&lt;/_accession_num&gt;&lt;_author_adr&gt;Division of Research, Kaiser Permanente Medical Care Program, Northern  California, Oakland, CA 94612, USA. epg@dor.kaiser.org&lt;/_author_adr&gt;&lt;_collection_scope&gt;SCI;SCIE&lt;/_collection_scope&gt;&lt;_created&gt;64592498&lt;/_created&gt;&lt;_date&gt;2004-06-01&lt;/_date&gt;&lt;_date_display&gt;2004 Jun 1&lt;/_date_display&gt;&lt;_doi&gt;10.1093/aje/kwh146&lt;/_doi&gt;&lt;_impact_factor&gt;   4.897&lt;/_impact_factor&gt;&lt;_isbn&gt;0002-9262 (Print); 1476-6256 (Electronic); 0002-9262 (Linking)&lt;/_isbn&gt;&lt;_issue&gt;11&lt;/_issue&gt;&lt;_journal&gt;Am J Epidemiol&lt;/_journal&gt;&lt;_language&gt;eng&lt;/_language&gt;&lt;_modified&gt;64601490&lt;/_modified&gt;&lt;_pages&gt;1028-39&lt;/_pages&gt;&lt;_subject_headings&gt;Adolescent; Adult; Blacks/statistics &amp;amp; numerical data; Body Mass Index; Cardiovascular Diseases/etiology; Chi-Square Distribution; Female; Humans; Linear Models; Lipids/*blood; Longitudinal Studies; Parity; Pregnancy/*blood; Prospective Studies; Risk Factors; Time Factors; Whites/statistics &amp;amp; numerical data&lt;/_subject_headings&gt;&lt;_tertiary_title&gt;American journal of epidemiology&lt;/_tertiary_title&gt;&lt;_type_work&gt;Journal Article; Multicenter Study; Research Support, U.S. Gov&amp;apos;t, P.H.S.&lt;/_type_work&gt;&lt;_url&gt;http://www.ncbi.nlm.nih.gov/entrez/query.fcgi?cmd=Retrieve&amp;amp;db=pubmed&amp;amp;dopt=Abstract&amp;amp;list_uids=15155287&amp;amp;query_hl=1&lt;/_url&gt;&lt;_volume&gt;159&lt;/_volume&gt;&lt;/Details&gt;&lt;Extra&gt;&lt;DBUID&gt;{F96A950B-833F-4880-A151-76DA2D6A2879}&lt;/DBUID&gt;&lt;/Extra&gt;&lt;/Item&gt;&lt;/References&gt;&lt;/Group&gt;&lt;Group&gt;&lt;References&gt;&lt;Item&gt;&lt;ID&gt;599&lt;/ID&gt;&lt;UID&gt;{2112088E-022D-4A9F-8576-FD29B681E9E5}&lt;/UID&gt;&lt;Title&gt;The relationship between multiparity and lipoprotein levels in older women&lt;/Title&gt;&lt;Template&gt;Journal Article&lt;/Template&gt;&lt;Star&gt;0&lt;/Star&gt;&lt;Tag&gt;5&lt;/Tag&gt;&lt;Author&gt;Kritz-Silverstein, D; Barrett-Connor, E; Wingard, D L&lt;/Author&gt;&lt;Year&gt;1992&lt;/Year&gt;&lt;Details&gt;&lt;_accession_num&gt;1619455&lt;/_accession_num&gt;&lt;_author_adr&gt;Department of Community and Family Medicine, University of California, San Diego,  La Jolla 92093.&lt;/_author_adr&gt;&lt;_collection_scope&gt;SCI;SCIE&lt;/_collection_scope&gt;&lt;_created&gt;64599435&lt;/_created&gt;&lt;_date&gt;1992-07-01&lt;/_date&gt;&lt;_date_display&gt;1992 Jul&lt;/_date_display&gt;&lt;_doi&gt;10.1016/0895-4356(92)90053-p&lt;/_doi&gt;&lt;_impact_factor&gt;   6.437&lt;/_impact_factor&gt;&lt;_isbn&gt;0895-4356 (Print); 0895-4356 (Linking)&lt;/_isbn&gt;&lt;_issue&gt;7&lt;/_issue&gt;&lt;_journal&gt;J Clin Epidemiol&lt;/_journal&gt;&lt;_language&gt;eng&lt;/_language&gt;&lt;_modified&gt;64601490&lt;/_modified&gt;&lt;_pages&gt;761-7&lt;/_pages&gt;&lt;_subject_headings&gt;Aged; Aged, 80 and over; Analysis of Variance; Anthropometry; California; Cholesterol, HDL/blood; Cholesterol, LDL/blood; Female; Humans; Lipoproteins/*blood; Middle Aged; *Parity; Regression Analysis; Triglycerides/blood&lt;/_subject_headings&gt;&lt;_tertiary_title&gt;Journal of clinical epidemiology&lt;/_tertiary_title&gt;&lt;_type_work&gt;Journal Article; Research Support, U.S. Gov&amp;apos;t, P.H.S.&lt;/_type_work&gt;&lt;_url&gt;http://www.ncbi.nlm.nih.gov/entrez/query.fcgi?cmd=Retrieve&amp;amp;db=pubmed&amp;amp;dopt=Abstract&amp;amp;list_uids=1619455&amp;amp;query_hl=1&lt;/_url&gt;&lt;_volume&gt;45&lt;/_volume&gt;&lt;/Details&gt;&lt;Extra&gt;&lt;DBUID&gt;{F96A950B-833F-4880-A151-76DA2D6A2879}&lt;/DBUID&gt;&lt;/Extra&gt;&lt;/Item&gt;&lt;/References&gt;&lt;/Group&gt;&lt;Group&gt;&lt;References&gt;&lt;Item&gt;&lt;ID&gt;593&lt;/ID&gt;&lt;UID&gt;{9FA819DA-52C4-4C54-964A-A1712DC94E8A}&lt;/UID&gt;&lt;Title&gt;Association of maternal short sleep duration with adiposity and cardiometabolic  status at 3 years postpartum&lt;/Title&gt;&lt;Template&gt;Journal Article&lt;/Template&gt;&lt;Star&gt;0&lt;/Star&gt;&lt;Tag&gt;5&lt;/Tag&gt;&lt;Author&gt;Taveras, E M; Rifas-Shiman, S L; Rich-Edwards, J W; Gunderson, E P; Stuebe, A M; Mantzoros, C S&lt;/Author&gt;&lt;Year&gt;2011&lt;/Year&gt;&lt;Details&gt;&lt;_accession_num&gt;20489690&lt;/_accession_num&gt;&lt;_author_adr&gt;Obesity Prevention Program, Department of Population Medicine, Harvard Pilgrim  Health Care Institute and Harvard Medical School, Boston, Massachusetts, USA.  Elsie_Taveras@hphc.org&lt;/_author_adr&gt;&lt;_created&gt;64592504&lt;/_created&gt;&lt;_date&gt;2011-01-01&lt;/_date&gt;&lt;_date_display&gt;2011 Jan&lt;/_date_display&gt;&lt;_doi&gt;10.1038/oby.2010.117&lt;/_doi&gt;&lt;_impact_factor&gt;   5.002&lt;/_impact_factor&gt;&lt;_isbn&gt;1930-739X (Electronic); 1930-7381 (Print); 1930-7381 (Linking)&lt;/_isbn&gt;&lt;_issue&gt;1&lt;/_issue&gt;&lt;_journal&gt;Obesity (Silver Spring)&lt;/_journal&gt;&lt;_language&gt;eng&lt;/_language&gt;&lt;_modified&gt;64601490&lt;/_modified&gt;&lt;_pages&gt;171-8&lt;/_pages&gt;&lt;_subject_headings&gt;Adiposity/*physiology; Adult; Body Mass Index; Body Weight/physiology; Breast Feeding/epidemiology; Cardiovascular System/metabolism/*physiopathology; Cohort Studies; Female; Follow-Up Studies; Humans; Obesity/complications/etiology/metabolism/physiopathology; Overweight/epidemiology; Postpartum Period/metabolism/*physiology; Sleep/physiology; Sleep Deprivation/*complications/*metabolism/*physiopathology; Time Factors&lt;/_subject_headings&gt;&lt;_tertiary_title&gt;Obesity (Silver Spring, Md.)&lt;/_tertiary_title&gt;&lt;_type_work&gt;Journal Article; Research Support, N.I.H., Extramural&lt;/_type_work&gt;&lt;_url&gt;http://www.ncbi.nlm.nih.gov/entrez/query.fcgi?cmd=Retrieve&amp;amp;db=pubmed&amp;amp;dopt=Abstract&amp;amp;list_uids=20489690&amp;amp;query_hl=1&lt;/_url&gt;&lt;_volume&gt;19&lt;/_volume&gt;&lt;/Details&gt;&lt;Extra&gt;&lt;DBUID&gt;{F96A950B-833F-4880-A151-76DA2D6A2879}&lt;/DBUID&gt;&lt;/Extra&gt;&lt;/Item&gt;&lt;/References&gt;&lt;/Group&gt;&lt;Group&gt;&lt;References&gt;&lt;Item&gt;&lt;ID&gt;595&lt;/ID&gt;&lt;UID&gt;{EF8414AE-2C92-4FEF-AEAF-B15A7F11B3CD}&lt;/UID&gt;&lt;Title&gt;Biological changes in the pregnancy-postpartum period and subsequent  cardiometabolic risk-UPSIDE MOMS: A research protocol&lt;/Title&gt;&lt;Template&gt;Journal Article&lt;/Template&gt;&lt;Star&gt;0&lt;/Star&gt;&lt;Tag&gt;5&lt;/Tag&gt;&lt;Author&gt;Groth, S W; Fernandez, I D; Block, R C; Thurston, S W; Wong, E; Brunner, J; Mayo, N; Kapula, N; Yu, Y; Meng, Y; Yeh, K L; Kinkade, C W; Thornburg, L L; O&amp;apos;Connor, T G; Barrett, E S&lt;/Author&gt;&lt;Year&gt;2021&lt;/Year&gt;&lt;Details&gt;&lt;_accession_num&gt;33993510&lt;/_accession_num&gt;&lt;_author_adr&gt;School of Nursing, University of Rochester, Rochester, New York, USA.; Department of Public Health Sciences, University of Rochester School of Medicine  and Dentistry, Rochester, New York, USA.; Departments of Public Health Sciences, Cardiology, and Medicine, University of  Rochester, Rochester, New York, USA.; Department of Biostatistics and Computational Biology, University of Rochester,  Rochester, New York, USA.; School of Nursing, University of Rochester, Rochester, New York, USA.; Department of Obstetrics and Gynecology, University of Rochester Medical Center,  Rochester, New York, USA.; Department of Public Health Sciences, University of Rochester School of Medicine  and Dentistry, Rochester, New York, USA.; Department of Obstetrics and Gynecology, University of Rochester Medical Center,  Rochester, New York, USA.; School of Nursing, University of Rochester, Rochester, New York, USA.; School of Nursing, University of Rochester, Rochester, New York, USA.; School of Nursing, University of Rochester, Rochester, New York, USA.; Exposure Science and Epidemiology, Environmental and Occupational Health Sciences  Institute, Rutgers University, New Brunswick, New Jersey, USA.; Department of Obstetrics and Gynecology, University of Rochester Medical Center,  Rochester, New York, USA.; Departments of Psychiatry, Psychology, Neuroscience, Obstetrics and Gynecology,  and Wynne Center for Family Research, University of Rochester, Rochester, New  York, USA.; Department of Obstetrics and Gynecology, University of Rochester Medical Center,  Rochester, New York, USA.; Exposure Science and Epidemiology, Environmental and Occupational Health Sciences  Institute, Rutgers University, New Brunswick, New Jersey, USA.; Department of Biostatistics and Epidemiology, Rutgers School of Public Health,  Piscataway, New Jersey, USA.&lt;/_author_adr&gt;&lt;_collection_scope&gt;SCIE;SSCI&lt;/_collection_scope&gt;&lt;_created&gt;64595043&lt;/_created&gt;&lt;_date&gt;2021-08-01&lt;/_date&gt;&lt;_date_display&gt;2021 Aug&lt;/_date_display&gt;&lt;_doi&gt;10.1002/nur.22141&lt;/_doi&gt;&lt;_impact_factor&gt;   2.228&lt;/_impact_factor&gt;&lt;_isbn&gt;1098-240X (Electronic); 0160-6891 (Print); 0160-6891 (Linking)&lt;/_isbn&gt;&lt;_issue&gt;4&lt;/_issue&gt;&lt;_journal&gt;Res Nurs Health&lt;/_journal&gt;&lt;_keywords&gt;biological profile; cardiometabolic risk; childbearing women; maternal weight; postpartum; pregnancy adaptation&lt;/_keywords&gt;&lt;_language&gt;eng&lt;/_language&gt;&lt;_modified&gt;64601490&lt;/_modified&gt;&lt;_ori_publication&gt;© 2021 Wiley Periodicals LLC.&lt;/_ori_publication&gt;&lt;_pages&gt;608-619&lt;/_pages&gt;&lt;_subject_headings&gt;Adult; *Breast Feeding; *Cardiometabolic Risk Factors; Diet; *Exercise; Female; Health Behavior; Humans; Infant; Longitudinal Studies; Mothers/*statistics &amp;amp; numerical data; *Postpartum Period/blood; Pregnancy; Prospective Studies; Sleep/physiology; Weight Gain/*physiology; Young Adult&lt;/_subject_headings&gt;&lt;_tertiary_title&gt;Research in nursing &amp;amp; health&lt;/_tertiary_title&gt;&lt;_type_work&gt;Journal Article; Research Support, N.I.H., Extramural; Research Support, Non-U.S. Gov&amp;apos;t&lt;/_type_work&gt;&lt;_url&gt;http://www.ncbi.nlm.nih.gov/entrez/query.fcgi?cmd=Retrieve&amp;amp;db=pubmed&amp;amp;dopt=Abstract&amp;amp;list_uids=33993510&amp;amp;query_hl=1&lt;/_url&gt;&lt;_volume&gt;44&lt;/_volume&gt;&lt;/Details&gt;&lt;Extra&gt;&lt;DBUID&gt;{F96A950B-833F-4880-A151-76DA2D6A2879}&lt;/DBUID&gt;&lt;/Extra&gt;&lt;/Item&gt;&lt;/References&gt;&lt;/Group&gt;&lt;Group&gt;&lt;References&gt;&lt;Item&gt;&lt;ID&gt;596&lt;/ID&gt;&lt;UID&gt;{A2C872D8-52C2-4F40-8F58-6616AD7FAB69}&lt;/UID&gt;&lt;Title&gt;Development and Modification of a Mobile Health Program to Promote Postpartum  Weight Loss in Women at Elevated Risk for Cardiometabolic Disease: Single-Arm  Pilot Study&lt;/Title&gt;&lt;Template&gt;Journal Article&lt;/Template&gt;&lt;Star&gt;0&lt;/Star&gt;&lt;Tag&gt;5&lt;/Tag&gt;&lt;Author&gt;Nicklas, J M; Leiferman, J A; Lockhart, S; Daly, K M; Bull, S S; Barbour, L A&lt;/Author&gt;&lt;Year&gt;2020&lt;/Year&gt;&lt;Details&gt;&lt;_accession_num&gt;32271149&lt;/_accession_num&gt;&lt;_author_adr&gt;Division of General Internal Medicine, University of Colorado School of Medicine,  Aurora, CO, United States.; Community and Behavioral Health, Colorado School of Public Health, Aurora, CO,  United States.; Adult and Child Consortium for Health Outcomes Research and Delivery Science,  University of Colorado School of Medicine, Aurora, CO, United States.; Community and Behavioral Health, Colorado School of Public Health, Aurora, CO,  United States.; Community and Behavioral Health, Colorado School of Public Health, Aurora, CO,  United States.; Division of Endocrinology, Metabolism and Diabetes, University of Colorado School  of Medicine, Aurora, CO, United States.; Division of Maternal Fetal Medicine, University of Colorado School of Medicine,  Aurora, CO, United States.&lt;/_author_adr&gt;&lt;_created&gt;64596222&lt;/_created&gt;&lt;_date&gt;2020-04-09&lt;/_date&gt;&lt;_date_display&gt;2020 Apr 9&lt;/_date_display&gt;&lt;_doi&gt;10.2196/16151&lt;/_doi&gt;&lt;_isbn&gt;2561-326X (Electronic); 2561-326X (Linking)&lt;/_isbn&gt;&lt;_issue&gt;4&lt;/_issue&gt;&lt;_journal&gt;JMIR Form Res&lt;/_journal&gt;&lt;_keywords&gt;chronic disease; mobile health; postpartum; prevention; weight loss&lt;/_keywords&gt;&lt;_language&gt;eng&lt;/_language&gt;&lt;_modified&gt;64601490&lt;/_modified&gt;&lt;_ori_publication&gt;©Jacinda M Nicklas, Jenn A Leiferman, Steven Lockhart, Kristen M Daly, Sheana S _x000d__x000a_      Bull, Linda A Barbour. Originally published in JMIR Formative Research _x000d__x000a_      (http://formative.jmir.org), 09.04.2020.&lt;/_ori_publication&gt;&lt;_pages&gt;e16151&lt;/_pages&gt;&lt;_tertiary_title&gt;JMIR formative research&lt;/_tertiary_title&gt;&lt;_type_work&gt;Journal Article&lt;/_type_work&gt;&lt;_url&gt;http://www.ncbi.nlm.nih.gov/entrez/query.fcgi?cmd=Retrieve&amp;amp;db=pubmed&amp;amp;dopt=Abstract&amp;amp;list_uids=32271149&amp;amp;query_hl=1&lt;/_url&gt;&lt;_volume&gt;4&lt;/_volume&gt;&lt;/Details&gt;&lt;Extra&gt;&lt;DBUID&gt;{F96A950B-833F-4880-A151-76DA2D6A2879}&lt;/DBUID&gt;&lt;/Extra&gt;&lt;/Item&gt;&lt;/References&gt;&lt;/Group&gt;&lt;Group&gt;&lt;References&gt;&lt;Item&gt;&lt;ID&gt;597&lt;/ID&gt;&lt;UID&gt;{12C47D16-7201-4045-9BCE-E10E005F640C}&lt;/UID&gt;&lt;Title&gt;Long-term weight development in women: a 15-year follow-up of the effects of  pregnancy&lt;/Title&gt;&lt;Template&gt;Journal Article&lt;/Template&gt;&lt;Star&gt;0&lt;/Star&gt;&lt;Tag&gt;5&lt;/Tag&gt;&lt;Author&gt;Linné, Y; Dye, L; Barkeling, B; Rössner, S&lt;/Author&gt;&lt;Year&gt;2004&lt;/Year&gt;&lt;Details&gt;&lt;_accession_num&gt;15292482&lt;/_accession_num&gt;&lt;_author_adr&gt;Obesity Unit, Huddinge University Hospital, Stockholm, Sweden.  Yvonne.Linne@medhs.ki.se&lt;/_author_adr&gt;&lt;_created&gt;64597604&lt;/_created&gt;&lt;_date&gt;2004-07-01&lt;/_date&gt;&lt;_date_display&gt;2004 Jul&lt;/_date_display&gt;&lt;_doi&gt;10.1038/oby.2004.146&lt;/_doi&gt;&lt;_isbn&gt;1071-7323 (Print); 1071-7323 (Linking)&lt;/_isbn&gt;&lt;_issue&gt;7&lt;/_issue&gt;&lt;_journal&gt;Obes Res&lt;/_journal&gt;&lt;_language&gt;eng&lt;/_language&gt;&lt;_modified&gt;64601490&lt;/_modified&gt;&lt;_ori_publication&gt;Copyright 2004 NAASO&lt;/_ori_publication&gt;&lt;_pages&gt;1166-78&lt;/_pages&gt;&lt;_subject_headings&gt;Body Mass Index; Eating; Exercise; Feeding Behavior; Female; Follow-Up Studies; Humans; Longitudinal Studies; Male; *Nutritional Physiological Phenomena; Postpartum Period; Pregnancy/*physiology; Regression Analysis; Surveys and Questionnaires; Time Factors; *Weight Gain&lt;/_subject_headings&gt;&lt;_tertiary_title&gt;Obesity research&lt;/_tertiary_title&gt;&lt;_type_work&gt;Journal Article&lt;/_type_work&gt;&lt;_url&gt;http://www.ncbi.nlm.nih.gov/entrez/query.fcgi?cmd=Retrieve&amp;amp;db=pubmed&amp;amp;dopt=Abstract&amp;amp;list_uids=15292482&amp;amp;query_hl=1&lt;/_url&gt;&lt;_volume&gt;12&lt;/_volume&gt;&lt;/Details&gt;&lt;Extra&gt;&lt;DBUID&gt;{F96A950B-833F-4880-A151-76DA2D6A2879}&lt;/DBUID&gt;&lt;/Extra&gt;&lt;/Item&gt;&lt;/References&gt;&lt;/Group&gt;&lt;/Citation&gt;_x000a_"/>
    <w:docVar w:name="NE.Ref{23DDAB1C-FC1E-41CA-B300-0D4B12C4F2E7}" w:val=" ADDIN NE.Ref.{23DDAB1C-FC1E-41CA-B300-0D4B12C4F2E7}"/>
    <w:docVar w:name="NE.Ref{242A199E-DE06-4A45-9DC7-0F6341BB1AC0}" w:val=" ADDIN NE.Ref.{242A199E-DE06-4A45-9DC7-0F6341BB1AC0}&lt;Citation&gt;&lt;Group&gt;&lt;References&gt;&lt;Item&gt;&lt;ID&gt;17&lt;/ID&gt;&lt;UID&gt;{DD6B72E4-DA0C-40E2-AE8C-699E2DF839D3}&lt;/UID&gt;&lt;Title&gt;Weight Trajectories After Delivery are Associated with Adiposity and  Cardiometabolic Markers at 3 Years Postpartum Among Women in Project Viva&lt;/Title&gt;&lt;Template&gt;Journal Article&lt;/Template&gt;&lt;Star&gt;0&lt;/Star&gt;&lt;Tag&gt;0&lt;/Tag&gt;&lt;Author&gt;Soria-Contreras, D C; Rifas-Shiman, S L; Aris, I M; Perng, W; Switkowski, K M; Téllez-Rojo, M M; Trejo-Valdivia, B; López-Ridaura, R; Oken, E&lt;/Author&gt;&lt;Year&gt;2020&lt;/Year&gt;&lt;Details&gt;&lt;_accession_num&gt;32321175&lt;/_accession_num&gt;&lt;_author_adr&gt;Center for Nutrition and Health Research, National Institute of Public Health,  Cuernavaca, Morelos, Mexico.; Division of Chronic Disease Research Across the Lifecourse, Department of  Population Medicine, Harvard Medical School, and Harvard Pilgrim Health Care  Institute, Boston, MA, USA.; Division of Chronic Disease Research Across the Lifecourse, Department of  Population Medicine, Harvard Medical School, and Harvard Pilgrim Health Care  Institute, Boston, MA, USA.; Department of Obstetrics and Gynecology, Yong Loo Lin School of Medicine,  National University of Singapore, Singapore.; Agency for Science, Technology and Research, Singapore Institute for Clinical  Sciences, Singapore.; Department of Epidemiology, Colorado School of Public Health, University of  Colorado Denver, Anschutz Medical Campus, Aurora, CO, USA.; Lifecourse Epidemiology of Adiposity and Diabetes (LEAD) Center, Colorado School  of Public Health, University of Colorado Denver, Anschutz Medical Campus, Aurora,  CO, USA.; Division of Chronic Disease Research Across the Lifecourse, Department of  Population Medicine, Harvard Medical School, and Harvard Pilgrim Health Care  Institute, Boston, MA, USA.; Center for Nutrition and Health Research, National Institute of Public Health,  Cuernavaca, Morelos, Mexico.; Center for Nutrition and Health Research, National Institute of Public Health,  Cuernavaca, Morelos, Mexico.; Center for Population Health Research, National Institute of Public Health,  Cuernavaca, Morelos, Mexico.; Division of Chronic Disease Research Across the Lifecourse, Department of  Population Medicine, Harvard Medical School, and Harvard Pilgrim Health Care  Institute, Boston, MA, USA.; Department of Nutrition, Harvard T.H. Chan School of Public Health, Boston, MA,  USA.&lt;/_author_adr&gt;&lt;_collection_scope&gt;SCI;SCIE&lt;/_collection_scope&gt;&lt;_created&gt;64733397&lt;/_created&gt;&lt;_date&gt;2020-07-01&lt;/_date&gt;&lt;_date_display&gt;2020 Jul 1&lt;/_date_display&gt;&lt;_doi&gt;10.1093/jn/nxaa104&lt;/_doi&gt;&lt;_impact_factor&gt;   4.798&lt;/_impact_factor&gt;&lt;_isbn&gt;1541-6100 (Electronic); 0022-3166 (Print); 0022-3166 (Linking)&lt;/_isbn&gt;&lt;_issue&gt;7&lt;/_issue&gt;&lt;_journal&gt;J Nutr&lt;/_journal&gt;&lt;_keywords&gt;Project Viva; adiposity; cardiovascular risk factors; diet; gestational weight gain; postpartum weight change; postpartum weight trajectories; pre-pregnancy BMI&lt;/_keywords&gt;&lt;_language&gt;eng&lt;/_language&gt;&lt;_modified&gt;64734679&lt;/_modified&gt;&lt;_ori_publication&gt;Copyright © The Author(s) on behalf of the American Society for Nutrition 2020.&lt;/_ori_publication&gt;&lt;_pages&gt;1889-1898&lt;/_pages&gt;&lt;_subject_headings&gt;*Adiposity; Adult; Biomarkers/blood; Cardiovascular Diseases/*blood; Diet; Female; Humans; Metabolic Diseases/*blood; *Postpartum Period; Pregnancy; Weight Gain; Weight Loss&lt;/_subject_headings&gt;&lt;_tertiary_title&gt;The Journal of nutrition&lt;/_tertiary_title&gt;&lt;_type_work&gt;Journal Article; Research Support, N.I.H., Extramural&lt;/_type_work&gt;&lt;_url&gt;http://www.ncbi.nlm.nih.gov/entrez/query.fcgi?cmd=Retrieve&amp;amp;db=pubmed&amp;amp;dopt=Abstract&amp;amp;list_uids=32321175&amp;amp;query_hl=1&lt;/_url&gt;&lt;_volume&gt;150&lt;/_volume&gt;&lt;/Details&gt;&lt;Extra&gt;&lt;DBUID&gt;{C818A046-6D8C-4B07-8765-4E05C48B46EA}&lt;/DBUID&gt;&lt;/Extra&gt;&lt;/Item&gt;&lt;/References&gt;&lt;/Group&gt;&lt;/Citation&gt;_x000a_"/>
    <w:docVar w:name="NE.Ref{262FFD55-FAA5-4CE9-BB76-2D2DE5EAE4E2}" w:val=" ADDIN NE.Ref.{262FFD55-FAA5-4CE9-BB76-2D2DE5EAE4E2}&lt;Citation&gt;&lt;Group&gt;&lt;References&gt;&lt;Item&gt;&lt;ID&gt;2&lt;/ID&gt;&lt;UID&gt;{A29ED86C-4B2C-4447-BA91-349449A57E1A}&lt;/UID&gt;&lt;Title&gt;Preconceptional and maternal obesity: epidemiology and health consequences&lt;/Title&gt;&lt;Template&gt;Journal Article&lt;/Template&gt;&lt;Star&gt;0&lt;/Star&gt;&lt;Tag&gt;0&lt;/Tag&gt;&lt;Author&gt;Poston, L; Caleyachetty, R; Cnattingius, S; Corvalán, C; Uauy, R; Herring, S; Gillman, M W&lt;/Author&gt;&lt;Year&gt;2016&lt;/Year&gt;&lt;Details&gt;&lt;_accession_num&gt;27743975&lt;/_accession_num&gt;&lt;_author_adr&gt;Division of Women&amp;apos;s Health, Faculty of Life Sciences and Medicine, King&amp;apos;s College  London, London, UK. Electronic address: lucilla.poston@kcl.ac.uk.; Institute of Applied Health Research, University of Birmingham, Birmingham, UK.; Department of Medicine Solna, Karolinska Universitetssjukhuset, Stockholm,  Sweden.; Institute of Nutrition and Food Technology, University of Chile, Santiago, Chile.; Division of Pediatrics, Faculty of Medicine, Pontifical Catholic University of  Chile, Santiago, Chile; Center for Obesity Research and Education, Departments of  Medicine and Public Health, Temple University, Philadelphia, PA, USA.; Center for Obesity Research and Education, Departments of Medicine and Public  Health, Temple University, Philadelphia, PA, USA.; Office of the Director, Environmental Influences on Child Health Outcomes (ECHO),  National Institutes of Health, Rockville, MD, USA.&lt;/_author_adr&gt;&lt;_created&gt;64733386&lt;/_created&gt;&lt;_date&gt;2016-12-01&lt;/_date&gt;&lt;_date_display&gt;2016 Dec&lt;/_date_display&gt;&lt;_doi&gt;10.1016/S2213-8587(16)30217-0&lt;/_doi&gt;&lt;_impact_factor&gt;  32.069&lt;/_impact_factor&gt;&lt;_isbn&gt;2213-8595 (Electronic); 2213-8587 (Linking)&lt;/_isbn&gt;&lt;_issue&gt;12&lt;/_issue&gt;&lt;_journal&gt;Lancet Diabetes Endocrinol&lt;/_journal&gt;&lt;_language&gt;eng&lt;/_language&gt;&lt;_modified&gt;64734679&lt;/_modified&gt;&lt;_ori_publication&gt;Copyright Â© 2016 Elsevier Ltd. All rights reserved.&lt;/_ori_publication&gt;&lt;_pages&gt;1025-1036&lt;/_pages&gt;&lt;_subject_headings&gt;Abortion, Spontaneous/etiology; Delivery, Obstetric; Female; Fertility; Humans; Obesity/complications/*epidemiology; Postpartum Period; Pregnancy; Pregnancy Complications/*epidemiology/etiology; Premature Birth/etiology; Prevalence&lt;/_subject_headings&gt;&lt;_tertiary_title&gt;The lancet. Diabetes &amp;amp; endocrinology&lt;/_tertiary_title&gt;&lt;_type_work&gt;Journal Article; Research Support, Non-U.S. Gov&amp;apos;t; Review&lt;/_type_work&gt;&lt;_url&gt;http://www.ncbi.nlm.nih.gov/entrez/query.fcgi?cmd=Retrieve&amp;amp;db=pubmed&amp;amp;dopt=Abstract&amp;amp;list_uids=27743975&amp;amp;query_hl=1&lt;/_url&gt;&lt;_volume&gt;4&lt;/_volume&gt;&lt;/Details&gt;&lt;Extra&gt;&lt;DBUID&gt;{C818A046-6D8C-4B07-8765-4E05C48B46EA}&lt;/DBUID&gt;&lt;/Extra&gt;&lt;/Item&gt;&lt;/References&gt;&lt;/Group&gt;&lt;/Citation&gt;_x000a_"/>
    <w:docVar w:name="NE.Ref{2630AE31-F98B-4F8C-BA89-2BE58D2C7479}" w:val=" ADDIN NE.Ref.{2630AE31-F98B-4F8C-BA89-2BE58D2C7479}&lt;Citation&gt;&lt;Group&gt;&lt;References&gt;&lt;Item&gt;&lt;ID&gt;1&lt;/ID&gt;&lt;UID&gt;{BF3D6C26-9E15-4EED-BD04-105C47CEC17E}&lt;/UID&gt;&lt;Title&gt;Trends in adult body-mass index in 200 countries from 1975 to 2014: a pooled  analysis of 1698 population-based measurement studies with 19·2 million  participants&lt;/Title&gt;&lt;Template&gt;Journal Article&lt;/Template&gt;&lt;Star&gt;0&lt;/Star&gt;&lt;Tag&gt;0&lt;/Tag&gt;&lt;Author/&gt;&lt;Year&gt;2016&lt;/Year&gt;&lt;Details&gt;&lt;_accession_num&gt;27115820&lt;/_accession_num&gt;&lt;_collection_scope&gt;SCI;SCIE&lt;/_collection_scope&gt;&lt;_created&gt;64733386&lt;/_created&gt;&lt;_date&gt;2016-04-02&lt;/_date&gt;&lt;_date_display&gt;2016 Apr 2&lt;/_date_display&gt;&lt;_doi&gt;10.1016/S0140-6736(16)30054-X&lt;/_doi&gt;&lt;_impact_factor&gt;  79.323&lt;/_impact_factor&gt;&lt;_isbn&gt;1474-547X (Electronic); 0140-6736 (Linking)&lt;/_isbn&gt;&lt;_issue&gt;10026&lt;/_issue&gt;&lt;_journal&gt;Lancet&lt;/_journal&gt;&lt;_language&gt;eng&lt;/_language&gt;&lt;_modified&gt;64734679&lt;/_modified&gt;&lt;_ori_publication&gt;Copyright © 2016 NCD Risk Factor Collaboration. Open Access article distributed _x000d__x000a_      under the terms of CC BY. Published by Elsevier Ltd.. All rights reserved.&lt;/_ori_publication&gt;&lt;_pages&gt;1377-1396&lt;/_pages&gt;&lt;_subject_headings&gt;Adolescent; Adult; Bayes Theorem; *Body Mass Index; Developed Countries; Developing Countries; Female; Forecasting; *Global Health; Humans; Male; Models, Statistical; Obesity/*epidemiology; Prevalence; Thinness/epidemiology; Young Adult&lt;/_subject_headings&gt;&lt;_tertiary_title&gt;Lancet (London, England)&lt;/_tertiary_title&gt;&lt;_type_work&gt;Journal Article; Meta-Analysis; Research Support, Non-U.S. Gov&amp;apos;t; Review&lt;/_type_work&gt;&lt;_url&gt;http://www.ncbi.nlm.nih.gov/entrez/query.fcgi?cmd=Retrieve&amp;amp;db=pubmed&amp;amp;dopt=Abstract&amp;amp;list_uids=27115820&amp;amp;query_hl=1&lt;/_url&gt;&lt;_volume&gt;387&lt;/_volume&gt;&lt;/Details&gt;&lt;Extra&gt;&lt;DBUID&gt;{C818A046-6D8C-4B07-8765-4E05C48B46EA}&lt;/DBUID&gt;&lt;/Extra&gt;&lt;/Item&gt;&lt;/References&gt;&lt;/Group&gt;&lt;/Citation&gt;_x000a_"/>
    <w:docVar w:name="NE.Ref{27617445-2823-43E7-9793-2352FC9FFBF4}" w:val=" ADDIN NE.Ref.{27617445-2823-43E7-9793-2352FC9FFBF4}&lt;Citation&gt;&lt;Group&gt;&lt;References&gt;&lt;Item&gt;&lt;ID&gt;2&lt;/ID&gt;&lt;UID&gt;{A29ED86C-4B2C-4447-BA91-349449A57E1A}&lt;/UID&gt;&lt;Title&gt;Preconceptional and maternal obesity: epidemiology and health consequences&lt;/Title&gt;&lt;Template&gt;Journal Article&lt;/Template&gt;&lt;Star&gt;0&lt;/Star&gt;&lt;Tag&gt;0&lt;/Tag&gt;&lt;Author&gt;Poston, L; Caleyachetty, R; Cnattingius, S; Corvalán, C; Uauy, R; Herring, S; Gillman, M W&lt;/Author&gt;&lt;Year&gt;2016&lt;/Year&gt;&lt;Details&gt;&lt;_accession_num&gt;27743975&lt;/_accession_num&gt;&lt;_author_adr&gt;Division of Women&amp;apos;s Health, Faculty of Life Sciences and Medicine, King&amp;apos;s College  London, London, UK. Electronic address: lucilla.poston@kcl.ac.uk.; Institute of Applied Health Research, University of Birmingham, Birmingham, UK.; Department of Medicine Solna, Karolinska Universitetssjukhuset, Stockholm,  Sweden.; Institute of Nutrition and Food Technology, University of Chile, Santiago, Chile.; Division of Pediatrics, Faculty of Medicine, Pontifical Catholic University of  Chile, Santiago, Chile; Center for Obesity Research and Education, Departments of  Medicine and Public Health, Temple University, Philadelphia, PA, USA.; Center for Obesity Research and Education, Departments of Medicine and Public  Health, Temple University, Philadelphia, PA, USA.; Office of the Director, Environmental Influences on Child Health Outcomes (ECHO),  National Institutes of Health, Rockville, MD, USA.&lt;/_author_adr&gt;&lt;_created&gt;64733386&lt;/_created&gt;&lt;_date&gt;2016-12-01&lt;/_date&gt;&lt;_date_display&gt;2016 Dec&lt;/_date_display&gt;&lt;_doi&gt;10.1016/S2213-8587(16)30217-0&lt;/_doi&gt;&lt;_impact_factor&gt;  32.069&lt;/_impact_factor&gt;&lt;_isbn&gt;2213-8595 (Electronic); 2213-8587 (Linking)&lt;/_isbn&gt;&lt;_issue&gt;12&lt;/_issue&gt;&lt;_journal&gt;Lancet Diabetes Endocrinol&lt;/_journal&gt;&lt;_language&gt;eng&lt;/_language&gt;&lt;_modified&gt;64734679&lt;/_modified&gt;&lt;_ori_publication&gt;Copyright Â© 2016 Elsevier Ltd. All rights reserved.&lt;/_ori_publication&gt;&lt;_pages&gt;1025-1036&lt;/_pages&gt;&lt;_subject_headings&gt;Abortion, Spontaneous/etiology; Delivery, Obstetric; Female; Fertility; Humans; Obesity/complications/*epidemiology; Postpartum Period; Pregnancy; Pregnancy Complications/*epidemiology/etiology; Premature Birth/etiology; Prevalence&lt;/_subject_headings&gt;&lt;_tertiary_title&gt;The lancet. Diabetes &amp;amp; endocrinology&lt;/_tertiary_title&gt;&lt;_type_work&gt;Journal Article; Research Support, Non-U.S. Gov&amp;apos;t; Review&lt;/_type_work&gt;&lt;_url&gt;http://www.ncbi.nlm.nih.gov/entrez/query.fcgi?cmd=Retrieve&amp;amp;db=pubmed&amp;amp;dopt=Abstract&amp;amp;list_uids=27743975&amp;amp;query_hl=1&lt;/_url&gt;&lt;_volume&gt;4&lt;/_volume&gt;&lt;/Details&gt;&lt;Extra&gt;&lt;DBUID&gt;{C818A046-6D8C-4B07-8765-4E05C48B46EA}&lt;/DBUID&gt;&lt;/Extra&gt;&lt;/Item&gt;&lt;/References&gt;&lt;/Group&gt;&lt;/Citation&gt;_x000a_"/>
    <w:docVar w:name="NE.Ref{2A04D60F-C2B1-4937-8896-936E3E787439}" w:val=" ADDIN NE.Ref.{2A04D60F-C2B1-4937-8896-936E3E787439}&lt;Citation&gt;&lt;Group&gt;&lt;References&gt;&lt;Item&gt;&lt;ID&gt;2&lt;/ID&gt;&lt;UID&gt;{A29ED86C-4B2C-4447-BA91-349449A57E1A}&lt;/UID&gt;&lt;Title&gt;Preconceptional and maternal obesity: epidemiology and health consequences&lt;/Title&gt;&lt;Template&gt;Journal Article&lt;/Template&gt;&lt;Star&gt;0&lt;/Star&gt;&lt;Tag&gt;0&lt;/Tag&gt;&lt;Author&gt;Poston, L; Caleyachetty, R; Cnattingius, S; Corvalán, C; Uauy, R; Herring, S; Gillman, M W&lt;/Author&gt;&lt;Year&gt;2016&lt;/Year&gt;&lt;Details&gt;&lt;_accession_num&gt;27743975&lt;/_accession_num&gt;&lt;_author_adr&gt;Division of Women&amp;apos;s Health, Faculty of Life Sciences and Medicine, King&amp;apos;s College  London, London, UK. Electronic address: lucilla.poston@kcl.ac.uk.; Institute of Applied Health Research, University of Birmingham, Birmingham, UK.; Department of Medicine Solna, Karolinska Universitetssjukhuset, Stockholm,  Sweden.; Institute of Nutrition and Food Technology, University of Chile, Santiago, Chile.; Division of Pediatrics, Faculty of Medicine, Pontifical Catholic University of  Chile, Santiago, Chile; Center for Obesity Research and Education, Departments of  Medicine and Public Health, Temple University, Philadelphia, PA, USA.; Center for Obesity Research and Education, Departments of Medicine and Public  Health, Temple University, Philadelphia, PA, USA.; Office of the Director, Environmental Influences on Child Health Outcomes (ECHO),  National Institutes of Health, Rockville, MD, USA.&lt;/_author_adr&gt;&lt;_created&gt;64733386&lt;/_created&gt;&lt;_date&gt;2016-12-01&lt;/_date&gt;&lt;_date_display&gt;2016 Dec&lt;/_date_display&gt;&lt;_doi&gt;10.1016/S2213-8587(16)30217-0&lt;/_doi&gt;&lt;_impact_factor&gt;  32.069&lt;/_impact_factor&gt;&lt;_isbn&gt;2213-8595 (Electronic); 2213-8587 (Linking)&lt;/_isbn&gt;&lt;_issue&gt;12&lt;/_issue&gt;&lt;_journal&gt;Lancet Diabetes Endocrinol&lt;/_journal&gt;&lt;_language&gt;eng&lt;/_language&gt;&lt;_modified&gt;64734679&lt;/_modified&gt;&lt;_ori_publication&gt;Copyright Â© 2016 Elsevier Ltd. All rights reserved.&lt;/_ori_publication&gt;&lt;_pages&gt;1025-1036&lt;/_pages&gt;&lt;_subject_headings&gt;Abortion, Spontaneous/etiology; Delivery, Obstetric; Female; Fertility; Humans; Obesity/complications/*epidemiology; Postpartum Period; Pregnancy; Pregnancy Complications/*epidemiology/etiology; Premature Birth/etiology; Prevalence&lt;/_subject_headings&gt;&lt;_tertiary_title&gt;The lancet. Diabetes &amp;amp; endocrinology&lt;/_tertiary_title&gt;&lt;_type_work&gt;Journal Article; Research Support, Non-U.S. Gov&amp;apos;t; Review&lt;/_type_work&gt;&lt;_url&gt;http://www.ncbi.nlm.nih.gov/entrez/query.fcgi?cmd=Retrieve&amp;amp;db=pubmed&amp;amp;dopt=Abstract&amp;amp;list_uids=27743975&amp;amp;query_hl=1&lt;/_url&gt;&lt;_volume&gt;4&lt;/_volume&gt;&lt;/Details&gt;&lt;Extra&gt;&lt;DBUID&gt;{C818A046-6D8C-4B07-8765-4E05C48B46EA}&lt;/DBUID&gt;&lt;/Extra&gt;&lt;/Item&gt;&lt;/References&gt;&lt;/Group&gt;&lt;/Citation&gt;_x000a_"/>
    <w:docVar w:name="NE.Ref{2F185C7C-A236-4A55-9415-C45805A07C2B}" w:val=" ADDIN NE.Ref.{2F185C7C-A236-4A55-9415-C45805A07C2B}&lt;Citation&gt;&lt;Group&gt;&lt;References&gt;&lt;Item&gt;&lt;ID&gt;560&lt;/ID&gt;&lt;UID&gt;{66526E20-2D19-4B97-A6C4-0CFDF2223FAD}&lt;/UID&gt;&lt;Title&gt;Maternal weight change from prepregnancy to 18 months postpartum and subsequent  risk of hypertension and cardiovascular disease in Danish women: A cohort study&lt;/Title&gt;&lt;Template&gt;Journal Article&lt;/Template&gt;&lt;Star&gt;0&lt;/Star&gt;&lt;Tag&gt;0&lt;/Tag&gt;&lt;Author&gt;Kirkegaard, H; Bliddal, M; Støvring, H; Rasmussen, K M; Gunderson, E P; Køber, L; Sørensen, TIA; Nøhr, E A&lt;/Author&gt;&lt;Year&gt;2021&lt;/Year&gt;&lt;Details&gt;&lt;_accession_num&gt;33798198&lt;/_accession_num&gt;&lt;_author_adr&gt;Research Unit of Obstetrics and Gynecology, Department of Clinical Research,  University of Southern Denmark, Odense, Denmark.; Open Patient Data Explorative Network (OPEN), Department of Clinical Research,  University of Southern Denmark and Odense University Hospital, Odense, Denmark.; Open Patient Data Explorative Network (OPEN), Department of Clinical Research,  University of Southern Denmark and Odense University Hospital, Odense, Denmark.; Department of Public Health, Biostatistics, Aarhus University, Aarhus, Denmark.; Division of Nutritional Sciences, Cornell University, Ithaca, New York, United  States of America.; Division of Research, Cardiovascular and Metabolic Conditions Section, Kaiser  Permanente Northern California, Oakland, California, United States of America.; Department of Cardiology, Rigshospitalet, University Hospital, Copenhagen,  Denmark.; Novo Nordisk Foundation Center for Basic Metabolic Research and Department of  Public Health, Faculty of Health and Medical Sciences, University of Copenhagen,  Copenhagen, Denmark.; Research Unit of Obstetrics and Gynecology, Department of Clinical Research,  University of Southern Denmark, Odense, Denmark.; Department of Gynecology and Obstetrics, Odense University Hospital, Odense,  Denmark.&lt;/_author_adr&gt;&lt;_collection_scope&gt;SCIE&lt;/_collection_scope&gt;&lt;_created&gt;64530234&lt;/_created&gt;&lt;_date&gt;2021-04-01&lt;/_date&gt;&lt;_date_display&gt;2021 Apr&lt;/_date_display&gt;&lt;_doi&gt;10.1371/journal.pmed.1003486&lt;/_doi&gt;&lt;_impact_factor&gt;  11.069&lt;/_impact_factor&gt;&lt;_isbn&gt;1549-1676 (Electronic); 1549-1277 (Print); 1549-1277 (Linking)&lt;/_isbn&gt;&lt;_issue&gt;4&lt;/_issue&gt;&lt;_journal&gt;PLoS Med&lt;/_journal&gt;&lt;_language&gt;eng&lt;/_language&gt;&lt;_modified&gt;64530234&lt;/_modified&gt;&lt;_pages&gt;e1003486&lt;/_pages&gt;&lt;_subject_headings&gt;Adult; Cardiovascular Diseases/*epidemiology/etiology; Cohort Studies; Denmark/epidemiology; Female; Humans; Hypertension/epidemiology/etiology; Middle Aged; Obesity/epidemiology/etiology; Overweight/*epidemiology/etiology; Postpartum Period/*physiology; Pregnancy; Pregnancy Complications/*epidemiology/etiology; Risk Factors; Thinness/*epidemiology/etiology; *Weight Gain; Young Adult&lt;/_subject_headings&gt;&lt;_tertiary_title&gt;PLoS medicine&lt;/_tertiary_title&gt;&lt;_type_work&gt;Journal Article; Research Support, Non-U.S. Gov&amp;apos;t&lt;/_type_work&gt;&lt;_url&gt;http://www.ncbi.nlm.nih.gov/entrez/query.fcgi?cmd=Retrieve&amp;amp;db=pubmed&amp;amp;dopt=Abstract&amp;amp;list_uids=33798198&amp;amp;query_hl=1&lt;/_url&gt;&lt;_volume&gt;18&lt;/_volume&gt;&lt;/Details&gt;&lt;Extra&gt;&lt;DBUID&gt;{F96A950B-833F-4880-A151-76DA2D6A2879}&lt;/DBUID&gt;&lt;/Extra&gt;&lt;/Item&gt;&lt;/References&gt;&lt;/Group&gt;&lt;Group&gt;&lt;References&gt;&lt;Item&gt;&lt;ID&gt;563&lt;/ID&gt;&lt;UID&gt;{7F5FBE18-F4D2-4EBC-9216-F8B8F3123695}&lt;/UID&gt;&lt;Title&gt;Weight Trajectories After Delivery are Associated with Adiposity and  Cardiometabolic Markers at 3 Years Postpartum Among Women in Project Viva&lt;/Title&gt;&lt;Template&gt;Journal Article&lt;/Template&gt;&lt;Star&gt;0&lt;/Star&gt;&lt;Tag&gt;0&lt;/Tag&gt;&lt;Author&gt;Soria-Contreras, D C; Rifas-Shiman, S L; Aris, I M; Perng, W; Switkowski, K M; Téllez-Rojo, M M; Trejo-Valdivia, B; López-Ridaura, R; Oken, E&lt;/Author&gt;&lt;Year&gt;2020&lt;/Year&gt;&lt;Details&gt;&lt;_accession_num&gt;32321175&lt;/_accession_num&gt;&lt;_author_adr&gt;Center for Nutrition and Health Research, National Institute of Public Health,  Cuernavaca, Morelos, Mexico.; Division of Chronic Disease Research Across the Lifecourse, Department of  Population Medicine, Harvard Medical School, and Harvard Pilgrim Health Care  Institute, Boston, MA, USA.; Division of Chronic Disease Research Across the Lifecourse, Department of  Population Medicine, Harvard Medical School, and Harvard Pilgrim Health Care  Institute, Boston, MA, USA.; Department of Obstetrics and Gynecology, Yong Loo Lin School of Medicine,  National University of Singapore, Singapore.; Agency for Science, Technology and Research, Singapore Institute for Clinical  Sciences, Singapore.; Department of Epidemiology, Colorado School of Public Health, University of  Colorado Denver, Anschutz Medical Campus, Aurora, CO, USA.; Lifecourse Epidemiology of Adiposity and Diabetes (LEAD) Center, Colorado School  of Public Health, University of Colorado Denver, Anschutz Medical Campus, Aurora,  CO, USA.; Division of Chronic Disease Research Across the Lifecourse, Department of  Population Medicine, Harvard Medical School, and Harvard Pilgrim Health Care  Institute, Boston, MA, USA.; Center for Nutrition and Health Research, National Institute of Public Health,  Cuernavaca, Morelos, Mexico.; Center for Nutrition and Health Research, National Institute of Public Health,  Cuernavaca, Morelos, Mexico.; Center for Population Health Research, National Institute of Public Health,  Cuernavaca, Morelos, Mexico.; Division of Chronic Disease Research Across the Lifecourse, Department of  Population Medicine, Harvard Medical School, and Harvard Pilgrim Health Care  Institute, Boston, MA, USA.; Department of Nutrition, Harvard T.H. Chan School of Public Health, Boston, MA,  USA.&lt;/_author_adr&gt;&lt;_collection_scope&gt;SCI;SCIE&lt;/_collection_scope&gt;&lt;_created&gt;64536094&lt;/_created&gt;&lt;_date&gt;2020-07-01&lt;/_date&gt;&lt;_date_display&gt;2020 Jul 1&lt;/_date_display&gt;&lt;_doi&gt;10.1093/jn/nxaa104&lt;/_doi&gt;&lt;_impact_factor&gt;   4.798&lt;/_impact_factor&gt;&lt;_isbn&gt;1541-6100 (Electronic); 0022-3166 (Print); 0022-3166 (Linking)&lt;/_isbn&gt;&lt;_issue&gt;7&lt;/_issue&gt;&lt;_journal&gt;J Nutr&lt;/_journal&gt;&lt;_keywords&gt;Project Viva; adiposity; cardiovascular risk factors; diet; gestational weight gain; postpartum weight change; postpartum weight trajectories; pre-pregnancy BMI&lt;/_keywords&gt;&lt;_language&gt;eng&lt;/_language&gt;&lt;_modified&gt;64536094&lt;/_modified&gt;&lt;_ori_publication&gt;Copyright © The Author(s) on behalf of the American Society for Nutrition 2020.&lt;/_ori_publication&gt;&lt;_pages&gt;1889-1898&lt;/_pages&gt;&lt;_subject_headings&gt;*Adiposity; Adult; Biomarkers/blood; Cardiovascular Diseases/*blood; Diet; Female; Humans; Metabolic Diseases/*blood; *Postpartum Period; Pregnancy; Weight Gain; Weight Loss&lt;/_subject_headings&gt;&lt;_tertiary_title&gt;The Journal of nutrition&lt;/_tertiary_title&gt;&lt;_type_work&gt;Journal Article; Research Support, N.I.H., Extramural&lt;/_type_work&gt;&lt;_url&gt;http://www.ncbi.nlm.nih.gov/entrez/query.fcgi?cmd=Retrieve&amp;amp;db=pubmed&amp;amp;dopt=Abstract&amp;amp;list_uids=32321175&amp;amp;query_hl=1&lt;/_url&gt;&lt;_volume&gt;150&lt;/_volume&gt;&lt;/Details&gt;&lt;Extra&gt;&lt;DBUID&gt;{F96A950B-833F-4880-A151-76DA2D6A2879}&lt;/DBUID&gt;&lt;/Extra&gt;&lt;/Item&gt;&lt;/References&gt;&lt;/Group&gt;&lt;/Citation&gt;_x000a_"/>
    <w:docVar w:name="NE.Ref{30439A78-935B-40FD-A04D-473A110A5790}" w:val=" ADDIN NE.Ref.{30439A78-935B-40FD-A04D-473A110A5790}&lt;Citation&gt;&lt;Group&gt;&lt;References&gt;&lt;Item&gt;&lt;ID&gt;3&lt;/ID&gt;&lt;UID&gt;{35D4BEDC-ED0A-4652-8B19-ECEC2869F844}&lt;/UID&gt;&lt;Title&gt;Epidemiology of gestational weight gain and body weight changes after pregnancy&lt;/Title&gt;&lt;Template&gt;Journal Article&lt;/Template&gt;&lt;Star&gt;0&lt;/Star&gt;&lt;Tag&gt;0&lt;/Tag&gt;&lt;Author&gt;Gunderson, E P; Abrams, B&lt;/Author&gt;&lt;Year&gt;2000&lt;/Year&gt;&lt;Details&gt;&lt;_accession_num&gt;11218377&lt;/_accession_num&gt;&lt;_author_adr&gt;Division of Public Health and Epidemiology, School of Public Health, University  of California, Berkeley, CA, USA. epg@dor.kaiser.org&lt;/_author_adr&gt;&lt;_collection_scope&gt;SCI;SCIE&lt;/_collection_scope&gt;&lt;_created&gt;64733389&lt;/_created&gt;&lt;_date&gt;2000-01-20&lt;/_date&gt;&lt;_date_display&gt;2000&lt;/_date_display&gt;&lt;_doi&gt;10.1093/oxfordjournals.epirev.a018038&lt;/_doi&gt;&lt;_impact_factor&gt;   6.222&lt;/_impact_factor&gt;&lt;_isbn&gt;0193-936X (Print); 0193-936X (Linking)&lt;/_isbn&gt;&lt;_issue&gt;2&lt;/_issue&gt;&lt;_journal&gt;Epidemiol Rev&lt;/_journal&gt;&lt;_language&gt;eng&lt;/_language&gt;&lt;_modified&gt;64734679&lt;/_modified&gt;&lt;_pages&gt;261-74&lt;/_pages&gt;&lt;_subject_headings&gt;Adolescent; Adult; Ethnicity; Female; Humans; Lactation; Obesity/economics/*epidemiology/etiology; *Postpartum Period; *Pregnancy; Pregnancy in Adolescence; Prevalence; Risk Factors; United States/epidemiology; *Weight Gain&lt;/_subject_headings&gt;&lt;_tertiary_title&gt;Epidemiologic reviews&lt;/_tertiary_title&gt;&lt;_type_work&gt;Journal Article; Research Support, Non-U.S. Gov&amp;apos;t; Research Support, U.S. Gov&amp;apos;t, Non-P.H.S.; Review&lt;/_type_work&gt;&lt;_url&gt;http://www.ncbi.nlm.nih.gov/entrez/query.fcgi?cmd=Retrieve&amp;amp;db=pubmed&amp;amp;dopt=Abstract&amp;amp;list_uids=11218377&amp;amp;query_hl=1&lt;/_url&gt;&lt;_volume&gt;22&lt;/_volume&gt;&lt;/Details&gt;&lt;Extra&gt;&lt;DBUID&gt;{C818A046-6D8C-4B07-8765-4E05C48B46EA}&lt;/DBUID&gt;&lt;/Extra&gt;&lt;/Item&gt;&lt;/References&gt;&lt;/Group&gt;&lt;Group&gt;&lt;References&gt;&lt;Item&gt;&lt;ID&gt;4&lt;/ID&gt;&lt;UID&gt;{97D476FD-6EFA-4030-9767-895E68ECC74A}&lt;/UID&gt;&lt;Title&gt;Pregnancy: a &amp;quot;teachable moment&amp;quot; for weight control and obesity prevention&lt;/Title&gt;&lt;Template&gt;Journal Article&lt;/Template&gt;&lt;Star&gt;0&lt;/Star&gt;&lt;Tag&gt;0&lt;/Tag&gt;&lt;Author&gt;Phelan, S&lt;/Author&gt;&lt;Year&gt;2010&lt;/Year&gt;&lt;Details&gt;&lt;_accession_num&gt;19683692&lt;/_accession_num&gt;&lt;_author_adr&gt;Department of Kinesiology, California Polytechnic State University, San Luis  Obispo, CA 93407-0386, USA. sphelan@calpoly.edu&lt;/_author_adr&gt;&lt;_collection_scope&gt;SCI;SCIE&lt;/_collection_scope&gt;&lt;_created&gt;64733394&lt;/_created&gt;&lt;_date&gt;2010-02-01&lt;/_date&gt;&lt;_date_display&gt;2010 Feb&lt;/_date_display&gt;&lt;_doi&gt;10.1016/j.ajog.2009.06.008&lt;/_doi&gt;&lt;_impact_factor&gt;   8.661&lt;/_impact_factor&gt;&lt;_isbn&gt;1097-6868 (Electronic); 0002-9378 (Print); 0002-9378 (Linking)&lt;/_isbn&gt;&lt;_issue&gt;2&lt;/_issue&gt;&lt;_journal&gt;Am J Obstet Gynecol&lt;/_journal&gt;&lt;_language&gt;eng&lt;/_language&gt;&lt;_modified&gt;64734679&lt;/_modified&gt;&lt;_ori_publication&gt;Copyright 2010 Mosby, Inc. All rights reserved.&lt;/_ori_publication&gt;&lt;_pages&gt;135.e1-8&lt;/_pages&gt;&lt;_subject_headings&gt;Exercise; Female; Humans; Obesity/*prevention &amp;amp; control; Patient Education as Topic; Postpartum Period; Pregnancy; Pregnancy Complications/*prevention &amp;amp; control; Prenatal Care; *Weight Gain&lt;/_subject_headings&gt;&lt;_tertiary_title&gt;American journal of obstetrics and gynecology&lt;/_tertiary_title&gt;&lt;_type_work&gt;Journal Article; Research Support, N.I.H., Extramural&lt;/_type_work&gt;&lt;_url&gt;http://www.ncbi.nlm.nih.gov/entrez/query.fcgi?cmd=Retrieve&amp;amp;db=pubmed&amp;amp;dopt=Abstract&amp;amp;list_uids=19683692&amp;amp;query_hl=1&lt;/_url&gt;&lt;_volume&gt;202&lt;/_volume&gt;&lt;/Details&gt;&lt;Extra&gt;&lt;DBUID&gt;{C818A046-6D8C-4B07-8765-4E05C48B46EA}&lt;/DBUID&gt;&lt;/Extra&gt;&lt;/Item&gt;&lt;/References&gt;&lt;/Group&gt;&lt;Group&gt;&lt;References&gt;&lt;Item&gt;&lt;ID&gt;5&lt;/ID&gt;&lt;UID&gt;{7DFA100E-712F-43A4-BB4F-02482AAA5DA8}&lt;/UID&gt;&lt;Title&gt;Postpartum weight retention risk factors and relationship to obesity at 1 year&lt;/Title&gt;&lt;Template&gt;Journal Article&lt;/Template&gt;&lt;Star&gt;0&lt;/Star&gt;&lt;Tag&gt;0&lt;/Tag&gt;&lt;Author&gt;Endres, L K; Straub, H; McKinney, C; Plunkett, B; Minkovitz, C S; Schetter, C D; Ramey, S; Wang, C; Hobel, C; Raju, T; Shalowitz, M U&lt;/Author&gt;&lt;Year&gt;2015&lt;/Year&gt;&lt;Details&gt;&lt;_accession_num&gt;25560116&lt;/_accession_num&gt;&lt;_author_adr&gt;Department of Obstetrics and Gynecology, NorthShore University HealthSystem,  Evanston, Illinois; the Department of Pediatrics, University of Chicago, Pritzker  School of Medicine, Chicago, Illinois; the Bloomberg School of Public Health,  Johns Hopkins University, Baltimore, Maryland; the Department of Psychology,  University of California-Los Angeles, Los Angeles, California; Virginia  Polytechnical Institute and State University, Roanoke, Virginia; and the Eunice  Kennedy Shriver National Institute of Child Health and Human Development,  Bethesda, Maryland.&lt;/_author_adr&gt;&lt;_collection_scope&gt;SCI;SCIE&lt;/_collection_scope&gt;&lt;_created&gt;64733394&lt;/_created&gt;&lt;_date&gt;2015-01-01&lt;/_date&gt;&lt;_date_display&gt;2015 Jan&lt;/_date_display&gt;&lt;_doi&gt;10.1097/AOG.0000000000000565&lt;/_doi&gt;&lt;_impact_factor&gt;   7.661&lt;/_impact_factor&gt;&lt;_isbn&gt;1873-233X (Electronic); 0029-7844 (Print); 0029-7844 (Linking)&lt;/_isbn&gt;&lt;_issue&gt;1&lt;/_issue&gt;&lt;_journal&gt;Obstet Gynecol&lt;/_journal&gt;&lt;_language&gt;eng&lt;/_language&gt;&lt;_modified&gt;64734679&lt;/_modified&gt;&lt;_pages&gt;144-152&lt;/_pages&gt;&lt;_subject_headings&gt;Adult; Body Mass Index; Breast Feeding; Exercise; Female; Humans; Obesity/*epidemiology/ethnology; *Postpartum Period; Pregnancy/*physiology; Prospective Studies; Socioeconomic Factors; Time Factors; *Weight Gain; *Weight Loss; Young Adult&lt;/_subject_headings&gt;&lt;_tertiary_title&gt;Obstetrics and gynecology&lt;/_tertiary_title&gt;&lt;_type_work&gt;Journal Article; Research Support, N.I.H., Extramural&lt;/_type_work&gt;&lt;_url&gt;http://www.ncbi.nlm.nih.gov/entrez/query.fcgi?cmd=Retrieve&amp;amp;db=pubmed&amp;amp;dopt=Abstract&amp;amp;list_uids=25560116&amp;amp;query_hl=1&lt;/_url&gt;&lt;_volume&gt;125&lt;/_volume&gt;&lt;/Details&gt;&lt;Extra&gt;&lt;DBUID&gt;{C818A046-6D8C-4B07-8765-4E05C48B46EA}&lt;/DBUID&gt;&lt;/Extra&gt;&lt;/Item&gt;&lt;/References&gt;&lt;/Group&gt;&lt;/Citation&gt;_x000a_"/>
    <w:docVar w:name="NE.Ref{31727764-D78E-44B6-BC6A-AB8D2CFE583D}" w:val=" ADDIN NE.Ref.{31727764-D78E-44B6-BC6A-AB8D2CFE583D}&lt;Citation&gt;&lt;Group&gt;&lt;References&gt;&lt;Item&gt;&lt;ID&gt;3&lt;/ID&gt;&lt;UID&gt;{35D4BEDC-ED0A-4652-8B19-ECEC2869F844}&lt;/UID&gt;&lt;Title&gt;Epidemiology of gestational weight gain and body weight changes after pregnancy&lt;/Title&gt;&lt;Template&gt;Journal Article&lt;/Template&gt;&lt;Star&gt;0&lt;/Star&gt;&lt;Tag&gt;0&lt;/Tag&gt;&lt;Author&gt;Gunderson, E P; Abrams, B&lt;/Author&gt;&lt;Year&gt;2000&lt;/Year&gt;&lt;Details&gt;&lt;_accession_num&gt;11218377&lt;/_accession_num&gt;&lt;_author_adr&gt;Division of Public Health and Epidemiology, School of Public Health, University  of California, Berkeley, CA, USA. epg@dor.kaiser.org&lt;/_author_adr&gt;&lt;_collection_scope&gt;SCI;SCIE&lt;/_collection_scope&gt;&lt;_created&gt;64733389&lt;/_created&gt;&lt;_date&gt;2000-01-20&lt;/_date&gt;&lt;_date_display&gt;2000&lt;/_date_display&gt;&lt;_doi&gt;10.1093/oxfordjournals.epirev.a018038&lt;/_doi&gt;&lt;_impact_factor&gt;   6.222&lt;/_impact_factor&gt;&lt;_isbn&gt;0193-936X (Print); 0193-936X (Linking)&lt;/_isbn&gt;&lt;_issue&gt;2&lt;/_issue&gt;&lt;_journal&gt;Epidemiol Rev&lt;/_journal&gt;&lt;_language&gt;eng&lt;/_language&gt;&lt;_modified&gt;64734679&lt;/_modified&gt;&lt;_pages&gt;261-74&lt;/_pages&gt;&lt;_subject_headings&gt;Adolescent; Adult; Ethnicity; Female; Humans; Lactation; Obesity/economics/*epidemiology/etiology; *Postpartum Period; *Pregnancy; Pregnancy in Adolescence; Prevalence; Risk Factors; United States/epidemiology; *Weight Gain&lt;/_subject_headings&gt;&lt;_tertiary_title&gt;Epidemiologic reviews&lt;/_tertiary_title&gt;&lt;_type_work&gt;Journal Article; Research Support, Non-U.S. Gov&amp;apos;t; Research Support, U.S. Gov&amp;apos;t, Non-P.H.S.; Review&lt;/_type_work&gt;&lt;_url&gt;http://www.ncbi.nlm.nih.gov/entrez/query.fcgi?cmd=Retrieve&amp;amp;db=pubmed&amp;amp;dopt=Abstract&amp;amp;list_uids=11218377&amp;amp;query_hl=1&lt;/_url&gt;&lt;_volume&gt;22&lt;/_volume&gt;&lt;/Details&gt;&lt;Extra&gt;&lt;DBUID&gt;{C818A046-6D8C-4B07-8765-4E05C48B46EA}&lt;/DBUID&gt;&lt;/Extra&gt;&lt;/Item&gt;&lt;/References&gt;&lt;/Group&gt;&lt;Group&gt;&lt;References&gt;&lt;Item&gt;&lt;ID&gt;4&lt;/ID&gt;&lt;UID&gt;{97D476FD-6EFA-4030-9767-895E68ECC74A}&lt;/UID&gt;&lt;Title&gt;Pregnancy: a &amp;quot;teachable moment&amp;quot; for weight control and obesity prevention&lt;/Title&gt;&lt;Template&gt;Journal Article&lt;/Template&gt;&lt;Star&gt;0&lt;/Star&gt;&lt;Tag&gt;0&lt;/Tag&gt;&lt;Author&gt;Phelan, S&lt;/Author&gt;&lt;Year&gt;2010&lt;/Year&gt;&lt;Details&gt;&lt;_accession_num&gt;19683692&lt;/_accession_num&gt;&lt;_author_adr&gt;Department of Kinesiology, California Polytechnic State University, San Luis  Obispo, CA 93407-0386, USA. sphelan@calpoly.edu&lt;/_author_adr&gt;&lt;_collection_scope&gt;SCI;SCIE&lt;/_collection_scope&gt;&lt;_created&gt;64733394&lt;/_created&gt;&lt;_date&gt;2010-02-01&lt;/_date&gt;&lt;_date_display&gt;2010 Feb&lt;/_date_display&gt;&lt;_doi&gt;10.1016/j.ajog.2009.06.008&lt;/_doi&gt;&lt;_impact_factor&gt;   8.661&lt;/_impact_factor&gt;&lt;_isbn&gt;1097-6868 (Electronic); 0002-9378 (Print); 0002-9378 (Linking)&lt;/_isbn&gt;&lt;_issue&gt;2&lt;/_issue&gt;&lt;_journal&gt;Am J Obstet Gynecol&lt;/_journal&gt;&lt;_language&gt;eng&lt;/_language&gt;&lt;_modified&gt;64734679&lt;/_modified&gt;&lt;_ori_publication&gt;Copyright 2010 Mosby, Inc. All rights reserved.&lt;/_ori_publication&gt;&lt;_pages&gt;135.e1-8&lt;/_pages&gt;&lt;_subject_headings&gt;Exercise; Female; Humans; Obesity/*prevention &amp;amp; control; Patient Education as Topic; Postpartum Period; Pregnancy; Pregnancy Complications/*prevention &amp;amp; control; Prenatal Care; *Weight Gain&lt;/_subject_headings&gt;&lt;_tertiary_title&gt;American journal of obstetrics and gynecology&lt;/_tertiary_title&gt;&lt;_type_work&gt;Journal Article; Research Support, N.I.H., Extramural&lt;/_type_work&gt;&lt;_url&gt;http://www.ncbi.nlm.nih.gov/entrez/query.fcgi?cmd=Retrieve&amp;amp;db=pubmed&amp;amp;dopt=Abstract&amp;amp;list_uids=19683692&amp;amp;query_hl=1&lt;/_url&gt;&lt;_volume&gt;202&lt;/_volume&gt;&lt;/Details&gt;&lt;Extra&gt;&lt;DBUID&gt;{C818A046-6D8C-4B07-8765-4E05C48B46EA}&lt;/DBUID&gt;&lt;/Extra&gt;&lt;/Item&gt;&lt;/References&gt;&lt;/Group&gt;&lt;Group&gt;&lt;References&gt;&lt;Item&gt;&lt;ID&gt;5&lt;/ID&gt;&lt;UID&gt;{7DFA100E-712F-43A4-BB4F-02482AAA5DA8}&lt;/UID&gt;&lt;Title&gt;Postpartum weight retention risk factors and relationship to obesity at 1 year&lt;/Title&gt;&lt;Template&gt;Journal Article&lt;/Template&gt;&lt;Star&gt;0&lt;/Star&gt;&lt;Tag&gt;0&lt;/Tag&gt;&lt;Author&gt;Endres, L K; Straub, H; McKinney, C; Plunkett, B; Minkovitz, C S; Schetter, C D; Ramey, S; Wang, C; Hobel, C; Raju, T; Shalowitz, M U&lt;/Author&gt;&lt;Year&gt;2015&lt;/Year&gt;&lt;Details&gt;&lt;_accession_num&gt;25560116&lt;/_accession_num&gt;&lt;_author_adr&gt;Department of Obstetrics and Gynecology, NorthShore University HealthSystem,  Evanston, Illinois; the Department of Pediatrics, University of Chicago, Pritzker  School of Medicine, Chicago, Illinois; the Bloomberg School of Public Health,  Johns Hopkins University, Baltimore, Maryland; the Department of Psychology,  University of California-Los Angeles, Los Angeles, California; Virginia  Polytechnical Institute and State University, Roanoke, Virginia; and the Eunice  Kennedy Shriver National Institute of Child Health and Human Development,  Bethesda, Maryland.&lt;/_author_adr&gt;&lt;_collection_scope&gt;SCI;SCIE&lt;/_collection_scope&gt;&lt;_created&gt;64733394&lt;/_created&gt;&lt;_date&gt;2015-01-01&lt;/_date&gt;&lt;_date_display&gt;2015 Jan&lt;/_date_display&gt;&lt;_doi&gt;10.1097/AOG.0000000000000565&lt;/_doi&gt;&lt;_impact_factor&gt;   7.661&lt;/_impact_factor&gt;&lt;_isbn&gt;1873-233X (Electronic); 0029-7844 (Print); 0029-7844 (Linking)&lt;/_isbn&gt;&lt;_issue&gt;1&lt;/_issue&gt;&lt;_journal&gt;Obstet Gynecol&lt;/_journal&gt;&lt;_language&gt;eng&lt;/_language&gt;&lt;_modified&gt;64734679&lt;/_modified&gt;&lt;_pages&gt;144-152&lt;/_pages&gt;&lt;_subject_headings&gt;Adult; Body Mass Index; Breast Feeding; Exercise; Female; Humans; Obesity/*epidemiology/ethnology; *Postpartum Period; Pregnancy/*physiology; Prospective Studies; Socioeconomic Factors; Time Factors; *Weight Gain; *Weight Loss; Young Adult&lt;/_subject_headings&gt;&lt;_tertiary_title&gt;Obstetrics and gynecology&lt;/_tertiary_title&gt;&lt;_type_work&gt;Journal Article; Research Support, N.I.H., Extramural&lt;/_type_work&gt;&lt;_url&gt;http://www.ncbi.nlm.nih.gov/entrez/query.fcgi?cmd=Retrieve&amp;amp;db=pubmed&amp;amp;dopt=Abstract&amp;amp;list_uids=25560116&amp;amp;query_hl=1&lt;/_url&gt;&lt;_volume&gt;125&lt;/_volume&gt;&lt;/Details&gt;&lt;Extra&gt;&lt;DBUID&gt;{C818A046-6D8C-4B07-8765-4E05C48B46EA}&lt;/DBUID&gt;&lt;/Extra&gt;&lt;/Item&gt;&lt;/References&gt;&lt;/Group&gt;&lt;/Citation&gt;_x000a_"/>
    <w:docVar w:name="NE.Ref{320A79FA-7550-4780-B95F-1B0C05A36247}" w:val=" ADDIN NE.Ref.{320A79FA-7550-4780-B95F-1B0C05A36247}&lt;Citation&gt;&lt;Group&gt;&lt;References&gt;&lt;Item&gt;&lt;ID&gt;2&lt;/ID&gt;&lt;UID&gt;{A29ED86C-4B2C-4447-BA91-349449A57E1A}&lt;/UID&gt;&lt;Title&gt;Preconceptional and maternal obesity: epidemiology and health consequences&lt;/Title&gt;&lt;Template&gt;Journal Article&lt;/Template&gt;&lt;Star&gt;0&lt;/Star&gt;&lt;Tag&gt;0&lt;/Tag&gt;&lt;Author&gt;Poston, L; Caleyachetty, R; Cnattingius, S; Corvalán, C; Uauy, R; Herring, S; Gillman, M W&lt;/Author&gt;&lt;Year&gt;2016&lt;/Year&gt;&lt;Details&gt;&lt;_accession_num&gt;27743975&lt;/_accession_num&gt;&lt;_author_adr&gt;Division of Women&amp;apos;s Health, Faculty of Life Sciences and Medicine, King&amp;apos;s College  London, London, UK. Electronic address: lucilla.poston@kcl.ac.uk.; Institute of Applied Health Research, University of Birmingham, Birmingham, UK.; Department of Medicine Solna, Karolinska Universitetssjukhuset, Stockholm,  Sweden.; Institute of Nutrition and Food Technology, University of Chile, Santiago, Chile.; Division of Pediatrics, Faculty of Medicine, Pontifical Catholic University of  Chile, Santiago, Chile; Center for Obesity Research and Education, Departments of  Medicine and Public Health, Temple University, Philadelphia, PA, USA.; Center for Obesity Research and Education, Departments of Medicine and Public  Health, Temple University, Philadelphia, PA, USA.; Office of the Director, Environmental Influences on Child Health Outcomes (ECHO),  National Institutes of Health, Rockville, MD, USA.&lt;/_author_adr&gt;&lt;_created&gt;64733386&lt;/_created&gt;&lt;_date&gt;2016-12-01&lt;/_date&gt;&lt;_date_display&gt;2016 Dec&lt;/_date_display&gt;&lt;_doi&gt;10.1016/S2213-8587(16)30217-0&lt;/_doi&gt;&lt;_impact_factor&gt;  32.069&lt;/_impact_factor&gt;&lt;_isbn&gt;2213-8595 (Electronic); 2213-8587 (Linking)&lt;/_isbn&gt;&lt;_issue&gt;12&lt;/_issue&gt;&lt;_journal&gt;Lancet Diabetes Endocrinol&lt;/_journal&gt;&lt;_language&gt;eng&lt;/_language&gt;&lt;_modified&gt;64734679&lt;/_modified&gt;&lt;_ori_publication&gt;Copyright Â© 2016 Elsevier Ltd. All rights reserved.&lt;/_ori_publication&gt;&lt;_pages&gt;1025-1036&lt;/_pages&gt;&lt;_subject_headings&gt;Abortion, Spontaneous/etiology; Delivery, Obstetric; Female; Fertility; Humans; Obesity/complications/*epidemiology; Postpartum Period; Pregnancy; Pregnancy Complications/*epidemiology/etiology; Premature Birth/etiology; Prevalence&lt;/_subject_headings&gt;&lt;_tertiary_title&gt;The lancet. Diabetes &amp;amp; endocrinology&lt;/_tertiary_title&gt;&lt;_type_work&gt;Journal Article; Research Support, Non-U.S. Gov&amp;apos;t; Review&lt;/_type_work&gt;&lt;_url&gt;http://www.ncbi.nlm.nih.gov/entrez/query.fcgi?cmd=Retrieve&amp;amp;db=pubmed&amp;amp;dopt=Abstract&amp;amp;list_uids=27743975&amp;amp;query_hl=1&lt;/_url&gt;&lt;_volume&gt;4&lt;/_volume&gt;&lt;/Details&gt;&lt;Extra&gt;&lt;DBUID&gt;{C818A046-6D8C-4B07-8765-4E05C48B46EA}&lt;/DBUID&gt;&lt;/Extra&gt;&lt;/Item&gt;&lt;/References&gt;&lt;/Group&gt;&lt;/Citation&gt;_x000a_"/>
    <w:docVar w:name="NE.Ref{321D18C2-575A-4AFD-9DC1-AB5F7269C739}" w:val=" ADDIN NE.Ref.{321D18C2-575A-4AFD-9DC1-AB5F7269C739}&lt;Citation&gt;&lt;Group&gt;&lt;References&gt;&lt;Item&gt;&lt;ID&gt;564&lt;/ID&gt;&lt;UID&gt;{0E55DC3A-2CE4-4EAA-A1E0-085990F68E34}&lt;/UID&gt;&lt;Title&gt;Carotid intima-media thickness and plaque in cardiovascular risk assessment&lt;/Title&gt;&lt;Template&gt;Journal Article&lt;/Template&gt;&lt;Star&gt;1&lt;/Star&gt;&lt;Tag&gt;0&lt;/Tag&gt;&lt;Author&gt;Naqvi, T Z; Lee, M S&lt;/Author&gt;&lt;Year&gt;2014&lt;/Year&gt;&lt;Details&gt;&lt;_accession_num&gt;25051948&lt;/_accession_num&gt;&lt;_author_adr&gt;Echocardiography Laboratory, Mayo Clinic, Scottsdale, Arizona; Cardiac  Noninvasive Laboratories, Keck School of Medicine, University of Southern  California, Los Angeles, California. Electronic address: naqvi.tasneem@mayo.edu.; Cardiac Noninvasive Laboratories, Keck School of Medicine, University of Southern  California, Los Angeles, California.&lt;/_author_adr&gt;&lt;_created&gt;64551889&lt;/_created&gt;&lt;_date&gt;2014-10-01&lt;/_date&gt;&lt;_date_display&gt;2014 Oct&lt;/_date_display&gt;&lt;_doi&gt;10.1016/j.jcmg.2013.11.014&lt;/_doi&gt;&lt;_isbn&gt;1876-7591 (Electronic); 1876-7591 (Linking)&lt;/_isbn&gt;&lt;_issue&gt;10&lt;/_issue&gt;&lt;_journal&gt;JACC Cardiovasc Imaging&lt;/_journal&gt;&lt;_keywords&gt;cardiovascular risk; carotid artery; intima-media thickness; plaque; ultrasound&lt;/_keywords&gt;&lt;_language&gt;eng&lt;/_language&gt;&lt;_modified&gt;64552181&lt;/_modified&gt;&lt;_ori_publication&gt;Copyright © 2014 American College of Cardiology Foundation. Published by Elsevier _x000d__x000a_      Inc. All rights reserved.&lt;/_ori_publication&gt;&lt;_pages&gt;1025-38&lt;/_pages&gt;&lt;_subject_headings&gt;Cardiovascular Diseases/*epidemiology/*pathology; Carotid Artery, Common/diagnostic imaging/pathology; Carotid Artery, Internal/diagnostic imaging/pathology; *Carotid Intima-Media Thickness; Carotid Stenosis/pathology; Humans; Imaging, Three-Dimensional; Prognosis; Risk Assessment&lt;/_subject_headings&gt;&lt;_tertiary_title&gt;JACC. Cardiovascular imaging&lt;/_tertiary_title&gt;&lt;_type_work&gt;Journal Article; Research Support, Non-U.S. Gov&amp;apos;t; Review&lt;/_type_work&gt;&lt;_url&gt;http://www.ncbi.nlm.nih.gov/entrez/query.fcgi?cmd=Retrieve&amp;amp;db=pubmed&amp;amp;dopt=Abstract&amp;amp;list_uids=25051948&amp;amp;query_hl=1&lt;/_url&gt;&lt;_volume&gt;7&lt;/_volume&gt;&lt;/Details&gt;&lt;Extra&gt;&lt;DBUID&gt;{F96A950B-833F-4880-A151-76DA2D6A2879}&lt;/DBUID&gt;&lt;/Extra&gt;&lt;/Item&gt;&lt;/References&gt;&lt;/Group&gt;&lt;/Citation&gt;_x000a_"/>
    <w:docVar w:name="NE.Ref{37CFF4CC-7032-4721-924C-1A4215AC6607}" w:val=" ADDIN NE.Ref.{37CFF4CC-7032-4721-924C-1A4215AC6607}&lt;Citation&gt;&lt;Group&gt;&lt;References&gt;&lt;Item&gt;&lt;ID&gt;560&lt;/ID&gt;&lt;UID&gt;{66526E20-2D19-4B97-A6C4-0CFDF2223FAD}&lt;/UID&gt;&lt;Title&gt;Maternal weight change from prepregnancy to 18 months postpartum and subsequent  risk of hypertension and cardiovascular disease in Danish women: A cohort study&lt;/Title&gt;&lt;Template&gt;Journal Article&lt;/Template&gt;&lt;Star&gt;0&lt;/Star&gt;&lt;Tag&gt;0&lt;/Tag&gt;&lt;Author&gt;Kirkegaard, H; Bliddal, M; Støvring, H; Rasmussen, K M; Gunderson, E P; Køber, L; Sørensen, TIA; Nøhr, E A&lt;/Author&gt;&lt;Year&gt;2021&lt;/Year&gt;&lt;Details&gt;&lt;_accession_num&gt;33798198&lt;/_accession_num&gt;&lt;_author_adr&gt;Research Unit of Obstetrics and Gynecology, Department of Clinical Research,  University of Southern Denmark, Odense, Denmark.; Open Patient Data Explorative Network (OPEN), Department of Clinical Research,  University of Southern Denmark and Odense University Hospital, Odense, Denmark.; Open Patient Data Explorative Network (OPEN), Department of Clinical Research,  University of Southern Denmark and Odense University Hospital, Odense, Denmark.; Department of Public Health, Biostatistics, Aarhus University, Aarhus, Denmark.; Division of Nutritional Sciences, Cornell University, Ithaca, New York, United  States of America.; Division of Research, Cardiovascular and Metabolic Conditions Section, Kaiser  Permanente Northern California, Oakland, California, United States of America.; Department of Cardiology, Rigshospitalet, University Hospital, Copenhagen,  Denmark.; Novo Nordisk Foundation Center for Basic Metabolic Research and Department of  Public Health, Faculty of Health and Medical Sciences, University of Copenhagen,  Copenhagen, Denmark.; Research Unit of Obstetrics and Gynecology, Department of Clinical Research,  University of Southern Denmark, Odense, Denmark.; Department of Gynecology and Obstetrics, Odense University Hospital, Odense,  Denmark.&lt;/_author_adr&gt;&lt;_collection_scope&gt;SCIE&lt;/_collection_scope&gt;&lt;_created&gt;64530234&lt;/_created&gt;&lt;_date&gt;2021-04-01&lt;/_date&gt;&lt;_date_display&gt;2021 Apr&lt;/_date_display&gt;&lt;_doi&gt;10.1371/journal.pmed.1003486&lt;/_doi&gt;&lt;_impact_factor&gt;  11.069&lt;/_impact_factor&gt;&lt;_isbn&gt;1549-1676 (Electronic); 1549-1277 (Print); 1549-1277 (Linking)&lt;/_isbn&gt;&lt;_issue&gt;4&lt;/_issue&gt;&lt;_journal&gt;PLoS Med&lt;/_journal&gt;&lt;_language&gt;eng&lt;/_language&gt;&lt;_modified&gt;64530234&lt;/_modified&gt;&lt;_pages&gt;e1003486&lt;/_pages&gt;&lt;_subject_headings&gt;Adult; Cardiovascular Diseases/*epidemiology/etiology; Cohort Studies; Denmark/epidemiology; Female; Humans; Hypertension/epidemiology/etiology; Middle Aged; Obesity/epidemiology/etiology; Overweight/*epidemiology/etiology; Postpartum Period/*physiology; Pregnancy; Pregnancy Complications/*epidemiology/etiology; Risk Factors; Thinness/*epidemiology/etiology; *Weight Gain; Young Adult&lt;/_subject_headings&gt;&lt;_tertiary_title&gt;PLoS medicine&lt;/_tertiary_title&gt;&lt;_type_work&gt;Journal Article; Research Support, Non-U.S. Gov&amp;apos;t&lt;/_type_work&gt;&lt;_url&gt;http://www.ncbi.nlm.nih.gov/entrez/query.fcgi?cmd=Retrieve&amp;amp;db=pubmed&amp;amp;dopt=Abstract&amp;amp;list_uids=33798198&amp;amp;query_hl=1&lt;/_url&gt;&lt;_volume&gt;18&lt;/_volume&gt;&lt;/Details&gt;&lt;Extra&gt;&lt;DBUID&gt;{F96A950B-833F-4880-A151-76DA2D6A2879}&lt;/DBUID&gt;&lt;/Extra&gt;&lt;/Item&gt;&lt;/References&gt;&lt;/Group&gt;&lt;Group&gt;&lt;References&gt;&lt;Item&gt;&lt;ID&gt;563&lt;/ID&gt;&lt;UID&gt;{7F5FBE18-F4D2-4EBC-9216-F8B8F3123695}&lt;/UID&gt;&lt;Title&gt;Weight Trajectories After Delivery are Associated with Adiposity and  Cardiometabolic Markers at 3 Years Postpartum Among Women in Project Viva&lt;/Title&gt;&lt;Template&gt;Journal Article&lt;/Template&gt;&lt;Star&gt;0&lt;/Star&gt;&lt;Tag&gt;0&lt;/Tag&gt;&lt;Author&gt;Soria-Contreras, D C; Rifas-Shiman, S L; Aris, I M; Perng, W; Switkowski, K M; Téllez-Rojo, M M; Trejo-Valdivia, B; López-Ridaura, R; Oken, E&lt;/Author&gt;&lt;Year&gt;2020&lt;/Year&gt;&lt;Details&gt;&lt;_accession_num&gt;32321175&lt;/_accession_num&gt;&lt;_author_adr&gt;Center for Nutrition and Health Research, National Institute of Public Health,  Cuernavaca, Morelos, Mexico.; Division of Chronic Disease Research Across the Lifecourse, Department of  Population Medicine, Harvard Medical School, and Harvard Pilgrim Health Care  Institute, Boston, MA, USA.; Division of Chronic Disease Research Across the Lifecourse, Department of  Population Medicine, Harvard Medical School, and Harvard Pilgrim Health Care  Institute, Boston, MA, USA.; Department of Obstetrics and Gynecology, Yong Loo Lin School of Medicine,  National University of Singapore, Singapore.; Agency for Science, Technology and Research, Singapore Institute for Clinical  Sciences, Singapore.; Department of Epidemiology, Colorado School of Public Health, University of  Colorado Denver, Anschutz Medical Campus, Aurora, CO, USA.; Lifecourse Epidemiology of Adiposity and Diabetes (LEAD) Center, Colorado School  of Public Health, University of Colorado Denver, Anschutz Medical Campus, Aurora,  CO, USA.; Division of Chronic Disease Research Across the Lifecourse, Department of  Population Medicine, Harvard Medical School, and Harvard Pilgrim Health Care  Institute, Boston, MA, USA.; Center for Nutrition and Health Research, National Institute of Public Health,  Cuernavaca, Morelos, Mexico.; Center for Nutrition and Health Research, National Institute of Public Health,  Cuernavaca, Morelos, Mexico.; Center for Population Health Research, National Institute of Public Health,  Cuernavaca, Morelos, Mexico.; Division of Chronic Disease Research Across the Lifecourse, Department of  Population Medicine, Harvard Medical School, and Harvard Pilgrim Health Care  Institute, Boston, MA, USA.; Department of Nutrition, Harvard T.H. Chan School of Public Health, Boston, MA,  USA.&lt;/_author_adr&gt;&lt;_collection_scope&gt;SCI;SCIE&lt;/_collection_scope&gt;&lt;_created&gt;64536094&lt;/_created&gt;&lt;_date&gt;2020-07-01&lt;/_date&gt;&lt;_date_display&gt;2020 Jul 1&lt;/_date_display&gt;&lt;_doi&gt;10.1093/jn/nxaa104&lt;/_doi&gt;&lt;_impact_factor&gt;   4.798&lt;/_impact_factor&gt;&lt;_isbn&gt;1541-6100 (Electronic); 0022-3166 (Print); 0022-3166 (Linking)&lt;/_isbn&gt;&lt;_issue&gt;7&lt;/_issue&gt;&lt;_journal&gt;J Nutr&lt;/_journal&gt;&lt;_keywords&gt;Project Viva; adiposity; cardiovascular risk factors; diet; gestational weight gain; postpartum weight change; postpartum weight trajectories; pre-pregnancy BMI&lt;/_keywords&gt;&lt;_language&gt;eng&lt;/_language&gt;&lt;_modified&gt;64536094&lt;/_modified&gt;&lt;_ori_publication&gt;Copyright © The Author(s) on behalf of the American Society for Nutrition 2020.&lt;/_ori_publication&gt;&lt;_pages&gt;1889-1898&lt;/_pages&gt;&lt;_subject_headings&gt;*Adiposity; Adult; Biomarkers/blood; Cardiovascular Diseases/*blood; Diet; Female; Humans; Metabolic Diseases/*blood; *Postpartum Period; Pregnancy; Weight Gain; Weight Loss&lt;/_subject_headings&gt;&lt;_tertiary_title&gt;The Journal of nutrition&lt;/_tertiary_title&gt;&lt;_type_work&gt;Journal Article; Research Support, N.I.H., Extramural&lt;/_type_work&gt;&lt;_url&gt;http://www.ncbi.nlm.nih.gov/entrez/query.fcgi?cmd=Retrieve&amp;amp;db=pubmed&amp;amp;dopt=Abstract&amp;amp;list_uids=32321175&amp;amp;query_hl=1&lt;/_url&gt;&lt;_volume&gt;150&lt;/_volume&gt;&lt;/Details&gt;&lt;Extra&gt;&lt;DBUID&gt;{F96A950B-833F-4880-A151-76DA2D6A2879}&lt;/DBUID&gt;&lt;/Extra&gt;&lt;/Item&gt;&lt;/References&gt;&lt;/Group&gt;&lt;/Citation&gt;_x000a_"/>
    <w:docVar w:name="NE.Ref{3C2484A6-1086-4595-8EE3-283468035C42}" w:val=" ADDIN NE.Ref.{3C2484A6-1086-4595-8EE3-283468035C42}"/>
    <w:docVar w:name="NE.Ref{3D93851B-05EB-4700-AF1F-7DB29454D21D}" w:val=" ADDIN NE.Ref.{3D93851B-05EB-4700-AF1F-7DB29454D21D}&lt;Citation&gt;&lt;Group&gt;&lt;References&gt;&lt;Item&gt;&lt;ID&gt;16&lt;/ID&gt;&lt;UID&gt;{7D0F4671-530A-4321-9D3D-CBF584A4CE98}&lt;/UID&gt;&lt;Title&gt;Maternal weight change from prepregnancy to 18 months postpartum and subsequent  risk of hypertension and cardiovascular disease in Danish women: A cohort study&lt;/Title&gt;&lt;Template&gt;Journal Article&lt;/Template&gt;&lt;Star&gt;0&lt;/Star&gt;&lt;Tag&gt;0&lt;/Tag&gt;&lt;Author&gt;Kirkegaard, H; Bliddal, M; Støvring, H; Rasmussen, K M; Gunderson, E P; Køber, L; Sørensen, TIA; Nøhr, E A&lt;/Author&gt;&lt;Year&gt;2021&lt;/Year&gt;&lt;Details&gt;&lt;_accession_num&gt;33798198&lt;/_accession_num&gt;&lt;_author_adr&gt;Research Unit of Obstetrics and Gynecology, Department of Clinical Research,  University of Southern Denmark, Odense, Denmark.; Open Patient Data Explorative Network (OPEN), Department of Clinical Research,  University of Southern Denmark and Odense University Hospital, Odense, Denmark.; Open Patient Data Explorative Network (OPEN), Department of Clinical Research,  University of Southern Denmark and Odense University Hospital, Odense, Denmark.; Department of Public Health, Biostatistics, Aarhus University, Aarhus, Denmark.; Division of Nutritional Sciences, Cornell University, Ithaca, New York, United  States of America.; Division of Research, Cardiovascular and Metabolic Conditions Section, Kaiser  Permanente Northern California, Oakland, California, United States of America.; Department of Cardiology, Rigshospitalet, University Hospital, Copenhagen,  Denmark.; Novo Nordisk Foundation Center for Basic Metabolic Research and Department of  Public Health, Faculty of Health and Medical Sciences, University of Copenhagen,  Copenhagen, Denmark.; Research Unit of Obstetrics and Gynecology, Department of Clinical Research,  University of Southern Denmark, Odense, Denmark.; Department of Gynecology and Obstetrics, Odense University Hospital, Odense,  Denmark.&lt;/_author_adr&gt;&lt;_collection_scope&gt;SCIE&lt;/_collection_scope&gt;&lt;_created&gt;64733397&lt;/_created&gt;&lt;_date&gt;2021-04-01&lt;/_date&gt;&lt;_date_display&gt;2021 Apr&lt;/_date_display&gt;&lt;_doi&gt;10.1371/journal.pmed.1003486&lt;/_doi&gt;&lt;_impact_factor&gt;  11.069&lt;/_impact_factor&gt;&lt;_isbn&gt;1549-1676 (Electronic); 1549-1277 (Print); 1549-1277 (Linking)&lt;/_isbn&gt;&lt;_issue&gt;4&lt;/_issue&gt;&lt;_journal&gt;PLoS Med&lt;/_journal&gt;&lt;_language&gt;eng&lt;/_language&gt;&lt;_modified&gt;64734679&lt;/_modified&gt;&lt;_pages&gt;e1003486&lt;/_pages&gt;&lt;_subject_headings&gt;Adult; Cardiovascular Diseases/*epidemiology/etiology; Cohort Studies; Denmark/epidemiology; Female; Humans; Hypertension/epidemiology/etiology; Middle Aged; Obesity/epidemiology/etiology; Overweight/*epidemiology/etiology; Postpartum Period/*physiology; Pregnancy; Pregnancy Complications/*epidemiology/etiology; Risk Factors; Thinness/*epidemiology/etiology; *Weight Gain; Young Adult&lt;/_subject_headings&gt;&lt;_tertiary_title&gt;PLoS medicine&lt;/_tertiary_title&gt;&lt;_type_work&gt;Journal Article; Research Support, Non-U.S. Gov&amp;apos;t&lt;/_type_work&gt;&lt;_url&gt;http://www.ncbi.nlm.nih.gov/entrez/query.fcgi?cmd=Retrieve&amp;amp;db=pubmed&amp;amp;dopt=Abstract&amp;amp;list_uids=33798198&amp;amp;query_hl=1&lt;/_url&gt;&lt;_volume&gt;18&lt;/_volume&gt;&lt;/Details&gt;&lt;Extra&gt;&lt;DBUID&gt;{C818A046-6D8C-4B07-8765-4E05C48B46EA}&lt;/DBUID&gt;&lt;/Extra&gt;&lt;/Item&gt;&lt;/References&gt;&lt;/Group&gt;&lt;Group&gt;&lt;References&gt;&lt;Item&gt;&lt;ID&gt;17&lt;/ID&gt;&lt;UID&gt;{DD6B72E4-DA0C-40E2-AE8C-699E2DF839D3}&lt;/UID&gt;&lt;Title&gt;Weight Trajectories After Delivery are Associated with Adiposity and  Cardiometabolic Markers at 3 Years Postpartum Among Women in Project Viva&lt;/Title&gt;&lt;Template&gt;Journal Article&lt;/Template&gt;&lt;Star&gt;0&lt;/Star&gt;&lt;Tag&gt;0&lt;/Tag&gt;&lt;Author&gt;Soria-Contreras, D C; Rifas-Shiman, S L; Aris, I M; Perng, W; Switkowski, K M; Téllez-Rojo, M M; Trejo-Valdivia, B; López-Ridaura, R; Oken, E&lt;/Author&gt;&lt;Year&gt;2020&lt;/Year&gt;&lt;Details&gt;&lt;_accession_num&gt;32321175&lt;/_accession_num&gt;&lt;_author_adr&gt;Center for Nutrition and Health Research, National Institute of Public Health,  Cuernavaca, Morelos, Mexico.; Division of Chronic Disease Research Across the Lifecourse, Department of  Population Medicine, Harvard Medical School, and Harvard Pilgrim Health Care  Institute, Boston, MA, USA.; Division of Chronic Disease Research Across the Lifecourse, Department of  Population Medicine, Harvard Medical School, and Harvard Pilgrim Health Care  Institute, Boston, MA, USA.; Department of Obstetrics and Gynecology, Yong Loo Lin School of Medicine,  National University of Singapore, Singapore.; Agency for Science, Technology and Research, Singapore Institute for Clinical  Sciences, Singapore.; Department of Epidemiology, Colorado School of Public Health, University of  Colorado Denver, Anschutz Medical Campus, Aurora, CO, USA.; Lifecourse Epidemiology of Adiposity and Diabetes (LEAD) Center, Colorado School  of Public Health, University of Colorado Denver, Anschutz Medical Campus, Aurora,  CO, USA.; Division of Chronic Disease Research Across the Lifecourse, Department of  Population Medicine, Harvard Medical School, and Harvard Pilgrim Health Care  Institute, Boston, MA, USA.; Center for Nutrition and Health Research, National Institute of Public Health,  Cuernavaca, Morelos, Mexico.; Center for Nutrition and Health Research, National Institute of Public Health,  Cuernavaca, Morelos, Mexico.; Center for Population Health Research, National Institute of Public Health,  Cuernavaca, Morelos, Mexico.; Division of Chronic Disease Research Across the Lifecourse, Department of  Population Medicine, Harvard Medical School, and Harvard Pilgrim Health Care  Institute, Boston, MA, USA.; Department of Nutrition, Harvard T.H. Chan School of Public Health, Boston, MA,  USA.&lt;/_author_adr&gt;&lt;_collection_scope&gt;SCI;SCIE&lt;/_collection_scope&gt;&lt;_created&gt;64733397&lt;/_created&gt;&lt;_date&gt;2020-07-01&lt;/_date&gt;&lt;_date_display&gt;2020 Jul 1&lt;/_date_display&gt;&lt;_doi&gt;10.1093/jn/nxaa104&lt;/_doi&gt;&lt;_impact_factor&gt;   4.798&lt;/_impact_factor&gt;&lt;_isbn&gt;1541-6100 (Electronic); 0022-3166 (Print); 0022-3166 (Linking)&lt;/_isbn&gt;&lt;_issue&gt;7&lt;/_issue&gt;&lt;_journal&gt;J Nutr&lt;/_journal&gt;&lt;_keywords&gt;Project Viva; adiposity; cardiovascular risk factors; diet; gestational weight gain; postpartum weight change; postpartum weight trajectories; pre-pregnancy BMI&lt;/_keywords&gt;&lt;_language&gt;eng&lt;/_language&gt;&lt;_modified&gt;64734679&lt;/_modified&gt;&lt;_ori_publication&gt;Copyright © The Author(s) on behalf of the American Society for Nutrition 2020.&lt;/_ori_publication&gt;&lt;_pages&gt;1889-1898&lt;/_pages&gt;&lt;_subject_headings&gt;*Adiposity; Adult; Biomarkers/blood; Cardiovascular Diseases/*blood; Diet; Female; Humans; Metabolic Diseases/*blood; *Postpartum Period; Pregnancy; Weight Gain; Weight Loss&lt;/_subject_headings&gt;&lt;_tertiary_title&gt;The Journal of nutrition&lt;/_tertiary_title&gt;&lt;_type_work&gt;Journal Article; Research Support, N.I.H., Extramural&lt;/_type_work&gt;&lt;_url&gt;http://www.ncbi.nlm.nih.gov/entrez/query.fcgi?cmd=Retrieve&amp;amp;db=pubmed&amp;amp;dopt=Abstract&amp;amp;list_uids=32321175&amp;amp;query_hl=1&lt;/_url&gt;&lt;_volume&gt;150&lt;/_volume&gt;&lt;/Details&gt;&lt;Extra&gt;&lt;DBUID&gt;{C818A046-6D8C-4B07-8765-4E05C48B46EA}&lt;/DBUID&gt;&lt;/Extra&gt;&lt;/Item&gt;&lt;/References&gt;&lt;/Group&gt;&lt;/Citation&gt;_x000a_"/>
    <w:docVar w:name="NE.Ref{3DEC3DE2-61F8-4BEA-9668-B9B0427D7F6B}" w:val=" ADDIN NE.Ref.{3DEC3DE2-61F8-4BEA-9668-B9B0427D7F6B}&lt;Citation&gt;&lt;Group&gt;&lt;References&gt;&lt;Item&gt;&lt;ID&gt;2&lt;/ID&gt;&lt;UID&gt;{A29ED86C-4B2C-4447-BA91-349449A57E1A}&lt;/UID&gt;&lt;Title&gt;Preconceptional and maternal obesity: epidemiology and health consequences&lt;/Title&gt;&lt;Template&gt;Journal Article&lt;/Template&gt;&lt;Star&gt;0&lt;/Star&gt;&lt;Tag&gt;0&lt;/Tag&gt;&lt;Author&gt;Poston, L; Caleyachetty, R; Cnattingius, S; Corvalán, C; Uauy, R; Herring, S; Gillman, M W&lt;/Author&gt;&lt;Year&gt;2016&lt;/Year&gt;&lt;Details&gt;&lt;_accession_num&gt;27743975&lt;/_accession_num&gt;&lt;_author_adr&gt;Division of Women&amp;apos;s Health, Faculty of Life Sciences and Medicine, King&amp;apos;s College  London, London, UK. Electronic address: lucilla.poston@kcl.ac.uk.; Institute of Applied Health Research, University of Birmingham, Birmingham, UK.; Department of Medicine Solna, Karolinska Universitetssjukhuset, Stockholm,  Sweden.; Institute of Nutrition and Food Technology, University of Chile, Santiago, Chile.; Division of Pediatrics, Faculty of Medicine, Pontifical Catholic University of  Chile, Santiago, Chile; Center for Obesity Research and Education, Departments of  Medicine and Public Health, Temple University, Philadelphia, PA, USA.; Center for Obesity Research and Education, Departments of Medicine and Public  Health, Temple University, Philadelphia, PA, USA.; Office of the Director, Environmental Influences on Child Health Outcomes (ECHO),  National Institutes of Health, Rockville, MD, USA.&lt;/_author_adr&gt;&lt;_created&gt;64733386&lt;/_created&gt;&lt;_date&gt;2016-12-01&lt;/_date&gt;&lt;_date_display&gt;2016 Dec&lt;/_date_display&gt;&lt;_doi&gt;10.1016/S2213-8587(16)30217-0&lt;/_doi&gt;&lt;_impact_factor&gt;  32.069&lt;/_impact_factor&gt;&lt;_isbn&gt;2213-8595 (Electronic); 2213-8587 (Linking)&lt;/_isbn&gt;&lt;_issue&gt;12&lt;/_issue&gt;&lt;_journal&gt;Lancet Diabetes Endocrinol&lt;/_journal&gt;&lt;_language&gt;eng&lt;/_language&gt;&lt;_modified&gt;64734679&lt;/_modified&gt;&lt;_ori_publication&gt;Copyright Â© 2016 Elsevier Ltd. All rights reserved.&lt;/_ori_publication&gt;&lt;_pages&gt;1025-1036&lt;/_pages&gt;&lt;_subject_headings&gt;Abortion, Spontaneous/etiology; Delivery, Obstetric; Female; Fertility; Humans; Obesity/complications/*epidemiology; Postpartum Period; Pregnancy; Pregnancy Complications/*epidemiology/etiology; Premature Birth/etiology; Prevalence&lt;/_subject_headings&gt;&lt;_tertiary_title&gt;The lancet. Diabetes &amp;amp; endocrinology&lt;/_tertiary_title&gt;&lt;_type_work&gt;Journal Article; Research Support, Non-U.S. Gov&amp;apos;t; Review&lt;/_type_work&gt;&lt;_url&gt;http://www.ncbi.nlm.nih.gov/entrez/query.fcgi?cmd=Retrieve&amp;amp;db=pubmed&amp;amp;dopt=Abstract&amp;amp;list_uids=27743975&amp;amp;query_hl=1&lt;/_url&gt;&lt;_volume&gt;4&lt;/_volume&gt;&lt;/Details&gt;&lt;Extra&gt;&lt;DBUID&gt;{C818A046-6D8C-4B07-8765-4E05C48B46EA}&lt;/DBUID&gt;&lt;/Extra&gt;&lt;/Item&gt;&lt;/References&gt;&lt;/Group&gt;&lt;/Citation&gt;_x000a_"/>
    <w:docVar w:name="NE.Ref{3E59FC96-CAEF-425B-8086-317A314BE40C}" w:val=" ADDIN NE.Ref.{3E59FC96-CAEF-425B-8086-317A314BE40C}&lt;Citation&gt;&lt;Group&gt;&lt;References&gt;&lt;Item&gt;&lt;ID&gt;604&lt;/ID&gt;&lt;UID&gt;{8A458652-AAE2-4AF1-B29E-492B046D4A0B}&lt;/UID&gt;&lt;Title&gt;BMI and obesity trends in Chinese national survey data&lt;/Title&gt;&lt;Template&gt;Journal Article&lt;/Template&gt;&lt;Star&gt;0&lt;/Star&gt;&lt;Tag&gt;0&lt;/Tag&gt;&lt;Author&gt;Flegal, K M&lt;/Author&gt;&lt;Year&gt;2021&lt;/Year&gt;&lt;Details&gt;&lt;_accession_num&gt;34217400&lt;/_accession_num&gt;&lt;_author_adr&gt;Stanford Prevention Research Center, Stanford University School of Medicine,  Stanford, CA 94305-5411, USA. Electronic address: kmflegal@stanford.edu.&lt;/_author_adr&gt;&lt;_collection_scope&gt;SCI;SCIE&lt;/_collection_scope&gt;&lt;_created&gt;64665620&lt;/_created&gt;&lt;_date&gt;2021-07-03&lt;/_date&gt;&lt;_date_display&gt;2021 Jul 3&lt;/_date_display&gt;&lt;_doi&gt;10.1016/S0140-6736(21)00892-8&lt;/_doi&gt;&lt;_impact_factor&gt;  79.323&lt;/_impact_factor&gt;&lt;_isbn&gt;1474-547X (Electronic); 0140-6736 (Linking)&lt;/_isbn&gt;&lt;_issue&gt;10294&lt;/_issue&gt;&lt;_journal&gt;Lancet&lt;/_journal&gt;&lt;_language&gt;eng&lt;/_language&gt;&lt;_modified&gt;64665620&lt;/_modified&gt;&lt;_pages&gt;5-7&lt;/_pages&gt;&lt;_subject_headings&gt;Asian People; Body Mass Index; China/epidemiology; Humans; *Obesity/epidemiology; *Overweight&lt;/_subject_headings&gt;&lt;_tertiary_title&gt;Lancet (London, England)&lt;/_tertiary_title&gt;&lt;_type_work&gt;Comment; Journal Article&lt;/_type_work&gt;&lt;_url&gt;http://www.ncbi.nlm.nih.gov/entrez/query.fcgi?cmd=Retrieve&amp;amp;db=pubmed&amp;amp;dopt=Abstract&amp;amp;list_uids=34217400&amp;amp;query_hl=1&lt;/_url&gt;&lt;_volume&gt;398&lt;/_volume&gt;&lt;/Details&gt;&lt;Extra&gt;&lt;DBUID&gt;{F96A950B-833F-4880-A151-76DA2D6A2879}&lt;/DBUID&gt;&lt;/Extra&gt;&lt;/Item&gt;&lt;/References&gt;&lt;/Group&gt;&lt;Group&gt;&lt;References&gt;&lt;Item&gt;&lt;ID&gt;605&lt;/ID&gt;&lt;UID&gt;{28899BC4-75F4-4FEC-A858-E6FFBF91612C}&lt;/UID&gt;&lt;Title&gt;Appropriate body-mass index for Asian populations and its implications for policy  and intervention strategies&lt;/Title&gt;&lt;Template&gt;Journal Article&lt;/Template&gt;&lt;Star&gt;0&lt;/Star&gt;&lt;Tag&gt;0&lt;/Tag&gt;&lt;Author/&gt;&lt;Year&gt;2004&lt;/Year&gt;&lt;Details&gt;&lt;_accession_num&gt;14726171&lt;/_accession_num&gt;&lt;_collection_scope&gt;SCI;SCIE&lt;/_collection_scope&gt;&lt;_created&gt;64665621&lt;/_created&gt;&lt;_date&gt;2004-01-10&lt;/_date&gt;&lt;_date_display&gt;2004 Jan 10&lt;/_date_display&gt;&lt;_doi&gt;10.1016/S0140-6736(03)15268-3&lt;/_doi&gt;&lt;_impact_factor&gt;  79.323&lt;/_impact_factor&gt;&lt;_isbn&gt;1474-547X (Electronic); 0140-6736 (Linking)&lt;/_isbn&gt;&lt;_issue&gt;9403&lt;/_issue&gt;&lt;_journal&gt;Lancet&lt;/_journal&gt;&lt;_language&gt;eng&lt;/_language&gt;&lt;_modified&gt;64665621&lt;/_modified&gt;&lt;_pages&gt;157-63&lt;/_pages&gt;&lt;_subject_headings&gt;Absorptiometry, Photon/methods/standards; Anthropometry/methods; Asian People/*classification/statistics &amp;amp; numerical data; *Body Mass Index; *Body Weight/ethnology; Consultants/statistics &amp;amp; numerical data; Densitometry/methods/standards; Deuterium Oxide; Health Policy; Humans; Obesity/*classification/diagnosis/ethnology; Reference Values; Reproducibility of Results; Risk Factors; World Health Organization&lt;/_subject_headings&gt;&lt;_tertiary_title&gt;Lancet (London, England)&lt;/_tertiary_title&gt;&lt;_type_work&gt;Journal Article; Research Support, Non-U.S. Gov&amp;apos;t; Review&lt;/_type_work&gt;&lt;_url&gt;http://www.ncbi.nlm.nih.gov/entrez/query.fcgi?cmd=Retrieve&amp;amp;db=pubmed&amp;amp;dopt=Abstract&amp;amp;list_uids=14726171&amp;amp;query_hl=1&lt;/_url&gt;&lt;_volume&gt;363&lt;/_volume&gt;&lt;/Details&gt;&lt;Extra&gt;&lt;DBUID&gt;{F96A950B-833F-4880-A151-76DA2D6A2879}&lt;/DBUID&gt;&lt;/Extra&gt;&lt;/Item&gt;&lt;/References&gt;&lt;/Group&gt;&lt;Group&gt;&lt;References&gt;&lt;Item&gt;&lt;ID&gt;606&lt;/ID&gt;&lt;UID&gt;{64F8C0F4-C1C3-406F-ACC9-8E7AECF82C74}&lt;/UID&gt;&lt;Title&gt;中国肥胖问题工作组.中国成人超重和肥胖症预防与控制指南(节录)&lt;/Title&gt;&lt;Template&gt;Journal Article&lt;/Template&gt;&lt;Star&gt;0&lt;/Star&gt;&lt;Tag&gt;0&lt;/Tag&gt;&lt;Author/&gt;&lt;Year&gt;0&lt;/Year&gt;&lt;Details&gt;&lt;_accessed&gt;64665637&lt;/_accessed&gt;&lt;_created&gt;64665634&lt;/_created&gt;&lt;_db_provider&gt;CNKI&lt;/_db_provider&gt;&lt;_modified&gt;64665642&lt;/_modified&gt;&lt;/Details&gt;&lt;Extra&gt;&lt;DBUID&gt;{F96A950B-833F-4880-A151-76DA2D6A2879}&lt;/DBUID&gt;&lt;/Extra&gt;&lt;/Item&gt;&lt;/References&gt;&lt;/Group&gt;&lt;/Citation&gt;_x000a_"/>
    <w:docVar w:name="NE.Ref{3EDC51C4-B8FC-436A-9432-2DB99C9D28E9}" w:val=" ADDIN NE.Ref.{3EDC51C4-B8FC-436A-9432-2DB99C9D28E9}&lt;Citation&gt;&lt;Group&gt;&lt;References&gt;&lt;Item&gt;&lt;ID&gt;602&lt;/ID&gt;&lt;UID&gt;{B6CC4CD5-F0BF-4902-82D2-1EDDB7165D06}&lt;/UID&gt;&lt;Title&gt;Trends in adult body-mass index in 200 countries from 1975 to 2014: a pooled  analysis of 1698 population-based measurement studies with 19·2 million  participants&lt;/Title&gt;&lt;Template&gt;Journal Article&lt;/Template&gt;&lt;Star&gt;0&lt;/Star&gt;&lt;Tag&gt;0&lt;/Tag&gt;&lt;Author/&gt;&lt;Year&gt;2016&lt;/Year&gt;&lt;Details&gt;&lt;_accessed&gt;64664558&lt;/_accessed&gt;&lt;_accession_num&gt;27115820&lt;/_accession_num&gt;&lt;_collection_scope&gt;SCI;SCIE&lt;/_collection_scope&gt;&lt;_created&gt;64664558&lt;/_created&gt;&lt;_date&gt;2016-04-02&lt;/_date&gt;&lt;_date_display&gt;2016 Apr 2&lt;/_date_display&gt;&lt;_doi&gt;10.1016/S0140-6736(16)30054-X&lt;/_doi&gt;&lt;_impact_factor&gt;  79.323&lt;/_impact_factor&gt;&lt;_isbn&gt;1474-547X (Electronic); 0140-6736 (Linking)&lt;/_isbn&gt;&lt;_issue&gt;10026&lt;/_issue&gt;&lt;_journal&gt;Lancet&lt;/_journal&gt;&lt;_language&gt;eng&lt;/_language&gt;&lt;_modified&gt;64664559&lt;/_modified&gt;&lt;_ori_publication&gt;Copyright © 2016 NCD Risk Factor Collaboration. Open Access article distributed _x000d__x000a_      under the terms of CC BY. Published by Elsevier Ltd.. All rights reserved.&lt;/_ori_publication&gt;&lt;_pages&gt;1377-1396&lt;/_pages&gt;&lt;_subject_headings&gt;Adolescent; Adult; Bayes Theorem; *Body Mass Index; Developed Countries; Developing Countries; Female; Forecasting; *Global Health; Humans; Male; Models, Statistical; Obesity/*epidemiology; Prevalence; Thinness/epidemiology; Young Adult&lt;/_subject_headings&gt;&lt;_tertiary_title&gt;Lancet (London, England)&lt;/_tertiary_title&gt;&lt;_type_work&gt;Journal Article; Meta-Analysis; Research Support, Non-U.S. Gov&amp;apos;t; Review&lt;/_type_work&gt;&lt;_url&gt;http://www.ncbi.nlm.nih.gov/entrez/query.fcgi?cmd=Retrieve&amp;amp;db=pubmed&amp;amp;dopt=Abstract&amp;amp;list_uids=27115820&amp;amp;query_hl=1&lt;/_url&gt;&lt;_volume&gt;387&lt;/_volume&gt;&lt;/Details&gt;&lt;Extra&gt;&lt;DBUID&gt;{F96A950B-833F-4880-A151-76DA2D6A2879}&lt;/DBUID&gt;&lt;/Extra&gt;&lt;/Item&gt;&lt;/References&gt;&lt;/Group&gt;&lt;/Citation&gt;_x000a_"/>
    <w:docVar w:name="NE.Ref{40788CC9-422F-4805-872F-DEEAD56042E1}" w:val=" ADDIN NE.Ref.{40788CC9-422F-4805-872F-DEEAD56042E1}"/>
    <w:docVar w:name="NE.Ref{424ACF57-CA8A-40DC-BBA2-5E629E354045}" w:val=" ADDIN NE.Ref.{424ACF57-CA8A-40DC-BBA2-5E629E354045}&lt;Citation&gt;&lt;Group&gt;&lt;References&gt;&lt;Item&gt;&lt;ID&gt;583&lt;/ID&gt;&lt;UID&gt;{DD4159C2-EFCE-4F02-9DAF-5D94F90D2232}&lt;/UID&gt;&lt;Title&gt;Effects of weight loss interventions for adults who are obese on mortality,  cardiovascular disease, and cancer: systematic review and meta-analysis&lt;/Title&gt;&lt;Template&gt;Journal Article&lt;/Template&gt;&lt;Star&gt;0&lt;/Star&gt;&lt;Tag&gt;5&lt;/Tag&gt;&lt;Author&gt;Ma, C; Avenell, A; Bolland, M; Hudson, J; Stewart, F; Robertson, C; Sharma, P; Fraser, C; MacLennan, G&lt;/Author&gt;&lt;Year&gt;2017&lt;/Year&gt;&lt;Details&gt;&lt;_accession_num&gt;29138133&lt;/_accession_num&gt;&lt;_author_adr&gt;Health Services Research Unit, University of Aberdeen, Health Sciences Building,  Foresterhill, Aberdeen AB25 2ZD, Scotland, UK.; Health Services Research Unit, University of Aberdeen, Health Sciences Building,  Foresterhill, Aberdeen AB25 2ZD, Scotland, UK a.avenell@abdn.ac.uk.; Bone and Joint Research Group, Department of Medicine, University of Auckland,  Private Bag 92 019, Auckland 1142, New Zealand.; Health Services Research Unit, University of Aberdeen, Health Sciences Building,  Foresterhill, Aberdeen AB25 2ZD, Scotland, UK.; Health Services Research Unit, University of Aberdeen, Health Sciences Building,  Foresterhill, Aberdeen AB25 2ZD, Scotland, UK.; Health Services Research Unit, University of Aberdeen, Health Sciences Building,  Foresterhill, Aberdeen AB25 2ZD, Scotland, UK.; Health Services Research Unit, University of Aberdeen, Health Sciences Building,  Foresterhill, Aberdeen AB25 2ZD, Scotland, UK.; Health Services Research Unit, University of Aberdeen, Health Sciences Building,  Foresterhill, Aberdeen AB25 2ZD, Scotland, UK.; Centre for Healthcare Randomised Trials, University of Aberdeen, Health Sciences  Building, Foresterhill, Aberdeen AB25 2ZD, Scotland, UK.&lt;/_author_adr&gt;&lt;_created&gt;64587947&lt;/_created&gt;&lt;_date&gt;2017-11-14&lt;/_date&gt;&lt;_date_display&gt;2017 Nov 14&lt;/_date_display&gt;&lt;_doi&gt;10.1136/bmj.j4849&lt;/_doi&gt;&lt;_impact_factor&gt;  39.890&lt;/_impact_factor&gt;&lt;_isbn&gt;1756-1833 (Electronic); 0959-8138 (Print); 0959-8138 (Linking)&lt;/_isbn&gt;&lt;_journal&gt;BMJ&lt;/_journal&gt;&lt;_language&gt;eng&lt;/_language&gt;&lt;_modified&gt;64601631&lt;/_modified&gt;&lt;_ori_publication&gt;Published by the BMJ Publishing Group Limited. For permission to use (where not _x000d__x000a_      already granted under a licence) please go to _x000d__x000a_      http://group.bmj.com/group/rights-licensing/permissions.&lt;/_ori_publication&gt;&lt;_pages&gt;j4849&lt;/_pages&gt;&lt;_subject_headings&gt;Adult; Body Mass Index; Cardiovascular Diseases/mortality/prevention &amp;amp; control; *Diet, Reducing; Exercise/*physiology; Female; Humans; Male; Middle Aged; Neoplasms/mortality/prevention &amp;amp; control; Obesity/diagnosis/*mortality/*therapy; *Quality of Life; Randomized Controlled Trials as Topic; Survival Analysis; United Kingdom; Weight Loss/*physiology&lt;/_subject_headings&gt;&lt;_tertiary_title&gt;BMJ (Clinical research ed.)&lt;/_tertiary_title&gt;&lt;_type_work&gt;Journal Article; Meta-Analysis; Review; Systematic Review&lt;/_type_work&gt;&lt;_url&gt;http://www.ncbi.nlm.nih.gov/entrez/query.fcgi?cmd=Retrieve&amp;amp;db=pubmed&amp;amp;dopt=Abstract&amp;amp;list_uids=29138133&amp;amp;query_hl=1&lt;/_url&gt;&lt;_volume&gt;359&lt;/_volume&gt;&lt;/Details&gt;&lt;Extra&gt;&lt;DBUID&gt;{F96A950B-833F-4880-A151-76DA2D6A2879}&lt;/DBUID&gt;&lt;/Extra&gt;&lt;/Item&gt;&lt;/References&gt;&lt;/Group&gt;&lt;Group&gt;&lt;References&gt;&lt;Item&gt;&lt;ID&gt;584&lt;/ID&gt;&lt;UID&gt;{15380C24-3591-43A7-851D-0C26A4C9A14A}&lt;/UID&gt;&lt;Title&gt;Bariatric surgery and its impact on cardiovascular disease and mortality: a  systematic review and meta-analysis&lt;/Title&gt;&lt;Template&gt;Journal Article&lt;/Template&gt;&lt;Star&gt;0&lt;/Star&gt;&lt;Tag&gt;5&lt;/Tag&gt;&lt;Author&gt;Kwok, C S; Pradhan, A; Khan, M A; Anderson, S G; Keavney, B D; Myint, P K; Mamas, M A; Loke, Y K&lt;/Author&gt;&lt;Year&gt;2014&lt;/Year&gt;&lt;Details&gt;&lt;_accession_num&gt;24636546&lt;/_accession_num&gt;&lt;_author_adr&gt;Cardiovascular Institute, University of Manchester, Manchester, UK. Electronic  address: shingkwok@doctors.org.uk.; Royal Preston Hospital, Fulwood, Preston, UK.; Cardiovascular Institute, University of Manchester, Manchester, UK.; Cardiovascular Institute, University of Manchester, Manchester, UK.; Cardiovascular Institute, University of Manchester, Manchester, UK.; School of Medicine &amp;amp; Dentistry, University of Aberdeen, Foresterhill, Aberdeen,  UK.; Cardiovascular Institute, University of Manchester, Manchester, UK.; Norwich Medical School, University of East Anglia, Norwich, UK.&lt;/_author_adr&gt;&lt;_collection_scope&gt;SCI;SCIE&lt;/_collection_scope&gt;&lt;_created&gt;64588148&lt;/_created&gt;&lt;_date&gt;2014-04-15&lt;/_date&gt;&lt;_date_display&gt;2014 Apr 15&lt;/_date_display&gt;&lt;_doi&gt;10.1016/j.ijcard.2014.02.026&lt;/_doi&gt;&lt;_impact_factor&gt;   4.164&lt;/_impact_factor&gt;&lt;_isbn&gt;1874-1754 (Electronic); 0167-5273 (Linking)&lt;/_isbn&gt;&lt;_issue&gt;1&lt;/_issue&gt;&lt;_journal&gt;Int J Cardiol&lt;/_journal&gt;&lt;_keywords&gt;Bariatric surgery; Cardiovascular disease; Mortality; Myocardial infarction; Obesity; Stroke&lt;/_keywords&gt;&lt;_language&gt;eng&lt;/_language&gt;&lt;_modified&gt;64601631&lt;/_modified&gt;&lt;_ori_publication&gt;Copyright © 2014 Elsevier Ireland Ltd. All rights reserved.&lt;/_ori_publication&gt;&lt;_pages&gt;20-8&lt;/_pages&gt;&lt;_subject_headings&gt;Bariatric Surgery/*mortality; Cardiovascular Diseases/*mortality/*prevention &amp;amp; control; Humans; Mortality/trends; Obesity/mortality/surgery; Observational Studies as Topic/mortality; Prospective Studies; Retrospective Studies; Risk Factors; Stroke/mortality/prevention &amp;amp; control; Weight Loss/physiology&lt;/_subject_headings&gt;&lt;_tertiary_title&gt;International journal of cardiology&lt;/_tertiary_title&gt;&lt;_type_work&gt;Journal Article; Meta-Analysis; Review; Systematic Review&lt;/_type_work&gt;&lt;_url&gt;http://www.ncbi.nlm.nih.gov/entrez/query.fcgi?cmd=Retrieve&amp;amp;db=pubmed&amp;amp;dopt=Abstract&amp;amp;list_uids=24636546&amp;amp;query_hl=1&lt;/_url&gt;&lt;_volume&gt;173&lt;/_volume&gt;&lt;/Details&gt;&lt;Extra&gt;&lt;DBUID&gt;{F96A950B-833F-4880-A151-76DA2D6A2879}&lt;/DBUID&gt;&lt;/Extra&gt;&lt;/Item&gt;&lt;/References&gt;&lt;/Group&gt;&lt;Group&gt;&lt;References&gt;&lt;Item&gt;&lt;ID&gt;585&lt;/ID&gt;&lt;UID&gt;{B6F3CBFB-D26B-42B1-8944-66D6275B46E9}&lt;/UID&gt;&lt;Title&gt;Beneficial health effects of modest weight loss&lt;/Title&gt;&lt;Template&gt;Journal Article&lt;/Template&gt;&lt;Star&gt;0&lt;/Star&gt;&lt;Tag&gt;5&lt;/Tag&gt;&lt;Author&gt;Goldstein, D J&lt;/Author&gt;&lt;Year&gt;1992&lt;/Year&gt;&lt;Details&gt;&lt;_accession_num&gt;1322866&lt;/_accession_num&gt;&lt;_author_adr&gt;Lilly Research Laboratories, Eli Lilly and Company, Department of Pharmacology  and Toxicology, Indiana University School of Medicine, Indianapolis 46285.&lt;/_author_adr&gt;&lt;_created&gt;64588998&lt;/_created&gt;&lt;_date&gt;1992-06-01&lt;/_date&gt;&lt;_date_display&gt;1992 Jun&lt;/_date_display&gt;&lt;_issue&gt;6&lt;/_issue&gt;&lt;_journal&gt;Int J Obes Relat Metab Disord&lt;/_journal&gt;&lt;_language&gt;eng&lt;/_language&gt;&lt;_modified&gt;64601631&lt;/_modified&gt;&lt;_pages&gt;397-415&lt;/_pages&gt;&lt;_subject_headings&gt;Cardiovascular Diseases/*etiology; Diabetes Mellitus, Type 2/*etiology; Diet, Reducing; Humans; Hyperlipidemias/complications/etiology; Hypertension/*etiology; MEDLINE; Obesity/*complications/diet therapy; Risk Factors; *Weight Loss&lt;/_subject_headings&gt;&lt;_tertiary_title&gt;International journal of obesity and related metabolic disorders : journal of the _x000d__x000a_      International Association for the Study of Obesity&lt;/_tertiary_title&gt;&lt;_type_work&gt;Journal Article; Review&lt;/_type_work&gt;&lt;_url&gt;http://www.ncbi.nlm.nih.gov/entrez/query.fcgi?cmd=Retrieve&amp;amp;db=pubmed&amp;amp;dopt=Abstract&amp;amp;list_uids=1322866&amp;amp;query_hl=1&lt;/_url&gt;&lt;_volume&gt;16&lt;/_volume&gt;&lt;/Details&gt;&lt;Extra&gt;&lt;DBUID&gt;{F96A950B-833F-4880-A151-76DA2D6A2879}&lt;/DBUID&gt;&lt;/Extra&gt;&lt;/Item&gt;&lt;/References&gt;&lt;/Group&gt;&lt;Group&gt;&lt;References&gt;&lt;Item&gt;&lt;ID&gt;586&lt;/ID&gt;&lt;UID&gt;{99C45605-B23E-4F02-AE83-D4EEF6AE2307}&lt;/UID&gt;&lt;Title&gt;Is weight loss beneficial for reduction of morbidity and mortality? What is the  controversy about?&lt;/Title&gt;&lt;Template&gt;Journal Article&lt;/Template&gt;&lt;Star&gt;0&lt;/Star&gt;&lt;Tag&gt;5&lt;/Tag&gt;&lt;Author&gt;Nilsson, P M&lt;/Author&gt;&lt;Year&gt;2008&lt;/Year&gt;&lt;Details&gt;&lt;_accession_num&gt;18227497&lt;/_accession_num&gt;&lt;_author_adr&gt;Department of Clinical Sciences, University Hospital, S-205 02 Malmö, Sweden.  peter.nilsson@med.lu.se&lt;/_author_adr&gt;&lt;_collection_scope&gt;SCI;SCIE&lt;/_collection_scope&gt;&lt;_created&gt;64592370&lt;/_created&gt;&lt;_date&gt;2008-02-01&lt;/_date&gt;&lt;_date_display&gt;2008 Feb&lt;/_date_display&gt;&lt;_doi&gt;10.2337/dc08-s268&lt;/_doi&gt;&lt;_impact_factor&gt;  19.112&lt;/_impact_factor&gt;&lt;_isbn&gt;1935-5548 (Electronic); 0149-5992 (Linking)&lt;/_isbn&gt;&lt;_journal&gt;Diabetes Care&lt;/_journal&gt;&lt;_language&gt;eng&lt;/_language&gt;&lt;_modified&gt;64601631&lt;/_modified&gt;&lt;_pages&gt;S278-83&lt;/_pages&gt;&lt;_subject_headings&gt;Bariatric Surgery; Cannabinoids/antagonists &amp;amp; inhibitors; Cardiovascular Diseases/epidemiology/prevention &amp;amp; control; Diabetes Mellitus, Type 2/complications/*epidemiology/prevention &amp;amp; control; Diabetic Angiopathies/epidemiology/prevention &amp;amp; control; Humans; Life Style; Multicenter Studies as Topic; Obesity/epidemiology/mortality/*prevention &amp;amp; control/rehabilitation; Piperidines/therapeutic use; Power, Psychological; Pyrazoles/therapeutic use; Rimonabant; Self Concept; *Weight Loss&lt;/_subject_headings&gt;&lt;_tertiary_title&gt;Diabetes care&lt;/_tertiary_title&gt;&lt;_type_work&gt;Journal Article; Research Support, Non-U.S. Gov&amp;apos;t; Review&lt;/_type_work&gt;&lt;_url&gt;http://www.ncbi.nlm.nih.gov/entrez/query.fcgi?cmd=Retrieve&amp;amp;db=pubmed&amp;amp;dopt=Abstract&amp;amp;list_uids=18227497&amp;amp;query_hl=1&lt;/_url&gt;&lt;_volume&gt;31 Suppl 2&lt;/_volume&gt;&lt;/Details&gt;&lt;Extra&gt;&lt;DBUID&gt;{F96A950B-833F-4880-A151-76DA2D6A2879}&lt;/DBUID&gt;&lt;/Extra&gt;&lt;/Item&gt;&lt;/References&gt;&lt;/Group&gt;&lt;Group&gt;&lt;References&gt;&lt;Item&gt;&lt;ID&gt;587&lt;/ID&gt;&lt;UID&gt;{F910EAE8-E30D-4F42-8668-CF05B42417E1}&lt;/UID&gt;&lt;Title&gt;Differentiated long-term effects of intentional weight loss on diabetes and  hypertension&lt;/Title&gt;&lt;Template&gt;Journal Article&lt;/Template&gt;&lt;Star&gt;0&lt;/Star&gt;&lt;Tag&gt;5&lt;/Tag&gt;&lt;Author&gt;Sjöström, C D; Peltonen, M; Wedel, H; Sjöström, L&lt;/Author&gt;&lt;Year&gt;2000&lt;/Year&gt;&lt;Details&gt;&lt;_accession_num&gt;10904007&lt;/_accession_num&gt;&lt;_author_adr&gt;Departments of Anesthesiology and Intensive Care, University of Göteborg,  Göteborg, Sweden. david.sjostrom@medfak.gu.se&lt;/_author_adr&gt;&lt;_collection_scope&gt;SCI;SCIE&lt;/_collection_scope&gt;&lt;_created&gt;64592372&lt;/_created&gt;&lt;_date&gt;2000-07-01&lt;/_date&gt;&lt;_date_display&gt;2000 Jul&lt;/_date_display&gt;&lt;_doi&gt;10.1161/01.hyp.36.1.20&lt;/_doi&gt;&lt;_impact_factor&gt;  10.190&lt;/_impact_factor&gt;&lt;_isbn&gt;0194-911X (Print); 0194-911X (Linking)&lt;/_isbn&gt;&lt;_issue&gt;1&lt;/_issue&gt;&lt;_journal&gt;Hypertension&lt;/_journal&gt;&lt;_language&gt;eng&lt;/_language&gt;&lt;_modified&gt;64601631&lt;/_modified&gt;&lt;_pages&gt;20-5&lt;/_pages&gt;&lt;_subject_headings&gt;Adult; Diabetes Mellitus/*epidemiology; Female; Humans; Hypertension/*epidemiology; Incidence; Male; Middle Aged; Obesity/*complications; Prevalence; Prospective Studies; *Weight Loss&lt;/_subject_headings&gt;&lt;_tertiary_title&gt;Hypertension (Dallas, Tex. : 1979)&lt;/_tertiary_title&gt;&lt;_type_work&gt;Journal Article; Research Support, Non-U.S. Gov&amp;apos;t&lt;/_type_work&gt;&lt;_url&gt;http://www.ncbi.nlm.nih.gov/entrez/query.fcgi?cmd=Retrieve&amp;amp;db=pubmed&amp;amp;dopt=Abstract&amp;amp;list_uids=10904007&amp;amp;query_hl=1&lt;/_url&gt;&lt;_volume&gt;36&lt;/_volume&gt;&lt;/Details&gt;&lt;Extra&gt;&lt;DBUID&gt;{F96A950B-833F-4880-A151-76DA2D6A2879}&lt;/DBUID&gt;&lt;/Extra&gt;&lt;/Item&gt;&lt;/References&gt;&lt;/Group&gt;&lt;/Citation&gt;_x000a_"/>
    <w:docVar w:name="NE.Ref{434CA7AC-F9DF-4FD5-8564-B667742B0440}" w:val=" ADDIN NE.Ref.{434CA7AC-F9DF-4FD5-8564-B667742B0440}&lt;Citation&gt;&lt;Group&gt;&lt;References&gt;&lt;Item&gt;&lt;ID&gt;39&lt;/ID&gt;&lt;UID&gt;{7841F0C3-D311-4F5E-8471-C12A4EE2E9F2}&lt;/UID&gt;&lt;Title&gt;Postpartum weight retention is associated with elevated ratio of oxidized LDL  lipids to HDL-cholesterol&lt;/Title&gt;&lt;Template&gt;Journal Article&lt;/Template&gt;&lt;Star&gt;0&lt;/Star&gt;&lt;Tag&gt;0&lt;/Tag&gt;&lt;Author&gt;Puhkala, J; Luoto, R; Ahotupa, M; Raitanen, J; Vasankari, T&lt;/Author&gt;&lt;Year&gt;2013&lt;/Year&gt;&lt;Details&gt;&lt;_accession_num&gt;24122103&lt;/_accession_num&gt;&lt;_collection_scope&gt;SCI;SCIE&lt;/_collection_scope&gt;&lt;_created&gt;64734737&lt;/_created&gt;&lt;_date&gt;2013-12-01&lt;/_date&gt;&lt;_date_display&gt;2013 Dec&lt;/_date_display&gt;&lt;_doi&gt;10.1007/s11745-013-3852-9&lt;/_doi&gt;&lt;_impact_factor&gt;   1.880&lt;/_impact_factor&gt;&lt;_isbn&gt;1558-9307 (Electronic); 0024-4201 (Linking)&lt;/_isbn&gt;&lt;_issue&gt;12&lt;/_issue&gt;&lt;_journal&gt;Lipids&lt;/_journal&gt;&lt;_language&gt;eng&lt;/_language&gt;&lt;_modified&gt;64734737&lt;/_modified&gt;&lt;_pages&gt;1227-35&lt;/_pages&gt;&lt;_subject_headings&gt;Adult; Body Weight/*physiology; Cholesterol, HDL/*blood; Cholesterol, LDL/blood; Female; Humans; Lipoproteins, LDL/*blood; Postpartum Period/*physiology; Pregnancy; Triglycerides/blood; Weight Loss&lt;/_subject_headings&gt;&lt;_tertiary_title&gt;Lipids&lt;/_tertiary_title&gt;&lt;_type_work&gt;Journal Article; Randomized Controlled Trial; Research Support, Non-U.S. Gov&amp;apos;t&lt;/_type_work&gt;&lt;_url&gt;http://www.ncbi.nlm.nih.gov/entrez/query.fcgi?cmd=Retrieve&amp;amp;db=pubmed&amp;amp;dopt=Abstract&amp;amp;list_uids=24122103&amp;amp;query_hl=1&lt;/_url&gt;&lt;_volume&gt;48&lt;/_volume&gt;&lt;/Details&gt;&lt;Extra&gt;&lt;DBUID&gt;{C818A046-6D8C-4B07-8765-4E05C48B46EA}&lt;/DBUID&gt;&lt;/Extra&gt;&lt;/Item&gt;&lt;/References&gt;&lt;/Group&gt;&lt;/Citation&gt;_x000a_"/>
    <w:docVar w:name="NE.Ref{4350253D-7726-4111-9C2C-7640B8331A45}" w:val=" ADDIN NE.Ref.{4350253D-7726-4111-9C2C-7640B8331A45}&lt;Citation&gt;&lt;Group&gt;&lt;References&gt;&lt;Item&gt;&lt;ID&gt;1&lt;/ID&gt;&lt;UID&gt;{BF3D6C26-9E15-4EED-BD04-105C47CEC17E}&lt;/UID&gt;&lt;Title&gt;Trends in adult body-mass index in 200 countries from 1975 to 2014: a pooled  analysis of 1698 population-based measurement studies with 19·2 million  participants&lt;/Title&gt;&lt;Template&gt;Journal Article&lt;/Template&gt;&lt;Star&gt;0&lt;/Star&gt;&lt;Tag&gt;0&lt;/Tag&gt;&lt;Author/&gt;&lt;Year&gt;2016&lt;/Year&gt;&lt;Details&gt;&lt;_accession_num&gt;27115820&lt;/_accession_num&gt;&lt;_collection_scope&gt;SCI;SCIE&lt;/_collection_scope&gt;&lt;_created&gt;64733386&lt;/_created&gt;&lt;_date&gt;2016-04-02&lt;/_date&gt;&lt;_date_display&gt;2016 Apr 2&lt;/_date_display&gt;&lt;_doi&gt;10.1016/S0140-6736(16)30054-X&lt;/_doi&gt;&lt;_impact_factor&gt;  79.323&lt;/_impact_factor&gt;&lt;_isbn&gt;1474-547X (Electronic); 0140-6736 (Linking)&lt;/_isbn&gt;&lt;_issue&gt;10026&lt;/_issue&gt;&lt;_journal&gt;Lancet&lt;/_journal&gt;&lt;_language&gt;eng&lt;/_language&gt;&lt;_modified&gt;64734679&lt;/_modified&gt;&lt;_ori_publication&gt;Copyright © 2016 NCD Risk Factor Collaboration. Open Access article distributed _x000d__x000a_      under the terms of CC BY. Published by Elsevier Ltd.. All rights reserved.&lt;/_ori_publication&gt;&lt;_pages&gt;1377-1396&lt;/_pages&gt;&lt;_subject_headings&gt;Adolescent; Adult; Bayes Theorem; *Body Mass Index; Developed Countries; Developing Countries; Female; Forecasting; *Global Health; Humans; Male; Models, Statistical; Obesity/*epidemiology; Prevalence; Thinness/epidemiology; Young Adult&lt;/_subject_headings&gt;&lt;_tertiary_title&gt;Lancet (London, England)&lt;/_tertiary_title&gt;&lt;_type_work&gt;Journal Article; Meta-Analysis; Research Support, Non-U.S. Gov&amp;apos;t; Review&lt;/_type_work&gt;&lt;_url&gt;http://www.ncbi.nlm.nih.gov/entrez/query.fcgi?cmd=Retrieve&amp;amp;db=pubmed&amp;amp;dopt=Abstract&amp;amp;list_uids=27115820&amp;amp;query_hl=1&lt;/_url&gt;&lt;_volume&gt;387&lt;/_volume&gt;&lt;/Details&gt;&lt;Extra&gt;&lt;DBUID&gt;{C818A046-6D8C-4B07-8765-4E05C48B46EA}&lt;/DBUID&gt;&lt;/Extra&gt;&lt;/Item&gt;&lt;/References&gt;&lt;/Group&gt;&lt;/Citation&gt;_x000a_"/>
    <w:docVar w:name="NE.Ref{4352280F-9254-45E7-BBEE-0C31ABE144A9}" w:val=" ADDIN NE.Ref.{4352280F-9254-45E7-BBEE-0C31ABE144A9}"/>
    <w:docVar w:name="NE.Ref{46B49F37-BD57-4CB8-A053-5CC3D93E3D03}" w:val=" ADDIN NE.Ref.{46B49F37-BD57-4CB8-A053-5CC3D93E3D03}&lt;Citation&gt;&lt;Group&gt;&lt;References&gt;&lt;Item&gt;&lt;ID&gt;2&lt;/ID&gt;&lt;UID&gt;{A29ED86C-4B2C-4447-BA91-349449A57E1A}&lt;/UID&gt;&lt;Title&gt;Preconceptional and maternal obesity: epidemiology and health consequences&lt;/Title&gt;&lt;Template&gt;Journal Article&lt;/Template&gt;&lt;Star&gt;0&lt;/Star&gt;&lt;Tag&gt;0&lt;/Tag&gt;&lt;Author&gt;Poston, L; Caleyachetty, R; Cnattingius, S; Corvalán, C; Uauy, R; Herring, S; Gillman, M W&lt;/Author&gt;&lt;Year&gt;2016&lt;/Year&gt;&lt;Details&gt;&lt;_accession_num&gt;27743975&lt;/_accession_num&gt;&lt;_author_adr&gt;Division of Women&amp;apos;s Health, Faculty of Life Sciences and Medicine, King&amp;apos;s College  London, London, UK. Electronic address: lucilla.poston@kcl.ac.uk.; Institute of Applied Health Research, University of Birmingham, Birmingham, UK.; Department of Medicine Solna, Karolinska Universitetssjukhuset, Stockholm,  Sweden.; Institute of Nutrition and Food Technology, University of Chile, Santiago, Chile.; Division of Pediatrics, Faculty of Medicine, Pontifical Catholic University of  Chile, Santiago, Chile; Center for Obesity Research and Education, Departments of  Medicine and Public Health, Temple University, Philadelphia, PA, USA.; Center for Obesity Research and Education, Departments of Medicine and Public  Health, Temple University, Philadelphia, PA, USA.; Office of the Director, Environmental Influences on Child Health Outcomes (ECHO),  National Institutes of Health, Rockville, MD, USA.&lt;/_author_adr&gt;&lt;_created&gt;64733386&lt;/_created&gt;&lt;_date&gt;2016-12-01&lt;/_date&gt;&lt;_date_display&gt;2016 Dec&lt;/_date_display&gt;&lt;_doi&gt;10.1016/S2213-8587(16)30217-0&lt;/_doi&gt;&lt;_impact_factor&gt;  32.069&lt;/_impact_factor&gt;&lt;_isbn&gt;2213-8595 (Electronic); 2213-8587 (Linking)&lt;/_isbn&gt;&lt;_issue&gt;12&lt;/_issue&gt;&lt;_journal&gt;Lancet Diabetes Endocrinol&lt;/_journal&gt;&lt;_language&gt;eng&lt;/_language&gt;&lt;_modified&gt;64734679&lt;/_modified&gt;&lt;_ori_publication&gt;Copyright Â© 2016 Elsevier Ltd. All rights reserved.&lt;/_ori_publication&gt;&lt;_pages&gt;1025-1036&lt;/_pages&gt;&lt;_subject_headings&gt;Abortion, Spontaneous/etiology; Delivery, Obstetric; Female; Fertility; Humans; Obesity/complications/*epidemiology; Postpartum Period; Pregnancy; Pregnancy Complications/*epidemiology/etiology; Premature Birth/etiology; Prevalence&lt;/_subject_headings&gt;&lt;_tertiary_title&gt;The lancet. Diabetes &amp;amp; endocrinology&lt;/_tertiary_title&gt;&lt;_type_work&gt;Journal Article; Research Support, Non-U.S. Gov&amp;apos;t; Review&lt;/_type_work&gt;&lt;_url&gt;http://www.ncbi.nlm.nih.gov/entrez/query.fcgi?cmd=Retrieve&amp;amp;db=pubmed&amp;amp;dopt=Abstract&amp;amp;list_uids=27743975&amp;amp;query_hl=1&lt;/_url&gt;&lt;_volume&gt;4&lt;/_volume&gt;&lt;/Details&gt;&lt;Extra&gt;&lt;DBUID&gt;{C818A046-6D8C-4B07-8765-4E05C48B46EA}&lt;/DBUID&gt;&lt;/Extra&gt;&lt;/Item&gt;&lt;/References&gt;&lt;/Group&gt;&lt;/Citation&gt;_x000a_"/>
    <w:docVar w:name="NE.Ref{4917259F-CC3F-41EB-B42A-6F8D96CE1D8E}" w:val=" ADDIN NE.Ref.{4917259F-CC3F-41EB-B42A-6F8D96CE1D8E}&lt;Citation&gt;&lt;Group&gt;&lt;References&gt;&lt;Item&gt;&lt;ID&gt;566&lt;/ID&gt;&lt;UID&gt;{40550546-12C1-4D8F-8646-0F47AFA9619D}&lt;/UID&gt;&lt;Title&gt;Associations of Carotid Intima-Media Thickness and Plaque Heterogeneity With the  Risks of Stroke Subtypes and Coronary Artery Disease in the Japanese General  Population: The Circulatory Risk in Communities Study&lt;/Title&gt;&lt;Template&gt;Journal Article&lt;/Template&gt;&lt;Star&gt;1&lt;/Star&gt;&lt;Tag&gt;0&lt;/Tag&gt;&lt;Author&gt;Shimoda, S; Kitamura, A; Imano, H; Cui, R; Muraki, I; Yamagishi, K; Umesawa, M; Sankai, T; Hayama-Terada, M; Kubota, Y; Shimizu, Y; Okada, T; Kiyama, M; Iso, H&lt;/Author&gt;&lt;Year&gt;2020&lt;/Year&gt;&lt;Details&gt;&lt;_accession_num&gt;32990124&lt;/_accession_num&gt;&lt;_author_adr&gt;Public Health, Department of Social Medicine Osaka University Graduate School of  Medicine Osaka Japan.; Public Health, Department of Social Medicine Osaka University Graduate School of  Medicine Osaka Japan.; Research Team for Social Participation and Community Health Tokyo Metropolitan  Institute of Gerontology Tokyo Japan.; Osaka Center for Cancer and Cardiovascular Disease Prevention Osaka Japan.; Public Health, Department of Social Medicine Osaka University Graduate School of  Medicine Osaka Japan.; Osaka Center for Cancer and Cardiovascular Disease Prevention Osaka Japan.; Public Health, Department of Social Medicine Osaka University Graduate School of  Medicine Osaka Japan.; Public Health, Department of Social Medicine Osaka University Graduate School of  Medicine Osaka Japan.; Osaka Center for Cancer and Cardiovascular Disease Prevention Osaka Japan.; Department of Public Health Medicine, Faculty of Medicine, and Health Services  Research and Development Center University of Tsukuba Ibaraki Japan.; Ibaraki Western Medical Center Ibaraki Japan.; Department of Public Health Medicine, Faculty of Medicine, and Health Services  Research and Development Center University of Tsukuba Ibaraki Japan.; Department of Public Health Dokkyo Medical University Tochigi Japan.; Department of Public Health and Nursing, Faculty of Medicine University of  Tsukuba Ibaraki Japan.; Osaka Center for Cancer and Cardiovascular Disease Prevention Osaka Japan.; Yao Public Health Center, Yao City Office Osaka Japan.; Osaka Center for Cancer and Cardiovascular Disease Prevention Osaka Japan.; Osaka Center for Cancer and Cardiovascular Disease Prevention Osaka Japan.; Osaka Center for Cancer and Cardiovascular Disease Prevention Osaka Japan.; Osaka Center for Cancer and Cardiovascular Disease Prevention Osaka Japan.; Public Health, Department of Social Medicine Osaka University Graduate School of  Medicine Osaka Japan.&lt;/_author_adr&gt;&lt;_collection_scope&gt;SCIE&lt;/_collection_scope&gt;&lt;_created&gt;64551894&lt;/_created&gt;&lt;_date&gt;2020-10-20&lt;/_date&gt;&lt;_date_display&gt;2020 Oct 20&lt;/_date_display&gt;&lt;_doi&gt;10.1161/JAHA.120.017020&lt;/_doi&gt;&lt;_impact_factor&gt;   5.501&lt;/_impact_factor&gt;&lt;_isbn&gt;2047-9980 (Electronic); 2047-9980 (Linking)&lt;/_isbn&gt;&lt;_issue&gt;19&lt;/_issue&gt;&lt;_journal&gt;J Am Heart Assoc&lt;/_journal&gt;&lt;_keywords&gt;carotid intima‐media thickness; coronary artery disease; lacunar infarct; plaque; stroke&lt;/_keywords&gt;&lt;_language&gt;eng&lt;/_language&gt;&lt;_modified&gt;64552181&lt;/_modified&gt;&lt;_pages&gt;e017020&lt;/_pages&gt;&lt;_subject_headings&gt;Adult; Aged; Carotid Intima-Media Thickness/*adverse effects/statistics &amp;amp; numerical data; Carotid Stenosis/*complications/epidemiology; Coronary Artery Disease/epidemiology/*etiology; Female; Hemorrhagic Stroke/epidemiology/etiology; Humans; Ischemic Stroke/epidemiology/etiology; Japan/epidemiology; Male; Middle Aged; Proportional Hazards Models; Prospective Studies; Risk Factors; Stroke/epidemiology/*etiology&lt;/_subject_headings&gt;&lt;_tertiary_title&gt;Journal of the American Heart Association&lt;/_tertiary_title&gt;&lt;_type_work&gt;Journal Article; Research Support, Non-U.S. Gov&amp;apos;t&lt;/_type_work&gt;&lt;_url&gt;http://www.ncbi.nlm.nih.gov/entrez/query.fcgi?cmd=Retrieve&amp;amp;db=pubmed&amp;amp;dopt=Abstract&amp;amp;list_uids=32990124&amp;amp;query_hl=1&lt;/_url&gt;&lt;_volume&gt;9&lt;/_volume&gt;&lt;/Details&gt;&lt;Extra&gt;&lt;DBUID&gt;{F96A950B-833F-4880-A151-76DA2D6A2879}&lt;/DBUID&gt;&lt;/Extra&gt;&lt;/Item&gt;&lt;/References&gt;&lt;/Group&gt;&lt;/Citation&gt;_x000a_"/>
    <w:docVar w:name="NE.Ref{4B7E478E-DCDA-42A6-BE64-8B5C2745D5FB}" w:val=" ADDIN NE.Ref.{4B7E478E-DCDA-42A6-BE64-8B5C2745D5FB}&lt;Citation&gt;&lt;Group&gt;&lt;References&gt;&lt;Item&gt;&lt;ID&gt;529&lt;/ID&gt;&lt;UID&gt;{0916C2B2-F6B6-4D3F-98FF-724F62C6F3CF}&lt;/UID&gt;&lt;Title&gt;Trends in adult body-mass index in 200 countries from 1975 to 2014: a pooled  analysis of 1698 population-based measurement studies with 19·2 million  participants&lt;/Title&gt;&lt;Template&gt;Journal Article&lt;/Template&gt;&lt;Star&gt;0&lt;/Star&gt;&lt;Tag&gt;0&lt;/Tag&gt;&lt;Author/&gt;&lt;Year&gt;2016&lt;/Year&gt;&lt;Details&gt;&lt;_accessed&gt;64510215&lt;/_accessed&gt;&lt;_accession_num&gt;27115820&lt;/_accession_num&gt;&lt;_collection_scope&gt;SCI;SCIE&lt;/_collection_scope&gt;&lt;_created&gt;64510213&lt;/_created&gt;&lt;_date&gt;2016-04-02&lt;/_date&gt;&lt;_date_display&gt;2016 Apr 2&lt;/_date_display&gt;&lt;_doi&gt;10.1016/S0140-6736(16)30054-X&lt;/_doi&gt;&lt;_impact_factor&gt;  79.323&lt;/_impact_factor&gt;&lt;_isbn&gt;1474-547X (Electronic); 0140-6736 (Linking)&lt;/_isbn&gt;&lt;_issue&gt;10026&lt;/_issue&gt;&lt;_journal&gt;Lancet&lt;/_journal&gt;&lt;_language&gt;eng&lt;/_language&gt;&lt;_modified&gt;64510215&lt;/_modified&gt;&lt;_ori_publication&gt;Copyright © 2016 NCD Risk Factor Collaboration. Open Access article distributed _x000d__x000a_      under the terms of CC BY. Published by Elsevier Ltd.. All rights reserved.&lt;/_ori_publication&gt;&lt;_pages&gt;1377-1396&lt;/_pages&gt;&lt;_subject_headings&gt;Adolescent; Adult; Bayes Theorem; *Body Mass Index; Developed Countries; Developing Countries; Female; Forecasting; *Global Health; Humans; Male; Models, Statistical; Obesity/*epidemiology; Prevalence; Thinness/epidemiology; Young Adult&lt;/_subject_headings&gt;&lt;_tertiary_title&gt;Lancet (London, England)&lt;/_tertiary_title&gt;&lt;_type_work&gt;Journal Article; Meta-Analysis; Research Support, Non-U.S. Gov&amp;apos;t; Review&lt;/_type_work&gt;&lt;_url&gt;http://www.ncbi.nlm.nih.gov/entrez/query.fcgi?cmd=Retrieve&amp;amp;db=pubmed&amp;amp;dopt=Abstract&amp;amp;list_uids=27115820&amp;amp;query_hl=1&lt;/_url&gt;&lt;_volume&gt;387&lt;/_volume&gt;&lt;/Details&gt;&lt;Extra&gt;&lt;DBUID&gt;{F96A950B-833F-4880-A151-76DA2D6A2879}&lt;/DBUID&gt;&lt;/Extra&gt;&lt;/Item&gt;&lt;/References&gt;&lt;/Group&gt;&lt;/Citation&gt;_x000a_"/>
    <w:docVar w:name="NE.Ref{4E2FBF92-8023-448B-841D-6290A100AE7E}" w:val=" ADDIN NE.Ref.{4E2FBF92-8023-448B-841D-6290A100AE7E}&lt;Citation&gt;&lt;Group&gt;&lt;References&gt;&lt;Item&gt;&lt;ID&gt;2&lt;/ID&gt;&lt;UID&gt;{A29ED86C-4B2C-4447-BA91-349449A57E1A}&lt;/UID&gt;&lt;Title&gt;Preconceptional and maternal obesity: epidemiology and health consequences&lt;/Title&gt;&lt;Template&gt;Journal Article&lt;/Template&gt;&lt;Star&gt;0&lt;/Star&gt;&lt;Tag&gt;0&lt;/Tag&gt;&lt;Author&gt;Poston, L; Caleyachetty, R; Cnattingius, S; Corvalán, C; Uauy, R; Herring, S; Gillman, M W&lt;/Author&gt;&lt;Year&gt;2016&lt;/Year&gt;&lt;Details&gt;&lt;_accession_num&gt;27743975&lt;/_accession_num&gt;&lt;_author_adr&gt;Division of Women&amp;apos;s Health, Faculty of Life Sciences and Medicine, King&amp;apos;s College  London, London, UK. Electronic address: lucilla.poston@kcl.ac.uk.; Institute of Applied Health Research, University of Birmingham, Birmingham, UK.; Department of Medicine Solna, Karolinska Universitetssjukhuset, Stockholm,  Sweden.; Institute of Nutrition and Food Technology, University of Chile, Santiago, Chile.; Division of Pediatrics, Faculty of Medicine, Pontifical Catholic University of  Chile, Santiago, Chile; Center for Obesity Research and Education, Departments of  Medicine and Public Health, Temple University, Philadelphia, PA, USA.; Center for Obesity Research and Education, Departments of Medicine and Public  Health, Temple University, Philadelphia, PA, USA.; Office of the Director, Environmental Influences on Child Health Outcomes (ECHO),  National Institutes of Health, Rockville, MD, USA.&lt;/_author_adr&gt;&lt;_created&gt;64733386&lt;/_created&gt;&lt;_date&gt;2016-12-01&lt;/_date&gt;&lt;_date_display&gt;2016 Dec&lt;/_date_display&gt;&lt;_doi&gt;10.1016/S2213-8587(16)30217-0&lt;/_doi&gt;&lt;_impact_factor&gt;  32.069&lt;/_impact_factor&gt;&lt;_isbn&gt;2213-8595 (Electronic); 2213-8587 (Linking)&lt;/_isbn&gt;&lt;_issue&gt;12&lt;/_issue&gt;&lt;_journal&gt;Lancet Diabetes Endocrinol&lt;/_journal&gt;&lt;_language&gt;eng&lt;/_language&gt;&lt;_modified&gt;64734679&lt;/_modified&gt;&lt;_ori_publication&gt;Copyright Â© 2016 Elsevier Ltd. All rights reserved.&lt;/_ori_publication&gt;&lt;_pages&gt;1025-1036&lt;/_pages&gt;&lt;_subject_headings&gt;Abortion, Spontaneous/etiology; Delivery, Obstetric; Female; Fertility; Humans; Obesity/complications/*epidemiology; Postpartum Period; Pregnancy; Pregnancy Complications/*epidemiology/etiology; Premature Birth/etiology; Prevalence&lt;/_subject_headings&gt;&lt;_tertiary_title&gt;The lancet. Diabetes &amp;amp; endocrinology&lt;/_tertiary_title&gt;&lt;_type_work&gt;Journal Article; Research Support, Non-U.S. Gov&amp;apos;t; Review&lt;/_type_work&gt;&lt;_url&gt;http://www.ncbi.nlm.nih.gov/entrez/query.fcgi?cmd=Retrieve&amp;amp;db=pubmed&amp;amp;dopt=Abstract&amp;amp;list_uids=27743975&amp;amp;query_hl=1&lt;/_url&gt;&lt;_volume&gt;4&lt;/_volume&gt;&lt;/Details&gt;&lt;Extra&gt;&lt;DBUID&gt;{C818A046-6D8C-4B07-8765-4E05C48B46EA}&lt;/DBUID&gt;&lt;/Extra&gt;&lt;/Item&gt;&lt;/References&gt;&lt;/Group&gt;&lt;/Citation&gt;_x000a_"/>
    <w:docVar w:name="NE.Ref{4F58BE69-3129-40D8-8038-0221C82F8D6E}" w:val=" ADDIN NE.Ref.{4F58BE69-3129-40D8-8038-0221C82F8D6E}&lt;Citation&gt;&lt;Group&gt;&lt;References&gt;&lt;Item&gt;&lt;ID&gt;539&lt;/ID&gt;&lt;UID&gt;{B50CF6D7-0651-413B-9ACE-6ABA6DF95685}&lt;/UID&gt;&lt;Title&gt;Epidemiology of gestational weight gain and body weight changes after pregnancy&lt;/Title&gt;&lt;Template&gt;Journal Article&lt;/Template&gt;&lt;Star&gt;0&lt;/Star&gt;&lt;Tag&gt;5&lt;/Tag&gt;&lt;Author&gt;Gunderson, E P; Abrams, B&lt;/Author&gt;&lt;Year&gt;1999&lt;/Year&gt;&lt;Details&gt;&lt;_accession_num&gt;10682262&lt;/_accession_num&gt;&lt;_author_adr&gt;Division of Public Health and Epidemiology, School of Public Health, University  of California, Berkeley, USA. epg@dor.kaiser.org&lt;/_author_adr&gt;&lt;_collection_scope&gt;SCI;SCIE&lt;/_collection_scope&gt;&lt;_created&gt;64525278&lt;/_created&gt;&lt;_date&gt;1999-01-19&lt;/_date&gt;&lt;_date_display&gt;1999&lt;/_date_display&gt;&lt;_doi&gt;10.1093/oxfordjournals.epirev.a018001&lt;/_doi&gt;&lt;_impact_factor&gt;   6.222&lt;/_impact_factor&gt;&lt;_isbn&gt;0193-936X (Print); 0193-936X (Linking)&lt;/_isbn&gt;&lt;_issue&gt;2&lt;/_issue&gt;&lt;_journal&gt;Epidemiol Rev&lt;/_journal&gt;&lt;_language&gt;eng&lt;/_language&gt;&lt;_modified&gt;64530067&lt;/_modified&gt;&lt;_pages&gt;261-75&lt;/_pages&gt;&lt;_subject_headings&gt;Adolescent; Adult; Body Height; *Body Weight; Ethnicity; Female; Humans; Parity; Postpartum Period; *Pregnancy; *Weight Gain&lt;/_subject_headings&gt;&lt;_tertiary_title&gt;Epidemiologic reviews&lt;/_tertiary_title&gt;&lt;_type_work&gt;Journal Article; Research Support, Non-U.S. Gov&amp;apos;t; Research Support, U.S. Gov&amp;apos;t, Non-P.H.S.; Review&lt;/_type_work&gt;&lt;_url&gt;http://www.ncbi.nlm.nih.gov/entrez/query.fcgi?cmd=Retrieve&amp;amp;db=pubmed&amp;amp;dopt=Abstract&amp;amp;list_uids=10682262&amp;amp;query_hl=1&lt;/_url&gt;&lt;_volume&gt;21&lt;/_volume&gt;&lt;/Details&gt;&lt;Extra&gt;&lt;DBUID&gt;{F96A950B-833F-4880-A151-76DA2D6A2879}&lt;/DBUID&gt;&lt;/Extra&gt;&lt;/Item&gt;&lt;/References&gt;&lt;/Group&gt;&lt;/Citation&gt;_x000a_"/>
    <w:docVar w:name="NE.Ref{51D6FF56-D0FD-41AD-A436-057B55F7C34D}" w:val=" ADDIN NE.Ref.{51D6FF56-D0FD-41AD-A436-057B55F7C34D}&lt;Citation&gt;&lt;Group&gt;&lt;References&gt;&lt;Item&gt;&lt;ID&gt;590&lt;/ID&gt;&lt;UID&gt;{FD3A7481-4007-466A-BED6-C2E71A5C6094}&lt;/UID&gt;&lt;Title&gt;Parity and Components of the Metabolic Syndrome Among US Hispanic/Latina Women:  Results From the Hispanic Community Health Study/Study of Latinos&lt;/Title&gt;&lt;Template&gt;Journal Article&lt;/Template&gt;&lt;Star&gt;0&lt;/Star&gt;&lt;Tag&gt;5&lt;/Tag&gt;&lt;Author&gt;Vladutiu, C J; Siega-Riz, A M; Sotres-Alvarez, D; Stuebe, A M; Ni, A; Tabb, K M; Gallo, L C; Potter, J E; Heiss, G&lt;/Author&gt;&lt;Year&gt;2016&lt;/Year&gt;&lt;Details&gt;&lt;_accession_num&gt;26908862&lt;/_accession_num&gt;&lt;_author_adr&gt;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catherine_vladutiu@med.unc.edu.;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lt;/_author_adr&gt;&lt;_created&gt;64592485&lt;/_created&gt;&lt;_date&gt;2016-02-01&lt;/_date&gt;&lt;_date_display&gt;2016 Feb&lt;/_date_display&gt;&lt;_doi&gt;10.1161/CIRCOUTCOMES.115.002464&lt;/_doi&gt;&lt;_impact_factor&gt;   5.882&lt;/_impact_factor&gt;&lt;_isbn&gt;1941-7705 (Electronic); 1941-7713 (Print); 1941-7713 (Linking)&lt;/_isbn&gt;&lt;_issue&gt;2 Suppl 1&lt;/_issue&gt;&lt;_journal&gt;Circ Cardiovasc Qual Outcomes&lt;/_journal&gt;&lt;_keywords&gt;Hispanic Americans; cohort studies; metabolic syndrome X; parity; pregnancy&lt;/_keywords&gt;&lt;_language&gt;eng&lt;/_language&gt;&lt;_modified&gt;64601490&lt;/_modified&gt;&lt;_ori_publication&gt;© 2016 American Heart Association, Inc.&lt;/_ori_publication&gt;&lt;_pages&gt;S62-9&lt;/_pages&gt;&lt;_subject_headings&gt;Adult; Cardiovascular Diseases/prevention &amp;amp; control; Cholesterol, HDL/blood; Cohort Studies; Female; *Hispanic or Latino; Humans; Metabolic Syndrome/epidemiology/*ethnology; Middle Aged; *Parity; Pregnancy; Prevalence; Prospective Studies&lt;/_subject_headings&gt;&lt;_tertiary_title&gt;Circulation. Cardiovascular quality and outcomes&lt;/_tertiary_title&gt;&lt;_type_work&gt;Journal Article; Research Support, N.I.H., Extramural; Research Support, U.S. Gov&amp;apos;t, P.H.S.&lt;/_type_work&gt;&lt;_url&gt;http://www.ncbi.nlm.nih.gov/entrez/query.fcgi?cmd=Retrieve&amp;amp;db=pubmed&amp;amp;dopt=Abstract&amp;amp;list_uids=26908862&amp;amp;query_hl=1&lt;/_url&gt;&lt;_volume&gt;9&lt;/_volume&gt;&lt;/Details&gt;&lt;Extra&gt;&lt;DBUID&gt;{F96A950B-833F-4880-A151-76DA2D6A2879}&lt;/DBUID&gt;&lt;/Extra&gt;&lt;/Item&gt;&lt;/References&gt;&lt;/Group&gt;&lt;Group&gt;&lt;References&gt;&lt;Item&gt;&lt;ID&gt;592&lt;/ID&gt;&lt;UID&gt;{9E9AA557-9FA1-4C95-9440-B31986B0DF84}&lt;/UID&gt;&lt;Title&gt;Long-term plasma lipid changes associated with a first birth: the Coronary Artery  Risk Development in Young Adults study&lt;/Title&gt;&lt;Template&gt;Journal Article&lt;/Template&gt;&lt;Star&gt;0&lt;/Star&gt;&lt;Tag&gt;5&lt;/Tag&gt;&lt;Author&gt;Gunderson, E P; Lewis, C E; Murtaugh, M A; Quesenberry, C P; Smith, West D; Sidney, S&lt;/Author&gt;&lt;Year&gt;2004&lt;/Year&gt;&lt;Details&gt;&lt;_accession_num&gt;15155287&lt;/_accession_num&gt;&lt;_author_adr&gt;Division of Research, Kaiser Permanente Medical Care Program, Northern  California, Oakland, CA 94612, USA. epg@dor.kaiser.org&lt;/_author_adr&gt;&lt;_collection_scope&gt;SCI;SCIE&lt;/_collection_scope&gt;&lt;_created&gt;64592498&lt;/_created&gt;&lt;_date&gt;2004-06-01&lt;/_date&gt;&lt;_date_display&gt;2004 Jun 1&lt;/_date_display&gt;&lt;_doi&gt;10.1093/aje/kwh146&lt;/_doi&gt;&lt;_impact_factor&gt;   4.897&lt;/_impact_factor&gt;&lt;_isbn&gt;0002-9262 (Print); 1476-6256 (Electronic); 0002-9262 (Linking)&lt;/_isbn&gt;&lt;_issue&gt;11&lt;/_issue&gt;&lt;_journal&gt;Am J Epidemiol&lt;/_journal&gt;&lt;_language&gt;eng&lt;/_language&gt;&lt;_modified&gt;64601490&lt;/_modified&gt;&lt;_pages&gt;1028-39&lt;/_pages&gt;&lt;_subject_headings&gt;Adolescent; Adult; Blacks/statistics &amp;amp; numerical data; Body Mass Index; Cardiovascular Diseases/etiology; Chi-Square Distribution; Female; Humans; Linear Models; Lipids/*blood; Longitudinal Studies; Parity; Pregnancy/*blood; Prospective Studies; Risk Factors; Time Factors; Whites/statistics &amp;amp; numerical data&lt;/_subject_headings&gt;&lt;_tertiary_title&gt;American journal of epidemiology&lt;/_tertiary_title&gt;&lt;_type_work&gt;Journal Article; Multicenter Study; Research Support, U.S. Gov&amp;apos;t, P.H.S.&lt;/_type_work&gt;&lt;_url&gt;http://www.ncbi.nlm.nih.gov/entrez/query.fcgi?cmd=Retrieve&amp;amp;db=pubmed&amp;amp;dopt=Abstract&amp;amp;list_uids=15155287&amp;amp;query_hl=1&lt;/_url&gt;&lt;_volume&gt;159&lt;/_volume&gt;&lt;/Details&gt;&lt;Extra&gt;&lt;DBUID&gt;{F96A950B-833F-4880-A151-76DA2D6A2879}&lt;/DBUID&gt;&lt;/Extra&gt;&lt;/Item&gt;&lt;/References&gt;&lt;/Group&gt;&lt;Group&gt;&lt;References&gt;&lt;Item&gt;&lt;ID&gt;599&lt;/ID&gt;&lt;UID&gt;{2112088E-022D-4A9F-8576-FD29B681E9E5}&lt;/UID&gt;&lt;Title&gt;The relationship between multiparity and lipoprotein levels in older women&lt;/Title&gt;&lt;Template&gt;Journal Article&lt;/Template&gt;&lt;Star&gt;0&lt;/Star&gt;&lt;Tag&gt;5&lt;/Tag&gt;&lt;Author&gt;Kritz-Silverstein, D; Barrett-Connor, E; Wingard, D L&lt;/Author&gt;&lt;Year&gt;1992&lt;/Year&gt;&lt;Details&gt;&lt;_accession_num&gt;1619455&lt;/_accession_num&gt;&lt;_author_adr&gt;Department of Community and Family Medicine, University of California, San Diego,  La Jolla 92093.&lt;/_author_adr&gt;&lt;_collection_scope&gt;SCI;SCIE&lt;/_collection_scope&gt;&lt;_created&gt;64599435&lt;/_created&gt;&lt;_date&gt;1992-07-01&lt;/_date&gt;&lt;_date_display&gt;1992 Jul&lt;/_date_display&gt;&lt;_doi&gt;10.1016/0895-4356(92)90053-p&lt;/_doi&gt;&lt;_impact_factor&gt;   6.437&lt;/_impact_factor&gt;&lt;_isbn&gt;0895-4356 (Print); 0895-4356 (Linking)&lt;/_isbn&gt;&lt;_issue&gt;7&lt;/_issue&gt;&lt;_journal&gt;J Clin Epidemiol&lt;/_journal&gt;&lt;_language&gt;eng&lt;/_language&gt;&lt;_modified&gt;64601490&lt;/_modified&gt;&lt;_pages&gt;761-7&lt;/_pages&gt;&lt;_subject_headings&gt;Aged; Aged, 80 and over; Analysis of Variance; Anthropometry; California; Cholesterol, HDL/blood; Cholesterol, LDL/blood; Female; Humans; Lipoproteins/*blood; Middle Aged; *Parity; Regression Analysis; Triglycerides/blood&lt;/_subject_headings&gt;&lt;_tertiary_title&gt;Journal of clinical epidemiology&lt;/_tertiary_title&gt;&lt;_type_work&gt;Journal Article; Research Support, U.S. Gov&amp;apos;t, P.H.S.&lt;/_type_work&gt;&lt;_url&gt;http://www.ncbi.nlm.nih.gov/entrez/query.fcgi?cmd=Retrieve&amp;amp;db=pubmed&amp;amp;dopt=Abstract&amp;amp;list_uids=1619455&amp;amp;query_hl=1&lt;/_url&gt;&lt;_volume&gt;45&lt;/_volume&gt;&lt;/Details&gt;&lt;Extra&gt;&lt;DBUID&gt;{F96A950B-833F-4880-A151-76DA2D6A2879}&lt;/DBUID&gt;&lt;/Extra&gt;&lt;/Item&gt;&lt;/References&gt;&lt;/Group&gt;&lt;/Citation&gt;_x000a_"/>
    <w:docVar w:name="NE.Ref{51E5AD2B-3F07-43FC-8BDB-48A4A6D37C69}" w:val=" ADDIN NE.Ref.{51E5AD2B-3F07-43FC-8BDB-48A4A6D37C69}&lt;Citation&gt;&lt;Group&gt;&lt;References&gt;&lt;Item&gt;&lt;ID&gt;1&lt;/ID&gt;&lt;UID&gt;{BF3D6C26-9E15-4EED-BD04-105C47CEC17E}&lt;/UID&gt;&lt;Title&gt;Trends in adult body-mass index in 200 countries from 1975 to 2014: a pooled  analysis of 1698 population-based measurement studies with 19·2 million  participants&lt;/Title&gt;&lt;Template&gt;Journal Article&lt;/Template&gt;&lt;Star&gt;0&lt;/Star&gt;&lt;Tag&gt;0&lt;/Tag&gt;&lt;Author/&gt;&lt;Year&gt;2016&lt;/Year&gt;&lt;Details&gt;&lt;_accession_num&gt;27115820&lt;/_accession_num&gt;&lt;_collection_scope&gt;SCI;SCIE&lt;/_collection_scope&gt;&lt;_created&gt;64733386&lt;/_created&gt;&lt;_date&gt;2016-04-02&lt;/_date&gt;&lt;_date_display&gt;2016 Apr 2&lt;/_date_display&gt;&lt;_doi&gt;10.1016/S0140-6736(16)30054-X&lt;/_doi&gt;&lt;_impact_factor&gt;  79.323&lt;/_impact_factor&gt;&lt;_isbn&gt;1474-547X (Electronic); 0140-6736 (Linking)&lt;/_isbn&gt;&lt;_issue&gt;10026&lt;/_issue&gt;&lt;_journal&gt;Lancet&lt;/_journal&gt;&lt;_language&gt;eng&lt;/_language&gt;&lt;_modified&gt;64734679&lt;/_modified&gt;&lt;_ori_publication&gt;Copyright © 2016 NCD Risk Factor Collaboration. Open Access article distributed _x000d__x000a_      under the terms of CC BY. Published by Elsevier Ltd.. All rights reserved.&lt;/_ori_publication&gt;&lt;_pages&gt;1377-1396&lt;/_pages&gt;&lt;_subject_headings&gt;Adolescent; Adult; Bayes Theorem; *Body Mass Index; Developed Countries; Developing Countries; Female; Forecasting; *Global Health; Humans; Male; Models, Statistical; Obesity/*epidemiology; Prevalence; Thinness/epidemiology; Young Adult&lt;/_subject_headings&gt;&lt;_tertiary_title&gt;Lancet (London, England)&lt;/_tertiary_title&gt;&lt;_type_work&gt;Journal Article; Meta-Analysis; Research Support, Non-U.S. Gov&amp;apos;t; Review&lt;/_type_work&gt;&lt;_url&gt;http://www.ncbi.nlm.nih.gov/entrez/query.fcgi?cmd=Retrieve&amp;amp;db=pubmed&amp;amp;dopt=Abstract&amp;amp;list_uids=27115820&amp;amp;query_hl=1&lt;/_url&gt;&lt;_volume&gt;387&lt;/_volume&gt;&lt;/Details&gt;&lt;Extra&gt;&lt;DBUID&gt;{C818A046-6D8C-4B07-8765-4E05C48B46EA}&lt;/DBUID&gt;&lt;/Extra&gt;&lt;/Item&gt;&lt;/References&gt;&lt;/Group&gt;&lt;/Citation&gt;_x000a_"/>
    <w:docVar w:name="NE.Ref{551FDEE8-406C-420F-BA38-A40F20D52553}" w:val=" ADDIN NE.Ref.{551FDEE8-406C-420F-BA38-A40F20D52553}&lt;Citation&gt;&lt;Group&gt;&lt;References&gt;&lt;Item&gt;&lt;ID&gt;576&lt;/ID&gt;&lt;UID&gt;{242632F4-5A2E-4124-A35C-527E3E1CD8BC}&lt;/UID&gt;&lt;Title&gt;Postpartum Weight Retention and Cardiometabolic Risk among Saudi Women: A  Follow-Up Study of RAHMA Subcohort&lt;/Title&gt;&lt;Template&gt;Journal Article&lt;/Template&gt;&lt;Star&gt;0&lt;/Star&gt;&lt;Tag&gt;5&lt;/Tag&gt;&lt;Author&gt;Wahabi, H A; Fayed, A A; Tharkar, S; Esmaeil, S A; Bakhsh, H&lt;/Author&gt;&lt;Year&gt;2019&lt;/Year&gt;&lt;Details&gt;&lt;_accession_num&gt;31355253&lt;/_accession_num&gt;&lt;_author_adr&gt;Chair of Evidence-Based Healthcare and Knowledge Translation, College of  Medicine, King Saud University, Riyadh, Saudi Arabia.; Department of Family and Community Medicine, College of Medicine, King Saud  University, Riyadh, Saudi Arabia.; College of Medicine, Princess Nourah Bint Abdulrahman University, Riyadh, Saudi  Arabia.; Department of Biostatistics, High Institute of Public Health, Alexandria  University, Alexandria, Egypt.; Prince Sattam Chair for Epidemiology and Public Health Research, College of  Medicine, King Saud University, Saudi Arabia.; Chair of Evidence-Based Healthcare and Knowledge Translation, College of  Medicine, King Saud University, Riyadh, Saudi Arabia.; College of Medicine, Princess Nourah Bint Abdulrahman University, Riyadh, Saudi  Arabia.&lt;/_author_adr&gt;&lt;_collection_scope&gt;SCIE&lt;/_collection_scope&gt;&lt;_created&gt;64584945&lt;/_created&gt;&lt;_date&gt;2019-01-20&lt;/_date&gt;&lt;_date_display&gt;2019&lt;/_date_display&gt;&lt;_doi&gt;10.1155/2019/2957429&lt;/_doi&gt;&lt;_impact_factor&gt;   3.411&lt;/_impact_factor&gt;&lt;_isbn&gt;2314-6141 (Electronic); 2314-6133 (Print)&lt;/_isbn&gt;&lt;_journal&gt;Biomed Res Int&lt;/_journal&gt;&lt;_language&gt;eng&lt;/_language&gt;&lt;_modified&gt;64599346&lt;/_modified&gt;&lt;_pages&gt;2957429&lt;/_pages&gt;&lt;_subject_headings&gt;Adult; Female; Follow-Up Studies; *Gestational Weight Gain; Humans; Postpartum Period; Pregnancy; *Pregnancy Complications, Cardiovascular/epidemiology/pathology/physiopathology; Risk Factors; Saudi Arabia/epidemiology&lt;/_subject_headings&gt;&lt;_tertiary_title&gt;BioMed research international&lt;/_tertiary_title&gt;&lt;_type_work&gt;Clinical Trial; Journal Article; Multicenter Study&lt;/_type_work&gt;&lt;_url&gt;http://www.ncbi.nlm.nih.gov/entrez/query.fcgi?cmd=Retrieve&amp;amp;db=pubmed&amp;amp;dopt=Abstract&amp;amp;list_uids=31355253&amp;amp;query_hl=1&lt;/_url&gt;&lt;_volume&gt;2019&lt;/_volume&gt;&lt;/Details&gt;&lt;Extra&gt;&lt;DBUID&gt;{F96A950B-833F-4880-A151-76DA2D6A2879}&lt;/DBUID&gt;&lt;/Extra&gt;&lt;/Item&gt;&lt;/References&gt;&lt;/Group&gt;&lt;/Citation&gt;_x000a_"/>
    <w:docVar w:name="NE.Ref{55456C1A-E77D-4538-AAC4-69FF2B628372}" w:val=" ADDIN NE.Ref.{55456C1A-E77D-4538-AAC4-69FF2B628372}&lt;Citation&gt;&lt;Group&gt;&lt;References&gt;&lt;Item&gt;&lt;ID&gt;20&lt;/ID&gt;&lt;UID&gt;{45C6613F-E17E-43FD-895D-502E68EABE50}&lt;/UID&gt;&lt;Title&gt;Associations of Carotid Intima-Media Thickness and Plaque Heterogeneity With the  Risks of Stroke Subtypes and Coronary Artery Disease in the Japanese General  Population: The Circulatory Risk in Communities Study&lt;/Title&gt;&lt;Template&gt;Journal Article&lt;/Template&gt;&lt;Star&gt;0&lt;/Star&gt;&lt;Tag&gt;0&lt;/Tag&gt;&lt;Author&gt;Shimoda, S; Kitamura, A; Imano, H; Cui, R; Muraki, I; Yamagishi, K; Umesawa, M; Sankai, T; Hayama-Terada, M; Kubota, Y; Shimizu, Y; Okada, T; Kiyama, M; Iso, H&lt;/Author&gt;&lt;Year&gt;2020&lt;/Year&gt;&lt;Details&gt;&lt;_accession_num&gt;32990124&lt;/_accession_num&gt;&lt;_author_adr&gt;Public Health, Department of Social Medicine Osaka University Graduate School of  Medicine Osaka Japan.; Public Health, Department of Social Medicine Osaka University Graduate School of  Medicine Osaka Japan.; Research Team for Social Participation and Community Health Tokyo Metropolitan  Institute of Gerontology Tokyo Japan.; Osaka Center for Cancer and Cardiovascular Disease Prevention Osaka Japan.; Public Health, Department of Social Medicine Osaka University Graduate School of  Medicine Osaka Japan.; Osaka Center for Cancer and Cardiovascular Disease Prevention Osaka Japan.; Public Health, Department of Social Medicine Osaka University Graduate School of  Medicine Osaka Japan.; Public Health, Department of Social Medicine Osaka University Graduate School of  Medicine Osaka Japan.; Osaka Center for Cancer and Cardiovascular Disease Prevention Osaka Japan.; Department of Public Health Medicine, Faculty of Medicine, and Health Services  Research and Development Center University of Tsukuba Ibaraki Japan.; Ibaraki Western Medical Center Ibaraki Japan.; Department of Public Health Medicine, Faculty of Medicine, and Health Services  Research and Development Center University of Tsukuba Ibaraki Japan.; Department of Public Health Dokkyo Medical University Tochigi Japan.; Department of Public Health and Nursing, Faculty of Medicine University of  Tsukuba Ibaraki Japan.; Osaka Center for Cancer and Cardiovascular Disease Prevention Osaka Japan.; Yao Public Health Center, Yao City Office Osaka Japan.; Osaka Center for Cancer and Cardiovascular Disease Prevention Osaka Japan.; Osaka Center for Cancer and Cardiovascular Disease Prevention Osaka Japan.; Osaka Center for Cancer and Cardiovascular Disease Prevention Osaka Japan.; Osaka Center for Cancer and Cardiovascular Disease Prevention Osaka Japan.; Public Health, Department of Social Medicine Osaka University Graduate School of  Medicine Osaka Japan.&lt;/_author_adr&gt;&lt;_collection_scope&gt;SCIE&lt;/_collection_scope&gt;&lt;_created&gt;64733398&lt;/_created&gt;&lt;_date&gt;2020-10-20&lt;/_date&gt;&lt;_date_display&gt;2020 Oct 20&lt;/_date_display&gt;&lt;_doi&gt;10.1161/JAHA.120.017020&lt;/_doi&gt;&lt;_impact_factor&gt;   5.501&lt;/_impact_factor&gt;&lt;_isbn&gt;2047-9980 (Electronic); 2047-9980 (Linking)&lt;/_isbn&gt;&lt;_issue&gt;19&lt;/_issue&gt;&lt;_journal&gt;J Am Heart Assoc&lt;/_journal&gt;&lt;_keywords&gt;carotid intima‐media thickness; coronary artery disease; lacunar infarct; plaque; stroke&lt;/_keywords&gt;&lt;_language&gt;eng&lt;/_language&gt;&lt;_modified&gt;64734680&lt;/_modified&gt;&lt;_pages&gt;e017020&lt;/_pages&gt;&lt;_subject_headings&gt;Adult; Aged; Carotid Intima-Media Thickness/*adverse effects/statistics &amp;amp; numerical data; Carotid Stenosis/*complications/epidemiology; Coronary Artery Disease/epidemiology/*etiology; Female; Hemorrhagic Stroke/epidemiology/etiology; Humans; Ischemic Stroke/epidemiology/etiology; Japan/epidemiology; Male; Middle Aged; Proportional Hazards Models; Prospective Studies; Risk Factors; Stroke/epidemiology/*etiology&lt;/_subject_headings&gt;&lt;_tertiary_title&gt;Journal of the American Heart Association&lt;/_tertiary_title&gt;&lt;_type_work&gt;Journal Article; Research Support, Non-U.S. Gov&amp;apos;t&lt;/_type_work&gt;&lt;_url&gt;http://www.ncbi.nlm.nih.gov/entrez/query.fcgi?cmd=Retrieve&amp;amp;db=pubmed&amp;amp;dopt=Abstract&amp;amp;list_uids=32990124&amp;amp;query_hl=1&lt;/_url&gt;&lt;_volume&gt;9&lt;/_volume&gt;&lt;/Details&gt;&lt;Extra&gt;&lt;DBUID&gt;{C818A046-6D8C-4B07-8765-4E05C48B46EA}&lt;/DBUID&gt;&lt;/Extra&gt;&lt;/Item&gt;&lt;/References&gt;&lt;/Group&gt;&lt;/Citation&gt;_x000a_"/>
    <w:docVar w:name="NE.Ref{557760F4-00C4-449C-B4D6-294C2F980987}" w:val=" ADDIN NE.Ref.{557760F4-00C4-449C-B4D6-294C2F980987}&lt;Citation&gt;&lt;Group&gt;&lt;References&gt;&lt;Item&gt;&lt;ID&gt;30&lt;/ID&gt;&lt;UID&gt;{0AB6B808-C360-4F6A-B93A-74B394D22856}&lt;/UID&gt;&lt;Title&gt;Postpartum Weight Retention and Cardiometabolic Risk among Saudi Women: A  Follow-Up Study of RAHMA Subcohort&lt;/Title&gt;&lt;Template&gt;Journal Article&lt;/Template&gt;&lt;Star&gt;0&lt;/Star&gt;&lt;Tag&gt;0&lt;/Tag&gt;&lt;Author&gt;Wahabi, H A; Fayed, A A; Tharkar, S; Esmaeil, S A; Bakhsh, H&lt;/Author&gt;&lt;Year&gt;2019&lt;/Year&gt;&lt;Details&gt;&lt;_accession_num&gt;31355253&lt;/_accession_num&gt;&lt;_author_adr&gt;Chair of Evidence-Based Healthcare and Knowledge Translation, College of  Medicine, King Saud University, Riyadh, Saudi Arabia.; Department of Family and Community Medicine, College of Medicine, King Saud  University, Riyadh, Saudi Arabia.; College of Medicine, Princess Nourah Bint Abdulrahman University, Riyadh, Saudi  Arabia.; Department of Biostatistics, High Institute of Public Health, Alexandria  University, Alexandria, Egypt.; Prince Sattam Chair for Epidemiology and Public Health Research, College of  Medicine, King Saud University, Saudi Arabia.; Chair of Evidence-Based Healthcare and Knowledge Translation, College of  Medicine, King Saud University, Riyadh, Saudi Arabia.; College of Medicine, Princess Nourah Bint Abdulrahman University, Riyadh, Saudi  Arabia.&lt;/_author_adr&gt;&lt;_collection_scope&gt;SCIE&lt;/_collection_scope&gt;&lt;_created&gt;64734599&lt;/_created&gt;&lt;_date&gt;2019-01-20&lt;/_date&gt;&lt;_date_display&gt;2019&lt;/_date_display&gt;&lt;_doi&gt;10.1155/2019/2957429&lt;/_doi&gt;&lt;_impact_factor&gt;   3.411&lt;/_impact_factor&gt;&lt;_isbn&gt;2314-6141 (Electronic); 2314-6133 (Print)&lt;/_isbn&gt;&lt;_journal&gt;Biomed Res Int&lt;/_journal&gt;&lt;_language&gt;eng&lt;/_language&gt;&lt;_modified&gt;64734680&lt;/_modified&gt;&lt;_pages&gt;2957429&lt;/_pages&gt;&lt;_subject_headings&gt;Adult; Female; Follow-Up Studies; *Gestational Weight Gain; Humans; Postpartum Period; Pregnancy; *Pregnancy Complications, Cardiovascular/epidemiology/pathology/physiopathology; Risk Factors; Saudi Arabia/epidemiology&lt;/_subject_headings&gt;&lt;_tertiary_title&gt;BioMed research international&lt;/_tertiary_title&gt;&lt;_type_work&gt;Clinical Trial; Journal Article; Multicenter Study&lt;/_type_work&gt;&lt;_url&gt;http://www.ncbi.nlm.nih.gov/entrez/query.fcgi?cmd=Retrieve&amp;amp;db=pubmed&amp;amp;dopt=Abstract&amp;amp;list_uids=31355253&amp;amp;query_hl=1&lt;/_url&gt;&lt;_volume&gt;2019&lt;/_volume&gt;&lt;/Details&gt;&lt;Extra&gt;&lt;DBUID&gt;{C818A046-6D8C-4B07-8765-4E05C48B46EA}&lt;/DBUID&gt;&lt;/Extra&gt;&lt;/Item&gt;&lt;/References&gt;&lt;/Group&gt;&lt;/Citation&gt;_x000a_"/>
    <w:docVar w:name="NE.Ref{55971A79-2A79-4AC4-A2BB-C6F1C6AF7039}" w:val=" ADDIN NE.Ref.{55971A79-2A79-4AC4-A2BB-C6F1C6AF7039}&lt;Citation&gt;&lt;Group&gt;&lt;References&gt;&lt;Item&gt;&lt;ID&gt;583&lt;/ID&gt;&lt;UID&gt;{DD4159C2-EFCE-4F02-9DAF-5D94F90D2232}&lt;/UID&gt;&lt;Title&gt;Effects of weight loss interventions for adults who are obese on mortality,  cardiovascular disease, and cancer: systematic review and meta-analysis&lt;/Title&gt;&lt;Template&gt;Journal Article&lt;/Template&gt;&lt;Star&gt;0&lt;/Star&gt;&lt;Tag&gt;5&lt;/Tag&gt;&lt;Author&gt;Ma, C; Avenell, A; Bolland, M; Hudson, J; Stewart, F; Robertson, C; Sharma, P; Fraser, C; MacLennan, G&lt;/Author&gt;&lt;Year&gt;2017&lt;/Year&gt;&lt;Details&gt;&lt;_accession_num&gt;29138133&lt;/_accession_num&gt;&lt;_author_adr&gt;Health Services Research Unit, University of Aberdeen, Health Sciences Building,  Foresterhill, Aberdeen AB25 2ZD, Scotland, UK.; Health Services Research Unit, University of Aberdeen, Health Sciences Building,  Foresterhill, Aberdeen AB25 2ZD, Scotland, UK a.avenell@abdn.ac.uk.; Bone and Joint Research Group, Department of Medicine, University of Auckland,  Private Bag 92 019, Auckland 1142, New Zealand.; Health Services Research Unit, University of Aberdeen, Health Sciences Building,  Foresterhill, Aberdeen AB25 2ZD, Scotland, UK.; Health Services Research Unit, University of Aberdeen, Health Sciences Building,  Foresterhill, Aberdeen AB25 2ZD, Scotland, UK.; Health Services Research Unit, University of Aberdeen, Health Sciences Building,  Foresterhill, Aberdeen AB25 2ZD, Scotland, UK.; Health Services Research Unit, University of Aberdeen, Health Sciences Building,  Foresterhill, Aberdeen AB25 2ZD, Scotland, UK.; Health Services Research Unit, University of Aberdeen, Health Sciences Building,  Foresterhill, Aberdeen AB25 2ZD, Scotland, UK.; Centre for Healthcare Randomised Trials, University of Aberdeen, Health Sciences  Building, Foresterhill, Aberdeen AB25 2ZD, Scotland, UK.&lt;/_author_adr&gt;&lt;_created&gt;64587947&lt;/_created&gt;&lt;_date&gt;2017-11-14&lt;/_date&gt;&lt;_date_display&gt;2017 Nov 14&lt;/_date_display&gt;&lt;_doi&gt;10.1136/bmj.j4849&lt;/_doi&gt;&lt;_impact_factor&gt;  39.890&lt;/_impact_factor&gt;&lt;_isbn&gt;1756-1833 (Electronic); 0959-8138 (Print); 0959-8138 (Linking)&lt;/_isbn&gt;&lt;_journal&gt;BMJ&lt;/_journal&gt;&lt;_language&gt;eng&lt;/_language&gt;&lt;_modified&gt;64601631&lt;/_modified&gt;&lt;_ori_publication&gt;Published by the BMJ Publishing Group Limited. For permission to use (where not _x000d__x000a_      already granted under a licence) please go to _x000d__x000a_      http://group.bmj.com/group/rights-licensing/permissions.&lt;/_ori_publication&gt;&lt;_pages&gt;j4849&lt;/_pages&gt;&lt;_subject_headings&gt;Adult; Body Mass Index; Cardiovascular Diseases/mortality/prevention &amp;amp; control; *Diet, Reducing; Exercise/*physiology; Female; Humans; Male; Middle Aged; Neoplasms/mortality/prevention &amp;amp; control; Obesity/diagnosis/*mortality/*therapy; *Quality of Life; Randomized Controlled Trials as Topic; Survival Analysis; United Kingdom; Weight Loss/*physiology&lt;/_subject_headings&gt;&lt;_tertiary_title&gt;BMJ (Clinical research ed.)&lt;/_tertiary_title&gt;&lt;_type_work&gt;Journal Article; Meta-Analysis; Review; Systematic Review&lt;/_type_work&gt;&lt;_url&gt;http://www.ncbi.nlm.nih.gov/entrez/query.fcgi?cmd=Retrieve&amp;amp;db=pubmed&amp;amp;dopt=Abstract&amp;amp;list_uids=29138133&amp;amp;query_hl=1&lt;/_url&gt;&lt;_volume&gt;359&lt;/_volume&gt;&lt;/Details&gt;&lt;Extra&gt;&lt;DBUID&gt;{F96A950B-833F-4880-A151-76DA2D6A2879}&lt;/DBUID&gt;&lt;/Extra&gt;&lt;/Item&gt;&lt;/References&gt;&lt;/Group&gt;&lt;Group&gt;&lt;References&gt;&lt;Item&gt;&lt;ID&gt;584&lt;/ID&gt;&lt;UID&gt;{15380C24-3591-43A7-851D-0C26A4C9A14A}&lt;/UID&gt;&lt;Title&gt;Bariatric surgery and its impact on cardiovascular disease and mortality: a  systematic review and meta-analysis&lt;/Title&gt;&lt;Template&gt;Journal Article&lt;/Template&gt;&lt;Star&gt;0&lt;/Star&gt;&lt;Tag&gt;5&lt;/Tag&gt;&lt;Author&gt;Kwok, C S; Pradhan, A; Khan, M A; Anderson, S G; Keavney, B D; Myint, P K; Mamas, M A; Loke, Y K&lt;/Author&gt;&lt;Year&gt;2014&lt;/Year&gt;&lt;Details&gt;&lt;_accession_num&gt;24636546&lt;/_accession_num&gt;&lt;_author_adr&gt;Cardiovascular Institute, University of Manchester, Manchester, UK. Electronic  address: shingkwok@doctors.org.uk.; Royal Preston Hospital, Fulwood, Preston, UK.; Cardiovascular Institute, University of Manchester, Manchester, UK.; Cardiovascular Institute, University of Manchester, Manchester, UK.; Cardiovascular Institute, University of Manchester, Manchester, UK.; School of Medicine &amp;amp; Dentistry, University of Aberdeen, Foresterhill, Aberdeen,  UK.; Cardiovascular Institute, University of Manchester, Manchester, UK.; Norwich Medical School, University of East Anglia, Norwich, UK.&lt;/_author_adr&gt;&lt;_collection_scope&gt;SCI;SCIE&lt;/_collection_scope&gt;&lt;_created&gt;64588148&lt;/_created&gt;&lt;_date&gt;2014-04-15&lt;/_date&gt;&lt;_date_display&gt;2014 Apr 15&lt;/_date_display&gt;&lt;_doi&gt;10.1016/j.ijcard.2014.02.026&lt;/_doi&gt;&lt;_impact_factor&gt;   4.164&lt;/_impact_factor&gt;&lt;_isbn&gt;1874-1754 (Electronic); 0167-5273 (Linking)&lt;/_isbn&gt;&lt;_issue&gt;1&lt;/_issue&gt;&lt;_journal&gt;Int J Cardiol&lt;/_journal&gt;&lt;_keywords&gt;Bariatric surgery; Cardiovascular disease; Mortality; Myocardial infarction; Obesity; Stroke&lt;/_keywords&gt;&lt;_language&gt;eng&lt;/_language&gt;&lt;_modified&gt;64601631&lt;/_modified&gt;&lt;_ori_publication&gt;Copyright © 2014 Elsevier Ireland Ltd. All rights reserved.&lt;/_ori_publication&gt;&lt;_pages&gt;20-8&lt;/_pages&gt;&lt;_subject_headings&gt;Bariatric Surgery/*mortality; Cardiovascular Diseases/*mortality/*prevention &amp;amp; control; Humans; Mortality/trends; Obesity/mortality/surgery; Observational Studies as Topic/mortality; Prospective Studies; Retrospective Studies; Risk Factors; Stroke/mortality/prevention &amp;amp; control; Weight Loss/physiology&lt;/_subject_headings&gt;&lt;_tertiary_title&gt;International journal of cardiology&lt;/_tertiary_title&gt;&lt;_type_work&gt;Journal Article; Meta-Analysis; Review; Systematic Review&lt;/_type_work&gt;&lt;_url&gt;http://www.ncbi.nlm.nih.gov/entrez/query.fcgi?cmd=Retrieve&amp;amp;db=pubmed&amp;amp;dopt=Abstract&amp;amp;list_uids=24636546&amp;amp;query_hl=1&lt;/_url&gt;&lt;_volume&gt;173&lt;/_volume&gt;&lt;/Details&gt;&lt;Extra&gt;&lt;DBUID&gt;{F96A950B-833F-4880-A151-76DA2D6A2879}&lt;/DBUID&gt;&lt;/Extra&gt;&lt;/Item&gt;&lt;/References&gt;&lt;/Group&gt;&lt;Group&gt;&lt;References&gt;&lt;Item&gt;&lt;ID&gt;585&lt;/ID&gt;&lt;UID&gt;{B6F3CBFB-D26B-42B1-8944-66D6275B46E9}&lt;/UID&gt;&lt;Title&gt;Beneficial health effects of modest weight loss&lt;/Title&gt;&lt;Template&gt;Journal Article&lt;/Template&gt;&lt;Star&gt;0&lt;/Star&gt;&lt;Tag&gt;5&lt;/Tag&gt;&lt;Author&gt;Goldstein, D J&lt;/Author&gt;&lt;Year&gt;1992&lt;/Year&gt;&lt;Details&gt;&lt;_accession_num&gt;1322866&lt;/_accession_num&gt;&lt;_author_adr&gt;Lilly Research Laboratories, Eli Lilly and Company, Department of Pharmacology  and Toxicology, Indiana University School of Medicine, Indianapolis 46285.&lt;/_author_adr&gt;&lt;_created&gt;64588998&lt;/_created&gt;&lt;_date&gt;1992-06-01&lt;/_date&gt;&lt;_date_display&gt;1992 Jun&lt;/_date_display&gt;&lt;_issue&gt;6&lt;/_issue&gt;&lt;_journal&gt;Int J Obes Relat Metab Disord&lt;/_journal&gt;&lt;_language&gt;eng&lt;/_language&gt;&lt;_modified&gt;64601631&lt;/_modified&gt;&lt;_pages&gt;397-415&lt;/_pages&gt;&lt;_subject_headings&gt;Cardiovascular Diseases/*etiology; Diabetes Mellitus, Type 2/*etiology; Diet, Reducing; Humans; Hyperlipidemias/complications/etiology; Hypertension/*etiology; MEDLINE; Obesity/*complications/diet therapy; Risk Factors; *Weight Loss&lt;/_subject_headings&gt;&lt;_tertiary_title&gt;International journal of obesity and related metabolic disorders : journal of the _x000d__x000a_      International Association for the Study of Obesity&lt;/_tertiary_title&gt;&lt;_type_work&gt;Journal Article; Review&lt;/_type_work&gt;&lt;_url&gt;http://www.ncbi.nlm.nih.gov/entrez/query.fcgi?cmd=Retrieve&amp;amp;db=pubmed&amp;amp;dopt=Abstract&amp;amp;list_uids=1322866&amp;amp;query_hl=1&lt;/_url&gt;&lt;_volume&gt;16&lt;/_volume&gt;&lt;/Details&gt;&lt;Extra&gt;&lt;DBUID&gt;{F96A950B-833F-4880-A151-76DA2D6A2879}&lt;/DBUID&gt;&lt;/Extra&gt;&lt;/Item&gt;&lt;/References&gt;&lt;/Group&gt;&lt;Group&gt;&lt;References&gt;&lt;Item&gt;&lt;ID&gt;586&lt;/ID&gt;&lt;UID&gt;{99C45605-B23E-4F02-AE83-D4EEF6AE2307}&lt;/UID&gt;&lt;Title&gt;Is weight loss beneficial for reduction of morbidity and mortality? What is the  controversy about?&lt;/Title&gt;&lt;Template&gt;Journal Article&lt;/Template&gt;&lt;Star&gt;0&lt;/Star&gt;&lt;Tag&gt;5&lt;/Tag&gt;&lt;Author&gt;Nilsson, P M&lt;/Author&gt;&lt;Year&gt;2008&lt;/Year&gt;&lt;Details&gt;&lt;_accession_num&gt;18227497&lt;/_accession_num&gt;&lt;_author_adr&gt;Department of Clinical Sciences, University Hospital, S-205 02 Malmö, Sweden.  peter.nilsson@med.lu.se&lt;/_author_adr&gt;&lt;_collection_scope&gt;SCI;SCIE&lt;/_collection_scope&gt;&lt;_created&gt;64592370&lt;/_created&gt;&lt;_date&gt;2008-02-01&lt;/_date&gt;&lt;_date_display&gt;2008 Feb&lt;/_date_display&gt;&lt;_doi&gt;10.2337/dc08-s268&lt;/_doi&gt;&lt;_impact_factor&gt;  19.112&lt;/_impact_factor&gt;&lt;_isbn&gt;1935-5548 (Electronic); 0149-5992 (Linking)&lt;/_isbn&gt;&lt;_journal&gt;Diabetes Care&lt;/_journal&gt;&lt;_language&gt;eng&lt;/_language&gt;&lt;_modified&gt;64601631&lt;/_modified&gt;&lt;_pages&gt;S278-83&lt;/_pages&gt;&lt;_subject_headings&gt;Bariatric Surgery; Cannabinoids/antagonists &amp;amp; inhibitors; Cardiovascular Diseases/epidemiology/prevention &amp;amp; control; Diabetes Mellitus, Type 2/complications/*epidemiology/prevention &amp;amp; control; Diabetic Angiopathies/epidemiology/prevention &amp;amp; control; Humans; Life Style; Multicenter Studies as Topic; Obesity/epidemiology/mortality/*prevention &amp;amp; control/rehabilitation; Piperidines/therapeutic use; Power, Psychological; Pyrazoles/therapeutic use; Rimonabant; Self Concept; *Weight Loss&lt;/_subject_headings&gt;&lt;_tertiary_title&gt;Diabetes care&lt;/_tertiary_title&gt;&lt;_type_work&gt;Journal Article; Research Support, Non-U.S. Gov&amp;apos;t; Review&lt;/_type_work&gt;&lt;_url&gt;http://www.ncbi.nlm.nih.gov/entrez/query.fcgi?cmd=Retrieve&amp;amp;db=pubmed&amp;amp;dopt=Abstract&amp;amp;list_uids=18227497&amp;amp;query_hl=1&lt;/_url&gt;&lt;_volume&gt;31 Suppl 2&lt;/_volume&gt;&lt;/Details&gt;&lt;Extra&gt;&lt;DBUID&gt;{F96A950B-833F-4880-A151-76DA2D6A2879}&lt;/DBUID&gt;&lt;/Extra&gt;&lt;/Item&gt;&lt;/References&gt;&lt;/Group&gt;&lt;Group&gt;&lt;References&gt;&lt;Item&gt;&lt;ID&gt;587&lt;/ID&gt;&lt;UID&gt;{F910EAE8-E30D-4F42-8668-CF05B42417E1}&lt;/UID&gt;&lt;Title&gt;Differentiated long-term effects of intentional weight loss on diabetes and  hypertension&lt;/Title&gt;&lt;Template&gt;Journal Article&lt;/Template&gt;&lt;Star&gt;0&lt;/Star&gt;&lt;Tag&gt;5&lt;/Tag&gt;&lt;Author&gt;Sjöström, C D; Peltonen, M; Wedel, H; Sjöström, L&lt;/Author&gt;&lt;Year&gt;2000&lt;/Year&gt;&lt;Details&gt;&lt;_accession_num&gt;10904007&lt;/_accession_num&gt;&lt;_author_adr&gt;Departments of Anesthesiology and Intensive Care, University of Göteborg,  Göteborg, Sweden. david.sjostrom@medfak.gu.se&lt;/_author_adr&gt;&lt;_collection_scope&gt;SCI;SCIE&lt;/_collection_scope&gt;&lt;_created&gt;64592372&lt;/_created&gt;&lt;_date&gt;2000-07-01&lt;/_date&gt;&lt;_date_display&gt;2000 Jul&lt;/_date_display&gt;&lt;_doi&gt;10.1161/01.hyp.36.1.20&lt;/_doi&gt;&lt;_impact_factor&gt;  10.190&lt;/_impact_factor&gt;&lt;_isbn&gt;0194-911X (Print); 0194-911X (Linking)&lt;/_isbn&gt;&lt;_issue&gt;1&lt;/_issue&gt;&lt;_journal&gt;Hypertension&lt;/_journal&gt;&lt;_language&gt;eng&lt;/_language&gt;&lt;_modified&gt;64601631&lt;/_modified&gt;&lt;_pages&gt;20-5&lt;/_pages&gt;&lt;_subject_headings&gt;Adult; Diabetes Mellitus/*epidemiology; Female; Humans; Hypertension/*epidemiology; Incidence; Male; Middle Aged; Obesity/*complications; Prevalence; Prospective Studies; *Weight Loss&lt;/_subject_headings&gt;&lt;_tertiary_title&gt;Hypertension (Dallas, Tex. : 1979)&lt;/_tertiary_title&gt;&lt;_type_work&gt;Journal Article; Research Support, Non-U.S. Gov&amp;apos;t&lt;/_type_work&gt;&lt;_url&gt;http://www.ncbi.nlm.nih.gov/entrez/query.fcgi?cmd=Retrieve&amp;amp;db=pubmed&amp;amp;dopt=Abstract&amp;amp;list_uids=10904007&amp;amp;query_hl=1&lt;/_url&gt;&lt;_volume&gt;36&lt;/_volume&gt;&lt;/Details&gt;&lt;Extra&gt;&lt;DBUID&gt;{F96A950B-833F-4880-A151-76DA2D6A2879}&lt;/DBUID&gt;&lt;/Extra&gt;&lt;/Item&gt;&lt;/References&gt;&lt;/Group&gt;&lt;/Citation&gt;_x000a_"/>
    <w:docVar w:name="NE.Ref{56C3A6B4-58DF-46C9-924C-EF68658A9811}" w:val=" ADDIN NE.Ref.{56C3A6B4-58DF-46C9-924C-EF68658A9811}&lt;Citation&gt;&lt;Group&gt;&lt;References&gt;&lt;Item&gt;&lt;ID&gt;1&lt;/ID&gt;&lt;UID&gt;{BF3D6C26-9E15-4EED-BD04-105C47CEC17E}&lt;/UID&gt;&lt;Title&gt;Trends in adult body-mass index in 200 countries from 1975 to 2014: a pooled  analysis of 1698 population-based measurement studies with 19·2 million  participants&lt;/Title&gt;&lt;Template&gt;Journal Article&lt;/Template&gt;&lt;Star&gt;0&lt;/Star&gt;&lt;Tag&gt;0&lt;/Tag&gt;&lt;Author/&gt;&lt;Year&gt;2016&lt;/Year&gt;&lt;Details&gt;&lt;_accession_num&gt;27115820&lt;/_accession_num&gt;&lt;_collection_scope&gt;SCI;SCIE&lt;/_collection_scope&gt;&lt;_created&gt;64733386&lt;/_created&gt;&lt;_date&gt;2016-04-02&lt;/_date&gt;&lt;_date_display&gt;2016 Apr 2&lt;/_date_display&gt;&lt;_doi&gt;10.1016/S0140-6736(16)30054-X&lt;/_doi&gt;&lt;_impact_factor&gt;  79.323&lt;/_impact_factor&gt;&lt;_isbn&gt;1474-547X (Electronic); 0140-6736 (Linking)&lt;/_isbn&gt;&lt;_issue&gt;10026&lt;/_issue&gt;&lt;_journal&gt;Lancet&lt;/_journal&gt;&lt;_language&gt;eng&lt;/_language&gt;&lt;_modified&gt;64734679&lt;/_modified&gt;&lt;_ori_publication&gt;Copyright © 2016 NCD Risk Factor Collaboration. Open Access article distributed _x000d__x000a_      under the terms of CC BY. Published by Elsevier Ltd.. All rights reserved.&lt;/_ori_publication&gt;&lt;_pages&gt;1377-1396&lt;/_pages&gt;&lt;_subject_headings&gt;Adolescent; Adult; Bayes Theorem; *Body Mass Index; Developed Countries; Developing Countries; Female; Forecasting; *Global Health; Humans; Male; Models, Statistical; Obesity/*epidemiology; Prevalence; Thinness/epidemiology; Young Adult&lt;/_subject_headings&gt;&lt;_tertiary_title&gt;Lancet (London, England)&lt;/_tertiary_title&gt;&lt;_type_work&gt;Journal Article; Meta-Analysis; Research Support, Non-U.S. Gov&amp;apos;t; Review&lt;/_type_work&gt;&lt;_url&gt;http://www.ncbi.nlm.nih.gov/entrez/query.fcgi?cmd=Retrieve&amp;amp;db=pubmed&amp;amp;dopt=Abstract&amp;amp;list_uids=27115820&amp;amp;query_hl=1&lt;/_url&gt;&lt;_volume&gt;387&lt;/_volume&gt;&lt;/Details&gt;&lt;Extra&gt;&lt;DBUID&gt;{C818A046-6D8C-4B07-8765-4E05C48B46EA}&lt;/DBUID&gt;&lt;/Extra&gt;&lt;/Item&gt;&lt;/References&gt;&lt;/Group&gt;&lt;/Citation&gt;_x000a_"/>
    <w:docVar w:name="NE.Ref{58EF0BBF-2182-44EF-AF50-BCDD9C34C9BB}" w:val=" ADDIN NE.Ref.{58EF0BBF-2182-44EF-AF50-BCDD9C34C9BB}&lt;Citation&gt;&lt;Group&gt;&lt;References&gt;&lt;Item&gt;&lt;ID&gt;3&lt;/ID&gt;&lt;UID&gt;{35D4BEDC-ED0A-4652-8B19-ECEC2869F844}&lt;/UID&gt;&lt;Title&gt;Epidemiology of gestational weight gain and body weight changes after pregnancy&lt;/Title&gt;&lt;Template&gt;Journal Article&lt;/Template&gt;&lt;Star&gt;0&lt;/Star&gt;&lt;Tag&gt;0&lt;/Tag&gt;&lt;Author&gt;Gunderson, E P; Abrams, B&lt;/Author&gt;&lt;Year&gt;2000&lt;/Year&gt;&lt;Details&gt;&lt;_accession_num&gt;11218377&lt;/_accession_num&gt;&lt;_author_adr&gt;Division of Public Health and Epidemiology, School of Public Health, University  of California, Berkeley, CA, USA. epg@dor.kaiser.org&lt;/_author_adr&gt;&lt;_collection_scope&gt;SCI;SCIE&lt;/_collection_scope&gt;&lt;_created&gt;64733389&lt;/_created&gt;&lt;_date&gt;2000-01-20&lt;/_date&gt;&lt;_date_display&gt;2000&lt;/_date_display&gt;&lt;_doi&gt;10.1093/oxfordjournals.epirev.a018038&lt;/_doi&gt;&lt;_impact_factor&gt;   6.222&lt;/_impact_factor&gt;&lt;_isbn&gt;0193-936X (Print); 0193-936X (Linking)&lt;/_isbn&gt;&lt;_issue&gt;2&lt;/_issue&gt;&lt;_journal&gt;Epidemiol Rev&lt;/_journal&gt;&lt;_language&gt;eng&lt;/_language&gt;&lt;_modified&gt;64734679&lt;/_modified&gt;&lt;_pages&gt;261-74&lt;/_pages&gt;&lt;_subject_headings&gt;Adolescent; Adult; Ethnicity; Female; Humans; Lactation; Obesity/economics/*epidemiology/etiology; *Postpartum Period; *Pregnancy; Pregnancy in Adolescence; Prevalence; Risk Factors; United States/epidemiology; *Weight Gain&lt;/_subject_headings&gt;&lt;_tertiary_title&gt;Epidemiologic reviews&lt;/_tertiary_title&gt;&lt;_type_work&gt;Journal Article; Research Support, Non-U.S. Gov&amp;apos;t; Research Support, U.S. Gov&amp;apos;t, Non-P.H.S.; Review&lt;/_type_work&gt;&lt;_url&gt;http://www.ncbi.nlm.nih.gov/entrez/query.fcgi?cmd=Retrieve&amp;amp;db=pubmed&amp;amp;dopt=Abstract&amp;amp;list_uids=11218377&amp;amp;query_hl=1&lt;/_url&gt;&lt;_volume&gt;22&lt;/_volume&gt;&lt;/Details&gt;&lt;Extra&gt;&lt;DBUID&gt;{C818A046-6D8C-4B07-8765-4E05C48B46EA}&lt;/DBUID&gt;&lt;/Extra&gt;&lt;/Item&gt;&lt;/References&gt;&lt;/Group&gt;&lt;Group&gt;&lt;References&gt;&lt;Item&gt;&lt;ID&gt;4&lt;/ID&gt;&lt;UID&gt;{97D476FD-6EFA-4030-9767-895E68ECC74A}&lt;/UID&gt;&lt;Title&gt;Pregnancy: a &amp;quot;teachable moment&amp;quot; for weight control and obesity prevention&lt;/Title&gt;&lt;Template&gt;Journal Article&lt;/Template&gt;&lt;Star&gt;0&lt;/Star&gt;&lt;Tag&gt;0&lt;/Tag&gt;&lt;Author&gt;Phelan, S&lt;/Author&gt;&lt;Year&gt;2010&lt;/Year&gt;&lt;Details&gt;&lt;_accession_num&gt;19683692&lt;/_accession_num&gt;&lt;_author_adr&gt;Department of Kinesiology, California Polytechnic State University, San Luis  Obispo, CA 93407-0386, USA. sphelan@calpoly.edu&lt;/_author_adr&gt;&lt;_collection_scope&gt;SCI;SCIE&lt;/_collection_scope&gt;&lt;_created&gt;64733394&lt;/_created&gt;&lt;_date&gt;2010-02-01&lt;/_date&gt;&lt;_date_display&gt;2010 Feb&lt;/_date_display&gt;&lt;_doi&gt;10.1016/j.ajog.2009.06.008&lt;/_doi&gt;&lt;_impact_factor&gt;   8.661&lt;/_impact_factor&gt;&lt;_isbn&gt;1097-6868 (Electronic); 0002-9378 (Print); 0002-9378 (Linking)&lt;/_isbn&gt;&lt;_issue&gt;2&lt;/_issue&gt;&lt;_journal&gt;Am J Obstet Gynecol&lt;/_journal&gt;&lt;_language&gt;eng&lt;/_language&gt;&lt;_modified&gt;64734679&lt;/_modified&gt;&lt;_ori_publication&gt;Copyright 2010 Mosby, Inc. All rights reserved.&lt;/_ori_publication&gt;&lt;_pages&gt;135.e1-8&lt;/_pages&gt;&lt;_subject_headings&gt;Exercise; Female; Humans; Obesity/*prevention &amp;amp; control; Patient Education as Topic; Postpartum Period; Pregnancy; Pregnancy Complications/*prevention &amp;amp; control; Prenatal Care; *Weight Gain&lt;/_subject_headings&gt;&lt;_tertiary_title&gt;American journal of obstetrics and gynecology&lt;/_tertiary_title&gt;&lt;_type_work&gt;Journal Article; Research Support, N.I.H., Extramural&lt;/_type_work&gt;&lt;_url&gt;http://www.ncbi.nlm.nih.gov/entrez/query.fcgi?cmd=Retrieve&amp;amp;db=pubmed&amp;amp;dopt=Abstract&amp;amp;list_uids=19683692&amp;amp;query_hl=1&lt;/_url&gt;&lt;_volume&gt;202&lt;/_volume&gt;&lt;/Details&gt;&lt;Extra&gt;&lt;DBUID&gt;{C818A046-6D8C-4B07-8765-4E05C48B46EA}&lt;/DBUID&gt;&lt;/Extra&gt;&lt;/Item&gt;&lt;/References&gt;&lt;/Group&gt;&lt;Group&gt;&lt;References&gt;&lt;Item&gt;&lt;ID&gt;5&lt;/ID&gt;&lt;UID&gt;{7DFA100E-712F-43A4-BB4F-02482AAA5DA8}&lt;/UID&gt;&lt;Title&gt;Postpartum weight retention risk factors and relationship to obesity at 1 year&lt;/Title&gt;&lt;Template&gt;Journal Article&lt;/Template&gt;&lt;Star&gt;0&lt;/Star&gt;&lt;Tag&gt;0&lt;/Tag&gt;&lt;Author&gt;Endres, L K; Straub, H; McKinney, C; Plunkett, B; Minkovitz, C S; Schetter, C D; Ramey, S; Wang, C; Hobel, C; Raju, T; Shalowitz, M U&lt;/Author&gt;&lt;Year&gt;2015&lt;/Year&gt;&lt;Details&gt;&lt;_accession_num&gt;25560116&lt;/_accession_num&gt;&lt;_author_adr&gt;Department of Obstetrics and Gynecology, NorthShore University HealthSystem,  Evanston, Illinois; the Department of Pediatrics, University of Chicago, Pritzker  School of Medicine, Chicago, Illinois; the Bloomberg School of Public Health,  Johns Hopkins University, Baltimore, Maryland; the Department of Psychology,  University of California-Los Angeles, Los Angeles, California; Virginia  Polytechnical Institute and State University, Roanoke, Virginia; and the Eunice  Kennedy Shriver National Institute of Child Health and Human Development,  Bethesda, Maryland.&lt;/_author_adr&gt;&lt;_collection_scope&gt;SCI;SCIE&lt;/_collection_scope&gt;&lt;_created&gt;64733394&lt;/_created&gt;&lt;_date&gt;2015-01-01&lt;/_date&gt;&lt;_date_display&gt;2015 Jan&lt;/_date_display&gt;&lt;_doi&gt;10.1097/AOG.0000000000000565&lt;/_doi&gt;&lt;_impact_factor&gt;   7.661&lt;/_impact_factor&gt;&lt;_isbn&gt;1873-233X (Electronic); 0029-7844 (Print); 0029-7844 (Linking)&lt;/_isbn&gt;&lt;_issue&gt;1&lt;/_issue&gt;&lt;_journal&gt;Obstet Gynecol&lt;/_journal&gt;&lt;_language&gt;eng&lt;/_language&gt;&lt;_modified&gt;64734679&lt;/_modified&gt;&lt;_pages&gt;144-152&lt;/_pages&gt;&lt;_subject_headings&gt;Adult; Body Mass Index; Breast Feeding; Exercise; Female; Humans; Obesity/*epidemiology/ethnology; *Postpartum Period; Pregnancy/*physiology; Prospective Studies; Socioeconomic Factors; Time Factors; *Weight Gain; *Weight Loss; Young Adult&lt;/_subject_headings&gt;&lt;_tertiary_title&gt;Obstetrics and gynecology&lt;/_tertiary_title&gt;&lt;_type_work&gt;Journal Article; Research Support, N.I.H., Extramural&lt;/_type_work&gt;&lt;_url&gt;http://www.ncbi.nlm.nih.gov/entrez/query.fcgi?cmd=Retrieve&amp;amp;db=pubmed&amp;amp;dopt=Abstract&amp;amp;list_uids=25560116&amp;amp;query_hl=1&lt;/_url&gt;&lt;_volume&gt;125&lt;/_volume&gt;&lt;/Details&gt;&lt;Extra&gt;&lt;DBUID&gt;{C818A046-6D8C-4B07-8765-4E05C48B46EA}&lt;/DBUID&gt;&lt;/Extra&gt;&lt;/Item&gt;&lt;/References&gt;&lt;/Group&gt;&lt;/Citation&gt;_x000a_"/>
    <w:docVar w:name="NE.Ref{59B6FAD0-E6B1-4A63-AB82-CE76299AE260}" w:val=" ADDIN NE.Ref.{59B6FAD0-E6B1-4A63-AB82-CE76299AE260}"/>
    <w:docVar w:name="NE.Ref{5D514B00-7C7E-4EAD-9A96-824B7A42254F}" w:val=" ADDIN NE.Ref.{5D514B00-7C7E-4EAD-9A96-824B7A42254F}&lt;Citation&gt;&lt;Group&gt;&lt;References&gt;&lt;Item&gt;&lt;ID&gt;602&lt;/ID&gt;&lt;UID&gt;{B6CC4CD5-F0BF-4902-82D2-1EDDB7165D06}&lt;/UID&gt;&lt;Title&gt;Trends in adult body-mass index in 200 countries from 1975 to 2014: a pooled  analysis of 1698 population-based measurement studies with 19·2 million  participants&lt;/Title&gt;&lt;Template&gt;Journal Article&lt;/Template&gt;&lt;Star&gt;0&lt;/Star&gt;&lt;Tag&gt;0&lt;/Tag&gt;&lt;Author/&gt;&lt;Year&gt;2016&lt;/Year&gt;&lt;Details&gt;&lt;_accessed&gt;64664558&lt;/_accessed&gt;&lt;_accession_num&gt;27115820&lt;/_accession_num&gt;&lt;_collection_scope&gt;SCI;SCIE&lt;/_collection_scope&gt;&lt;_created&gt;64664558&lt;/_created&gt;&lt;_date&gt;2016-04-02&lt;/_date&gt;&lt;_date_display&gt;2016 Apr 2&lt;/_date_display&gt;&lt;_doi&gt;10.1016/S0140-6736(16)30054-X&lt;/_doi&gt;&lt;_impact_factor&gt;  79.323&lt;/_impact_factor&gt;&lt;_isbn&gt;1474-547X (Electronic); 0140-6736 (Linking)&lt;/_isbn&gt;&lt;_issue&gt;10026&lt;/_issue&gt;&lt;_journal&gt;Lancet&lt;/_journal&gt;&lt;_language&gt;eng&lt;/_language&gt;&lt;_modified&gt;64664559&lt;/_modified&gt;&lt;_ori_publication&gt;Copyright © 2016 NCD Risk Factor Collaboration. Open Access article distributed _x000d__x000a_      under the terms of CC BY. Published by Elsevier Ltd.. All rights reserved.&lt;/_ori_publication&gt;&lt;_pages&gt;1377-1396&lt;/_pages&gt;&lt;_subject_headings&gt;Adolescent; Adult; Bayes Theorem; *Body Mass Index; Developed Countries; Developing Countries; Female; Forecasting; *Global Health; Humans; Male; Models, Statistical; Obesity/*epidemiology; Prevalence; Thinness/epidemiology; Young Adult&lt;/_subject_headings&gt;&lt;_tertiary_title&gt;Lancet (London, England)&lt;/_tertiary_title&gt;&lt;_type_work&gt;Journal Article; Meta-Analysis; Research Support, Non-U.S. Gov&amp;apos;t; Review&lt;/_type_work&gt;&lt;_url&gt;http://www.ncbi.nlm.nih.gov/entrez/query.fcgi?cmd=Retrieve&amp;amp;db=pubmed&amp;amp;dopt=Abstract&amp;amp;list_uids=27115820&amp;amp;query_hl=1&lt;/_url&gt;&lt;_volume&gt;387&lt;/_volume&gt;&lt;/Details&gt;&lt;Extra&gt;&lt;DBUID&gt;{F96A950B-833F-4880-A151-76DA2D6A2879}&lt;/DBUID&gt;&lt;/Extra&gt;&lt;/Item&gt;&lt;/References&gt;&lt;/Group&gt;&lt;/Citation&gt;_x000a_"/>
    <w:docVar w:name="NE.Ref{5F4B3982-727F-4E94-9B23-708C436BFEC6}" w:val=" ADDIN NE.Ref.{5F4B3982-727F-4E94-9B23-708C436BFEC6}&lt;Citation&gt;&lt;Group&gt;&lt;References&gt;&lt;Item&gt;&lt;ID&gt;3&lt;/ID&gt;&lt;UID&gt;{35D4BEDC-ED0A-4652-8B19-ECEC2869F844}&lt;/UID&gt;&lt;Title&gt;Epidemiology of gestational weight gain and body weight changes after pregnancy&lt;/Title&gt;&lt;Template&gt;Journal Article&lt;/Template&gt;&lt;Star&gt;0&lt;/Star&gt;&lt;Tag&gt;0&lt;/Tag&gt;&lt;Author&gt;Gunderson, E P; Abrams, B&lt;/Author&gt;&lt;Year&gt;2000&lt;/Year&gt;&lt;Details&gt;&lt;_accession_num&gt;11218377&lt;/_accession_num&gt;&lt;_author_adr&gt;Division of Public Health and Epidemiology, School of Public Health, University  of California, Berkeley, CA, USA. epg@dor.kaiser.org&lt;/_author_adr&gt;&lt;_collection_scope&gt;SCI;SCIE&lt;/_collection_scope&gt;&lt;_created&gt;64733389&lt;/_created&gt;&lt;_date&gt;2000-01-20&lt;/_date&gt;&lt;_date_display&gt;2000&lt;/_date_display&gt;&lt;_doi&gt;10.1093/oxfordjournals.epirev.a018038&lt;/_doi&gt;&lt;_impact_factor&gt;   6.222&lt;/_impact_factor&gt;&lt;_isbn&gt;0193-936X (Print); 0193-936X (Linking)&lt;/_isbn&gt;&lt;_issue&gt;2&lt;/_issue&gt;&lt;_journal&gt;Epidemiol Rev&lt;/_journal&gt;&lt;_language&gt;eng&lt;/_language&gt;&lt;_modified&gt;64734679&lt;/_modified&gt;&lt;_pages&gt;261-74&lt;/_pages&gt;&lt;_subject_headings&gt;Adolescent; Adult; Ethnicity; Female; Humans; Lactation; Obesity/economics/*epidemiology/etiology; *Postpartum Period; *Pregnancy; Pregnancy in Adolescence; Prevalence; Risk Factors; United States/epidemiology; *Weight Gain&lt;/_subject_headings&gt;&lt;_tertiary_title&gt;Epidemiologic reviews&lt;/_tertiary_title&gt;&lt;_type_work&gt;Journal Article; Research Support, Non-U.S. Gov&amp;apos;t; Research Support, U.S. Gov&amp;apos;t, Non-P.H.S.; Review&lt;/_type_work&gt;&lt;_url&gt;http://www.ncbi.nlm.nih.gov/entrez/query.fcgi?cmd=Retrieve&amp;amp;db=pubmed&amp;amp;dopt=Abstract&amp;amp;list_uids=11218377&amp;amp;query_hl=1&lt;/_url&gt;&lt;_volume&gt;22&lt;/_volume&gt;&lt;/Details&gt;&lt;Extra&gt;&lt;DBUID&gt;{C818A046-6D8C-4B07-8765-4E05C48B46EA}&lt;/DBUID&gt;&lt;/Extra&gt;&lt;/Item&gt;&lt;/References&gt;&lt;/Group&gt;&lt;Group&gt;&lt;References&gt;&lt;Item&gt;&lt;ID&gt;4&lt;/ID&gt;&lt;UID&gt;{97D476FD-6EFA-4030-9767-895E68ECC74A}&lt;/UID&gt;&lt;Title&gt;Pregnancy: a &amp;quot;teachable moment&amp;quot; for weight control and obesity prevention&lt;/Title&gt;&lt;Template&gt;Journal Article&lt;/Template&gt;&lt;Star&gt;0&lt;/Star&gt;&lt;Tag&gt;0&lt;/Tag&gt;&lt;Author&gt;Phelan, S&lt;/Author&gt;&lt;Year&gt;2010&lt;/Year&gt;&lt;Details&gt;&lt;_accession_num&gt;19683692&lt;/_accession_num&gt;&lt;_author_adr&gt;Department of Kinesiology, California Polytechnic State University, San Luis  Obispo, CA 93407-0386, USA. sphelan@calpoly.edu&lt;/_author_adr&gt;&lt;_collection_scope&gt;SCI;SCIE&lt;/_collection_scope&gt;&lt;_created&gt;64733394&lt;/_created&gt;&lt;_date&gt;2010-02-01&lt;/_date&gt;&lt;_date_display&gt;2010 Feb&lt;/_date_display&gt;&lt;_doi&gt;10.1016/j.ajog.2009.06.008&lt;/_doi&gt;&lt;_impact_factor&gt;   8.661&lt;/_impact_factor&gt;&lt;_isbn&gt;1097-6868 (Electronic); 0002-9378 (Print); 0002-9378 (Linking)&lt;/_isbn&gt;&lt;_issue&gt;2&lt;/_issue&gt;&lt;_journal&gt;Am J Obstet Gynecol&lt;/_journal&gt;&lt;_language&gt;eng&lt;/_language&gt;&lt;_modified&gt;64734679&lt;/_modified&gt;&lt;_ori_publication&gt;Copyright 2010 Mosby, Inc. All rights reserved.&lt;/_ori_publication&gt;&lt;_pages&gt;135.e1-8&lt;/_pages&gt;&lt;_subject_headings&gt;Exercise; Female; Humans; Obesity/*prevention &amp;amp; control; Patient Education as Topic; Postpartum Period; Pregnancy; Pregnancy Complications/*prevention &amp;amp; control; Prenatal Care; *Weight Gain&lt;/_subject_headings&gt;&lt;_tertiary_title&gt;American journal of obstetrics and gynecology&lt;/_tertiary_title&gt;&lt;_type_work&gt;Journal Article; Research Support, N.I.H., Extramural&lt;/_type_work&gt;&lt;_url&gt;http://www.ncbi.nlm.nih.gov/entrez/query.fcgi?cmd=Retrieve&amp;amp;db=pubmed&amp;amp;dopt=Abstract&amp;amp;list_uids=19683692&amp;amp;query_hl=1&lt;/_url&gt;&lt;_volume&gt;202&lt;/_volume&gt;&lt;/Details&gt;&lt;Extra&gt;&lt;DBUID&gt;{C818A046-6D8C-4B07-8765-4E05C48B46EA}&lt;/DBUID&gt;&lt;/Extra&gt;&lt;/Item&gt;&lt;/References&gt;&lt;/Group&gt;&lt;Group&gt;&lt;References&gt;&lt;Item&gt;&lt;ID&gt;5&lt;/ID&gt;&lt;UID&gt;{7DFA100E-712F-43A4-BB4F-02482AAA5DA8}&lt;/UID&gt;&lt;Title&gt;Postpartum weight retention risk factors and relationship to obesity at 1 year&lt;/Title&gt;&lt;Template&gt;Journal Article&lt;/Template&gt;&lt;Star&gt;0&lt;/Star&gt;&lt;Tag&gt;0&lt;/Tag&gt;&lt;Author&gt;Endres, L K; Straub, H; McKinney, C; Plunkett, B; Minkovitz, C S; Schetter, C D; Ramey, S; Wang, C; Hobel, C; Raju, T; Shalowitz, M U&lt;/Author&gt;&lt;Year&gt;2015&lt;/Year&gt;&lt;Details&gt;&lt;_accession_num&gt;25560116&lt;/_accession_num&gt;&lt;_author_adr&gt;Department of Obstetrics and Gynecology, NorthShore University HealthSystem,  Evanston, Illinois; the Department of Pediatrics, University of Chicago, Pritzker  School of Medicine, Chicago, Illinois; the Bloomberg School of Public Health,  Johns Hopkins University, Baltimore, Maryland; the Department of Psychology,  University of California-Los Angeles, Los Angeles, California; Virginia  Polytechnical Institute and State University, Roanoke, Virginia; and the Eunice  Kennedy Shriver National Institute of Child Health and Human Development,  Bethesda, Maryland.&lt;/_author_adr&gt;&lt;_collection_scope&gt;SCI;SCIE&lt;/_collection_scope&gt;&lt;_created&gt;64733394&lt;/_created&gt;&lt;_date&gt;2015-01-01&lt;/_date&gt;&lt;_date_display&gt;2015 Jan&lt;/_date_display&gt;&lt;_doi&gt;10.1097/AOG.0000000000000565&lt;/_doi&gt;&lt;_impact_factor&gt;   7.661&lt;/_impact_factor&gt;&lt;_isbn&gt;1873-233X (Electronic); 0029-7844 (Print); 0029-7844 (Linking)&lt;/_isbn&gt;&lt;_issue&gt;1&lt;/_issue&gt;&lt;_journal&gt;Obstet Gynecol&lt;/_journal&gt;&lt;_language&gt;eng&lt;/_language&gt;&lt;_modified&gt;64734679&lt;/_modified&gt;&lt;_pages&gt;144-152&lt;/_pages&gt;&lt;_subject_headings&gt;Adult; Body Mass Index; Breast Feeding; Exercise; Female; Humans; Obesity/*epidemiology/ethnology; *Postpartum Period; Pregnancy/*physiology; Prospective Studies; Socioeconomic Factors; Time Factors; *Weight Gain; *Weight Loss; Young Adult&lt;/_subject_headings&gt;&lt;_tertiary_title&gt;Obstetrics and gynecology&lt;/_tertiary_title&gt;&lt;_type_work&gt;Journal Article; Research Support, N.I.H., Extramural&lt;/_type_work&gt;&lt;_url&gt;http://www.ncbi.nlm.nih.gov/entrez/query.fcgi?cmd=Retrieve&amp;amp;db=pubmed&amp;amp;dopt=Abstract&amp;amp;list_uids=25560116&amp;amp;query_hl=1&lt;/_url&gt;&lt;_volume&gt;125&lt;/_volume&gt;&lt;/Details&gt;&lt;Extra&gt;&lt;DBUID&gt;{C818A046-6D8C-4B07-8765-4E05C48B46EA}&lt;/DBUID&gt;&lt;/Extra&gt;&lt;/Item&gt;&lt;/References&gt;&lt;/Group&gt;&lt;/Citation&gt;_x000a_"/>
    <w:docVar w:name="NE.Ref{6140B9AF-3DB1-47AF-A359-B9F2FA19E75E}" w:val=" ADDIN NE.Ref.{6140B9AF-3DB1-47AF-A359-B9F2FA19E75E}&lt;Citation&gt;&lt;Group&gt;&lt;References&gt;&lt;Item&gt;&lt;ID&gt;602&lt;/ID&gt;&lt;UID&gt;{B6CC4CD5-F0BF-4902-82D2-1EDDB7165D06}&lt;/UID&gt;&lt;Title&gt;Trends in adult body-mass index in 200 countries from 1975 to 2014: a pooled  analysis of 1698 population-based measurement studies with 19·2 million  participants&lt;/Title&gt;&lt;Template&gt;Journal Article&lt;/Template&gt;&lt;Star&gt;0&lt;/Star&gt;&lt;Tag&gt;0&lt;/Tag&gt;&lt;Author/&gt;&lt;Year&gt;2016&lt;/Year&gt;&lt;Details&gt;&lt;_accessed&gt;64664558&lt;/_accessed&gt;&lt;_accession_num&gt;27115820&lt;/_accession_num&gt;&lt;_collection_scope&gt;SCI;SCIE&lt;/_collection_scope&gt;&lt;_created&gt;64664558&lt;/_created&gt;&lt;_date&gt;2016-04-02&lt;/_date&gt;&lt;_date_display&gt;2016 Apr 2&lt;/_date_display&gt;&lt;_doi&gt;10.1016/S0140-6736(16)30054-X&lt;/_doi&gt;&lt;_impact_factor&gt;  79.323&lt;/_impact_factor&gt;&lt;_isbn&gt;1474-547X (Electronic); 0140-6736 (Linking)&lt;/_isbn&gt;&lt;_issue&gt;10026&lt;/_issue&gt;&lt;_journal&gt;Lancet&lt;/_journal&gt;&lt;_language&gt;eng&lt;/_language&gt;&lt;_modified&gt;64664559&lt;/_modified&gt;&lt;_ori_publication&gt;Copyright © 2016 NCD Risk Factor Collaboration. Open Access article distributed _x000d__x000a_      under the terms of CC BY. Published by Elsevier Ltd.. All rights reserved.&lt;/_ori_publication&gt;&lt;_pages&gt;1377-1396&lt;/_pages&gt;&lt;_subject_headings&gt;Adolescent; Adult; Bayes Theorem; *Body Mass Index; Developed Countries; Developing Countries; Female; Forecasting; *Global Health; Humans; Male; Models, Statistical; Obesity/*epidemiology; Prevalence; Thinness/epidemiology; Young Adult&lt;/_subject_headings&gt;&lt;_tertiary_title&gt;Lancet (London, England)&lt;/_tertiary_title&gt;&lt;_type_work&gt;Journal Article; Meta-Analysis; Research Support, Non-U.S. Gov&amp;apos;t; Review&lt;/_type_work&gt;&lt;_url&gt;http://www.ncbi.nlm.nih.gov/entrez/query.fcgi?cmd=Retrieve&amp;amp;db=pubmed&amp;amp;dopt=Abstract&amp;amp;list_uids=27115820&amp;amp;query_hl=1&lt;/_url&gt;&lt;_volume&gt;387&lt;/_volume&gt;&lt;/Details&gt;&lt;Extra&gt;&lt;DBUID&gt;{F96A950B-833F-4880-A151-76DA2D6A2879}&lt;/DBUID&gt;&lt;/Extra&gt;&lt;/Item&gt;&lt;/References&gt;&lt;/Group&gt;&lt;/Citation&gt;_x000a_"/>
    <w:docVar w:name="NE.Ref{632B520D-064C-4DA2-A45A-5E74800E55C7}" w:val=" ADDIN NE.Ref.{632B520D-064C-4DA2-A45A-5E74800E55C7}&lt;Citation&gt;&lt;Group&gt;&lt;References&gt;&lt;Item&gt;&lt;ID&gt;16&lt;/ID&gt;&lt;UID&gt;{7D0F4671-530A-4321-9D3D-CBF584A4CE98}&lt;/UID&gt;&lt;Title&gt;Maternal weight change from prepregnancy to 18 months postpartum and subsequent  risk of hypertension and cardiovascular disease in Danish women: A cohort study&lt;/Title&gt;&lt;Template&gt;Journal Article&lt;/Template&gt;&lt;Star&gt;0&lt;/Star&gt;&lt;Tag&gt;0&lt;/Tag&gt;&lt;Author&gt;Kirkegaard, H; Bliddal, M; Støvring, H; Rasmussen, K M; Gunderson, E P; Køber, L; Sørensen, TIA; Nøhr, E A&lt;/Author&gt;&lt;Year&gt;2021&lt;/Year&gt;&lt;Details&gt;&lt;_accession_num&gt;33798198&lt;/_accession_num&gt;&lt;_author_adr&gt;Research Unit of Obstetrics and Gynecology, Department of Clinical Research,  University of Southern Denmark, Odense, Denmark.; Open Patient Data Explorative Network (OPEN), Department of Clinical Research,  University of Southern Denmark and Odense University Hospital, Odense, Denmark.; Open Patient Data Explorative Network (OPEN), Department of Clinical Research,  University of Southern Denmark and Odense University Hospital, Odense, Denmark.; Department of Public Health, Biostatistics, Aarhus University, Aarhus, Denmark.; Division of Nutritional Sciences, Cornell University, Ithaca, New York, United  States of America.; Division of Research, Cardiovascular and Metabolic Conditions Section, Kaiser  Permanente Northern California, Oakland, California, United States of America.; Department of Cardiology, Rigshospitalet, University Hospital, Copenhagen,  Denmark.; Novo Nordisk Foundation Center for Basic Metabolic Research and Department of  Public Health, Faculty of Health and Medical Sciences, University of Copenhagen,  Copenhagen, Denmark.; Research Unit of Obstetrics and Gynecology, Department of Clinical Research,  University of Southern Denmark, Odense, Denmark.; Department of Gynecology and Obstetrics, Odense University Hospital, Odense,  Denmark.&lt;/_author_adr&gt;&lt;_collection_scope&gt;SCIE&lt;/_collection_scope&gt;&lt;_created&gt;64733397&lt;/_created&gt;&lt;_date&gt;2021-04-01&lt;/_date&gt;&lt;_date_display&gt;2021 Apr&lt;/_date_display&gt;&lt;_doi&gt;10.1371/journal.pmed.1003486&lt;/_doi&gt;&lt;_impact_factor&gt;  11.069&lt;/_impact_factor&gt;&lt;_isbn&gt;1549-1676 (Electronic); 1549-1277 (Print); 1549-1277 (Linking)&lt;/_isbn&gt;&lt;_issue&gt;4&lt;/_issue&gt;&lt;_journal&gt;PLoS Med&lt;/_journal&gt;&lt;_language&gt;eng&lt;/_language&gt;&lt;_modified&gt;64734679&lt;/_modified&gt;&lt;_pages&gt;e1003486&lt;/_pages&gt;&lt;_subject_headings&gt;Adult; Cardiovascular Diseases/*epidemiology/etiology; Cohort Studies; Denmark/epidemiology; Female; Humans; Hypertension/epidemiology/etiology; Middle Aged; Obesity/epidemiology/etiology; Overweight/*epidemiology/etiology; Postpartum Period/*physiology; Pregnancy; Pregnancy Complications/*epidemiology/etiology; Risk Factors; Thinness/*epidemiology/etiology; *Weight Gain; Young Adult&lt;/_subject_headings&gt;&lt;_tertiary_title&gt;PLoS medicine&lt;/_tertiary_title&gt;&lt;_type_work&gt;Journal Article; Research Support, Non-U.S. Gov&amp;apos;t&lt;/_type_work&gt;&lt;_url&gt;http://www.ncbi.nlm.nih.gov/entrez/query.fcgi?cmd=Retrieve&amp;amp;db=pubmed&amp;amp;dopt=Abstract&amp;amp;list_uids=33798198&amp;amp;query_hl=1&lt;/_url&gt;&lt;_volume&gt;18&lt;/_volume&gt;&lt;/Details&gt;&lt;Extra&gt;&lt;DBUID&gt;{C818A046-6D8C-4B07-8765-4E05C48B46EA}&lt;/DBUID&gt;&lt;/Extra&gt;&lt;/Item&gt;&lt;/References&gt;&lt;/Group&gt;&lt;/Citation&gt;_x000a_"/>
    <w:docVar w:name="NE.Ref{6387AF14-5ECC-4657-872B-6E023645882D}" w:val=" ADDIN NE.Ref.{6387AF14-5ECC-4657-872B-6E023645882D}&lt;Citation&gt;&lt;Group&gt;&lt;References&gt;&lt;Item&gt;&lt;ID&gt;554&lt;/ID&gt;&lt;UID&gt;{98CA4F57-A48C-44CC-A754-F9ACEDD0BEBF}&lt;/UID&gt;&lt;Title&gt;A survey of lifestyle risk factors for cardiovascular health among young Hong  Kong Chinese women: implications for long-term cardiovascular health&lt;/Title&gt;&lt;Template&gt;Journal Article&lt;/Template&gt;&lt;Star&gt;1&lt;/Star&gt;&lt;Tag&gt;5&lt;/Tag&gt;&lt;Author&gt;Twinn, S F; Lee, G C; Thompson, D R&lt;/Author&gt;&lt;Year&gt;2010&lt;/Year&gt;&lt;Details&gt;&lt;_accession_num&gt;20092416&lt;/_accession_num&gt;&lt;_author_adr&gt;The Nethersole School of Nursing, The Chinese University of Hong Kong, Hong Kong  SAR, People&amp;apos;s Republic of China. sftwinn@cuhk.edu.hk&lt;/_author_adr&gt;&lt;_created&gt;64526444&lt;/_created&gt;&lt;_date&gt;2010-02-01&lt;/_date&gt;&lt;_date_display&gt;2010 Feb&lt;/_date_display&gt;&lt;_doi&gt;10.1089/jwh.2008.1318&lt;/_doi&gt;&lt;_impact_factor&gt;   2.681&lt;/_impact_factor&gt;&lt;_isbn&gt;1931-843X (Electronic); 1540-9996 (Linking)&lt;/_isbn&gt;&lt;_issue&gt;2&lt;/_issue&gt;&lt;_journal&gt;J Womens Health (Larchmt)&lt;/_journal&gt;&lt;_language&gt;eng&lt;/_language&gt;&lt;_modified&gt;64605367&lt;/_modified&gt;&lt;_pages&gt;289-95&lt;/_pages&gt;&lt;_subject_headings&gt;Adult; Alcohol Drinking/epidemiology; Cardiovascular Diseases/*etiology; Cross-Sectional Studies; Exercise; Female; Health Status; Hong Kong/epidemiology; Humans; *Life Style; Obesity/epidemiology; Risk Factors; Smoking/epidemiology; Surveys and Questionnaires; Thinness/epidemiology; Young Adult&lt;/_subject_headings&gt;&lt;_tertiary_title&gt;Journal of women&amp;apos;s health (2002)&lt;/_tertiary_title&gt;&lt;_type_work&gt;Journal Article&lt;/_type_work&gt;&lt;_url&gt;http://www.ncbi.nlm.nih.gov/entrez/query.fcgi?cmd=Retrieve&amp;amp;db=pubmed&amp;amp;dopt=Abstract&amp;amp;list_uids=20092416&amp;amp;query_hl=1&lt;/_url&gt;&lt;_volume&gt;19&lt;/_volume&gt;&lt;/Details&gt;&lt;Extra&gt;&lt;DBUID&gt;{F96A950B-833F-4880-A151-76DA2D6A2879}&lt;/DBUID&gt;&lt;/Extra&gt;&lt;/Item&gt;&lt;/References&gt;&lt;/Group&gt;&lt;Group&gt;&lt;References&gt;&lt;Item&gt;&lt;ID&gt;552&lt;/ID&gt;&lt;UID&gt;{DCC4C8C4-9526-4C64-B6F4-383BD34555E8}&lt;/UID&gt;&lt;Title&gt;Global, regional, and national comparative risk assessment of 79 behavioural,  environmental and occupational, and metabolic risks or clusters of risks,  1990-2015: a systematic analysis for the Global Burden of Disease Study 2015&lt;/Title&gt;&lt;Template&gt;Journal Article&lt;/Template&gt;&lt;Star&gt;1&lt;/Star&gt;&lt;Tag&gt;5&lt;/Tag&gt;&lt;Author/&gt;&lt;Year&gt;2016&lt;/Year&gt;&lt;Details&gt;&lt;_accession_num&gt;27733284&lt;/_accession_num&gt;&lt;_collection_scope&gt;SCI;SCIE&lt;/_collection_scope&gt;&lt;_created&gt;64525951&lt;/_created&gt;&lt;_date&gt;2016-10-08&lt;/_date&gt;&lt;_date_display&gt;2016 Oct 8&lt;/_date_display&gt;&lt;_doi&gt;10.1016/S0140-6736(16)31679-8&lt;/_doi&gt;&lt;_impact_factor&gt;  79.323&lt;/_impact_factor&gt;&lt;_isbn&gt;1474-547X (Electronic); 0140-6736 (Print); 0140-6736 (Linking)&lt;/_isbn&gt;&lt;_issue&gt;10053&lt;/_issue&gt;&lt;_journal&gt;Lancet&lt;/_journal&gt;&lt;_language&gt;eng&lt;/_language&gt;&lt;_modified&gt;64605365&lt;/_modified&gt;&lt;_ori_publication&gt;Copyright © 2016 The Author(s). Published by Elsevier Ltd. This is an Open Access _x000d__x000a_      article under the CC BY license. Published by Elsevier Ltd.. All rights reserved.&lt;/_ori_publication&gt;&lt;_pages&gt;1659-1724&lt;/_pages&gt;&lt;_subject_headings&gt;Africa South of the Sahara/epidemiology; Africa, Northern/epidemiology; Air Pollution, Indoor/statistics &amp;amp; numerical data; Alcohol Drinking/epidemiology; Biomarkers/blood; Blood Glucose/metabolism; Body Mass Index; Cholesterol/blood; *Cost of Illness; Disabled Persons/*statistics &amp;amp; numerical data; *Environmental Exposure/statistics &amp;amp; numerical data; *Global Health; Humans; Hypertension/epidemiology; *Life Expectancy; Malnutrition/epidemiology; Middle East/epidemiology; *Occupational Exposure/statistics &amp;amp; numerical data; Quality-Adjusted Life Years; Risk Assessment; Risk Factors; *Risk-Taking; Smoking/epidemiology; Sodium, Dietary/administration &amp;amp; dosage; Substance-Related Disorders/epidemiology; Unsafe Sex/statistics &amp;amp; numerical data&lt;/_subject_headings&gt;&lt;_tertiary_title&gt;Lancet (London, England)&lt;/_tertiary_title&gt;&lt;_type_work&gt;Comparative Study; Journal Article; Research Support, N.I.H., Extramural; Research Support, Non-U.S. Gov&amp;apos;t; Research Support, U.S. Gov&amp;apos;t, Non-P.H.S.&lt;/_type_work&gt;&lt;_url&gt;http://www.ncbi.nlm.nih.gov/entrez/query.fcgi?cmd=Retrieve&amp;amp;db=pubmed&amp;amp;dopt=Abstract&amp;amp;list_uids=27733284&amp;amp;query_hl=1&lt;/_url&gt;&lt;_volume&gt;388&lt;/_volume&gt;&lt;/Details&gt;&lt;Extra&gt;&lt;DBUID&gt;{F96A950B-833F-4880-A151-76DA2D6A2879}&lt;/DBUID&gt;&lt;/Extra&gt;&lt;/Item&gt;&lt;/References&gt;&lt;/Group&gt;&lt;Group&gt;&lt;References&gt;&lt;Item&gt;&lt;ID&gt;559&lt;/ID&gt;&lt;UID&gt;{901AA8C7-FF87-4C1F-887E-914B03A64465}&lt;/UID&gt;&lt;Title&gt;Preconceptional and maternal obesity: epidemiology and health consequences&lt;/Title&gt;&lt;Template&gt;Journal Article&lt;/Template&gt;&lt;Star&gt;1&lt;/Star&gt;&lt;Tag&gt;5&lt;/Tag&gt;&lt;Author&gt;Poston, L; Caleyachetty, R; Cnattingius, S; Corvalán, C; Uauy, R; Herring, S; Gillman, M W&lt;/Author&gt;&lt;Year&gt;2016&lt;/Year&gt;&lt;Details&gt;&lt;_accession_num&gt;27743975&lt;/_accession_num&gt;&lt;_author_adr&gt;Division of Women&amp;apos;s Health, Faculty of Life Sciences and Medicine, King&amp;apos;s College  London, London, UK. Electronic address: lucilla.poston@kcl.ac.uk.; Institute of Applied Health Research, University of Birmingham, Birmingham, UK.; Department of Medicine Solna, Karolinska Universitetssjukhuset, Stockholm,  Sweden.; Institute of Nutrition and Food Technology, University of Chile, Santiago, Chile.; Division of Pediatrics, Faculty of Medicine, Pontifical Catholic University of  Chile, Santiago, Chile; Center for Obesity Research and Education, Departments of  Medicine and Public Health, Temple University, Philadelphia, PA, USA.; Center for Obesity Research and Education, Departments of Medicine and Public  Health, Temple University, Philadelphia, PA, USA.; Office of the Director, Environmental Influences on Child Health Outcomes (ECHO),  National Institutes of Health, Rockville, MD, USA.&lt;/_author_adr&gt;&lt;_created&gt;64530196&lt;/_created&gt;&lt;_date&gt;2016-12-01&lt;/_date&gt;&lt;_date_display&gt;2016 Dec&lt;/_date_display&gt;&lt;_doi&gt;10.1016/S2213-8587(16)30217-0&lt;/_doi&gt;&lt;_impact_factor&gt;  32.069&lt;/_impact_factor&gt;&lt;_isbn&gt;2213-8595 (Electronic); 2213-8587 (Linking)&lt;/_isbn&gt;&lt;_issue&gt;12&lt;/_issue&gt;&lt;_journal&gt;Lancet Diabetes Endocrinol&lt;/_journal&gt;&lt;_language&gt;eng&lt;/_language&gt;&lt;_modified&gt;64605366&lt;/_modified&gt;&lt;_ori_publication&gt;Copyright Â© 2016 Elsevier Ltd. All rights reserved.&lt;/_ori_publication&gt;&lt;_pages&gt;1025-1036&lt;/_pages&gt;&lt;_subject_headings&gt;Abortion, Spontaneous/etiology; Delivery, Obstetric; Female; Fertility; Humans; Obesity/complications/*epidemiology; Postpartum Period; Pregnancy; Pregnancy Complications/*epidemiology/etiology; Premature Birth/etiology; Prevalence&lt;/_subject_headings&gt;&lt;_tertiary_title&gt;The lancet. Diabetes &amp;amp; endocrinology&lt;/_tertiary_title&gt;&lt;_type_work&gt;Journal Article; Research Support, Non-U.S. Gov&amp;apos;t; Review&lt;/_type_work&gt;&lt;_url&gt;http://www.ncbi.nlm.nih.gov/entrez/query.fcgi?cmd=Retrieve&amp;amp;db=pubmed&amp;amp;dopt=Abstract&amp;amp;list_uids=27743975&amp;amp;query_hl=1&lt;/_url&gt;&lt;_volume&gt;4&lt;/_volume&gt;&lt;/Details&gt;&lt;Extra&gt;&lt;DBUID&gt;{F96A950B-833F-4880-A151-76DA2D6A2879}&lt;/DBUID&gt;&lt;/Extra&gt;&lt;/Item&gt;&lt;/References&gt;&lt;/Group&gt;&lt;/Citation&gt;_x000a_"/>
    <w:docVar w:name="NE.Ref{63A12ED2-6EFE-4A9E-93AE-B52985E247D0}" w:val=" ADDIN NE.Ref.{63A12ED2-6EFE-4A9E-93AE-B52985E247D0}&lt;Citation&gt;&lt;Group&gt;&lt;References&gt;&lt;Item&gt;&lt;ID&gt;559&lt;/ID&gt;&lt;UID&gt;{901AA8C7-FF87-4C1F-887E-914B03A64465}&lt;/UID&gt;&lt;Title&gt;Preconceptional and maternal obesity: epidemiology and health consequences&lt;/Title&gt;&lt;Template&gt;Journal Article&lt;/Template&gt;&lt;Star&gt;1&lt;/Star&gt;&lt;Tag&gt;5&lt;/Tag&gt;&lt;Author&gt;Poston, L; Caleyachetty, R; Cnattingius, S; Corvalán, C; Uauy, R; Herring, S; Gillman, M W&lt;/Author&gt;&lt;Year&gt;2016&lt;/Year&gt;&lt;Details&gt;&lt;_accession_num&gt;27743975&lt;/_accession_num&gt;&lt;_author_adr&gt;Division of Women&amp;apos;s Health, Faculty of Life Sciences and Medicine, King&amp;apos;s College  London, London, UK. Electronic address: lucilla.poston@kcl.ac.uk.; Institute of Applied Health Research, University of Birmingham, Birmingham, UK.; Department of Medicine Solna, Karolinska Universitetssjukhuset, Stockholm,  Sweden.; Institute of Nutrition and Food Technology, University of Chile, Santiago, Chile.; Division of Pediatrics, Faculty of Medicine, Pontifical Catholic University of  Chile, Santiago, Chile; Center for Obesity Research and Education, Departments of  Medicine and Public Health, Temple University, Philadelphia, PA, USA.; Center for Obesity Research and Education, Departments of Medicine and Public  Health, Temple University, Philadelphia, PA, USA.; Office of the Director, Environmental Influences on Child Health Outcomes (ECHO),  National Institutes of Health, Rockville, MD, USA.&lt;/_author_adr&gt;&lt;_created&gt;64530196&lt;/_created&gt;&lt;_date&gt;2016-12-01&lt;/_date&gt;&lt;_date_display&gt;2016 Dec&lt;/_date_display&gt;&lt;_doi&gt;10.1016/S2213-8587(16)30217-0&lt;/_doi&gt;&lt;_impact_factor&gt;  32.069&lt;/_impact_factor&gt;&lt;_isbn&gt;2213-8595 (Electronic); 2213-8587 (Linking)&lt;/_isbn&gt;&lt;_issue&gt;12&lt;/_issue&gt;&lt;_journal&gt;Lancet Diabetes Endocrinol&lt;/_journal&gt;&lt;_language&gt;eng&lt;/_language&gt;&lt;_modified&gt;64605366&lt;/_modified&gt;&lt;_ori_publication&gt;Copyright Â© 2016 Elsevier Ltd. All rights reserved.&lt;/_ori_publication&gt;&lt;_pages&gt;1025-1036&lt;/_pages&gt;&lt;_subject_headings&gt;Abortion, Spontaneous/etiology; Delivery, Obstetric; Female; Fertility; Humans; Obesity/complications/*epidemiology; Postpartum Period; Pregnancy; Pregnancy Complications/*epidemiology/etiology; Premature Birth/etiology; Prevalence&lt;/_subject_headings&gt;&lt;_tertiary_title&gt;The lancet. Diabetes &amp;amp; endocrinology&lt;/_tertiary_title&gt;&lt;_type_work&gt;Journal Article; Research Support, Non-U.S. Gov&amp;apos;t; Review&lt;/_type_work&gt;&lt;_url&gt;http://www.ncbi.nlm.nih.gov/entrez/query.fcgi?cmd=Retrieve&amp;amp;db=pubmed&amp;amp;dopt=Abstract&amp;amp;list_uids=27743975&amp;amp;query_hl=1&lt;/_url&gt;&lt;_volume&gt;4&lt;/_volume&gt;&lt;/Details&gt;&lt;Extra&gt;&lt;DBUID&gt;{F96A950B-833F-4880-A151-76DA2D6A2879}&lt;/DBUID&gt;&lt;/Extra&gt;&lt;/Item&gt;&lt;/References&gt;&lt;/Group&gt;&lt;/Citation&gt;_x000a_"/>
    <w:docVar w:name="NE.Ref{64025D0E-F94B-46BD-8550-D584563BFE17}" w:val=" ADDIN NE.Ref.{64025D0E-F94B-46BD-8550-D584563BFE17}&lt;Citation&gt;&lt;Group&gt;&lt;References&gt;&lt;Item&gt;&lt;ID&gt;556&lt;/ID&gt;&lt;UID&gt;{31284E05-DB15-43CA-9DA3-06B44098E4A3}&lt;/UID&gt;&lt;Title&gt;Health Effects of Overweight and Obesity in 195 Countries over 25 Years&lt;/Title&gt;&lt;Template&gt;Journal Article&lt;/Template&gt;&lt;Star&gt;0&lt;/Star&gt;&lt;Tag&gt;0&lt;/Tag&gt;&lt;Author&gt;Afshin, A; Forouzanfar, M H; Reitsma, M B; Sur, P; Estep, K; Lee, A; Marczak, L; Mokdad, A H; Moradi-Lakeh, M; Naghavi, M; Salama, J S; Vos, T; Abate, K H; Abbafati, C; Ahmed, M B; Al-Aly, Z; Alkerwi, A; Al-Raddadi, R; Amare, A T; Amberbir, A; Amegah, A K; Amini, E; Amrock, S M; Anjana, R M; Ärnlöv, J; Asayesh, H; Banerjee, A; Barac, A; Baye, E; Bennett, D A; Beyene, A S; Biadgilign, S; Biryukov, S; Bjertness, E; Boneya, D J; Campos-Nonato, I; Carrero, J J; Cecilio, P; Cercy, K; Ciobanu, L G; Cornaby, L; Damtew, S A; Dandona, L; Dandona, R; Dharmaratne, S D; Duncan, B B; Eshrati, B; Esteghamati, A; Feigin, V L; Fernandes, J C; Fürst, T; Gebrehiwot, T T; Gold, A; Gona, P N; Goto, A; Habtewold, T D; Hadush, K T; Hafezi-Nejad, N; Hay, S I; Horino, M; Islami, F; Kamal, R; Kasaeian, A; Katikireddi, S V; Kengne, A P; Kesavachandran, C N; Khader, Y S; Khang, Y H; Khubchandani, J; Kim, D; Kim, Y J; Kinfu, Y; Kosen, S; Ku, T; Defo, B K; Kumar, G A; Larson, H J; Leinsalu, M; Liang, X; Lim, S S; Liu, P; Lopez, A D; Lozano, R; Majeed, A; Malekzadeh, R; Malta, D C; Mazidi, M; McAlinden, C; McGarvey, S T; Mengistu, D T; Mensah, G A; Mensink, GBM; Mezgebe, H B; Mirrakhimov, E M; Mueller, U O; Noubiap, J J; Obermeyer, C M; Ogbo, F A; Owolabi, M O; Patton, G C; Pourmalek, F; Qorbani, M; Rafay, A; Rai, R K; Ranabhat, C L; Reinig, N; Safiri, S; Salomon, J A; Sanabria, J R; Santos, I S; Sartorius, B; Sawhney, M; Schmidhuber, J; Schutte, A E; Schmidt, M I; Sepanlou, S G; Shamsizadeh, M; Sheikhbahaei, S; Shin, M J; Shiri, R; Shiue, I; Roba, H S; Silva, DAS; Silverberg, J I; Singh, J A; Stranges, S; Swaminathan, S; Tabarés-Seisdedos, R; Tadese, F; Tedla, B A; Tegegne, B S; Terkawi, A S; Thakur, J S; Tonelli, M; Topor-Madry, R; Tyrovolas, S; Ukwaja, K N; Uthman, O A; Vaezghasemi, M; Vasankari, T; Vlassov, V V; Vollset, S E; Weiderpass, E; Werdecker, A; Wesana, J; Westerman, R; Yano, Y; Yonemoto, N; Yonga, G; Zaidi, Z; Zenebe, Z M; Zipkin, B; Murray, CJL&lt;/Author&gt;&lt;Year&gt;2017&lt;/Year&gt;&lt;Details&gt;&lt;_accession_num&gt;28604169&lt;/_accession_num&gt;&lt;_created&gt;64526496&lt;/_created&gt;&lt;_date&gt;2017-07-06&lt;/_date&gt;&lt;_date_display&gt;2017 Jul 6&lt;/_date_display&gt;&lt;_doi&gt;10.1056/NEJMoa1614362&lt;/_doi&gt;&lt;_impact_factor&gt;  91.253&lt;/_impact_factor&gt;&lt;_isbn&gt;1533-4406 (Electronic); 0028-4793 (Print); 0028-4793 (Linking)&lt;/_isbn&gt;&lt;_issue&gt;1&lt;/_issue&gt;&lt;_journal&gt;N Engl J Med&lt;/_journal&gt;&lt;_language&gt;eng&lt;/_language&gt;&lt;_modified&gt;64530067&lt;/_modified&gt;&lt;_pages&gt;13-27&lt;/_pages&gt;&lt;_subject_headings&gt;Adult; Body Mass Index; Cardiovascular Diseases/complications/mortality; Child; Female; Global Health; Humans; Male; Obesity/complications/*epidemiology; Overweight/complications/epidemiology; Pediatric Obesity/epidemiology; Prevalence&lt;/_subject_headings&gt;&lt;_tertiary_title&gt;The New England journal of medicine&lt;/_tertiary_title&gt;&lt;_type_work&gt;Journal Article&lt;/_type_work&gt;&lt;_url&gt;http://www.ncbi.nlm.nih.gov/entrez/query.fcgi?cmd=Retrieve&amp;amp;db=pubmed&amp;amp;dopt=Abstract&amp;amp;list_uids=28604169&amp;amp;query_hl=1&lt;/_url&gt;&lt;_volume&gt;377&lt;/_volume&gt;&lt;/Details&gt;&lt;Extra&gt;&lt;DBUID&gt;{F96A950B-833F-4880-A151-76DA2D6A2879}&lt;/DBUID&gt;&lt;/Extra&gt;&lt;/Item&gt;&lt;/References&gt;&lt;/Group&gt;&lt;/Citation&gt;_x000a_"/>
    <w:docVar w:name="NE.Ref{661BCC34-EAE0-407A-A179-CA9ECF4D4225}" w:val=" ADDIN NE.Ref.{661BCC34-EAE0-407A-A179-CA9ECF4D4225}"/>
    <w:docVar w:name="NE.Ref{661DBFF4-BFE7-4BB7-A608-7CC701E9FB47}" w:val=" ADDIN NE.Ref.{661DBFF4-BFE7-4BB7-A608-7CC701E9FB47}&lt;Citation&gt;&lt;Group&gt;&lt;References&gt;&lt;Item&gt;&lt;ID&gt;16&lt;/ID&gt;&lt;UID&gt;{7D0F4671-530A-4321-9D3D-CBF584A4CE98}&lt;/UID&gt;&lt;Title&gt;Maternal weight change from prepregnancy to 18 months postpartum and subsequent  risk of hypertension and cardiovascular disease in Danish women: A cohort study&lt;/Title&gt;&lt;Template&gt;Journal Article&lt;/Template&gt;&lt;Star&gt;0&lt;/Star&gt;&lt;Tag&gt;0&lt;/Tag&gt;&lt;Author&gt;Kirkegaard, H; Bliddal, M; Støvring, H; Rasmussen, K M; Gunderson, E P; Køber, L; Sørensen, TIA; Nøhr, E A&lt;/Author&gt;&lt;Year&gt;2021&lt;/Year&gt;&lt;Details&gt;&lt;_accession_num&gt;33798198&lt;/_accession_num&gt;&lt;_author_adr&gt;Research Unit of Obstetrics and Gynecology, Department of Clinical Research,  University of Southern Denmark, Odense, Denmark.; Open Patient Data Explorative Network (OPEN), Department of Clinical Research,  University of Southern Denmark and Odense University Hospital, Odense, Denmark.; Open Patient Data Explorative Network (OPEN), Department of Clinical Research,  University of Southern Denmark and Odense University Hospital, Odense, Denmark.; Department of Public Health, Biostatistics, Aarhus University, Aarhus, Denmark.; Division of Nutritional Sciences, Cornell University, Ithaca, New York, United  States of America.; Division of Research, Cardiovascular and Metabolic Conditions Section, Kaiser  Permanente Northern California, Oakland, California, United States of America.; Department of Cardiology, Rigshospitalet, University Hospital, Copenhagen,  Denmark.; Novo Nordisk Foundation Center for Basic Metabolic Research and Department of  Public Health, Faculty of Health and Medical Sciences, University of Copenhagen,  Copenhagen, Denmark.; Research Unit of Obstetrics and Gynecology, Department of Clinical Research,  University of Southern Denmark, Odense, Denmark.; Department of Gynecology and Obstetrics, Odense University Hospital, Odense,  Denmark.&lt;/_author_adr&gt;&lt;_collection_scope&gt;SCIE&lt;/_collection_scope&gt;&lt;_created&gt;64733397&lt;/_created&gt;&lt;_date&gt;2021-04-01&lt;/_date&gt;&lt;_date_display&gt;2021 Apr&lt;/_date_display&gt;&lt;_doi&gt;10.1371/journal.pmed.1003486&lt;/_doi&gt;&lt;_impact_factor&gt;  11.069&lt;/_impact_factor&gt;&lt;_isbn&gt;1549-1676 (Electronic); 1549-1277 (Print); 1549-1277 (Linking)&lt;/_isbn&gt;&lt;_issue&gt;4&lt;/_issue&gt;&lt;_journal&gt;PLoS Med&lt;/_journal&gt;&lt;_language&gt;eng&lt;/_language&gt;&lt;_modified&gt;64734679&lt;/_modified&gt;&lt;_pages&gt;e1003486&lt;/_pages&gt;&lt;_subject_headings&gt;Adult; Cardiovascular Diseases/*epidemiology/etiology; Cohort Studies; Denmark/epidemiology; Female; Humans; Hypertension/epidemiology/etiology; Middle Aged; Obesity/epidemiology/etiology; Overweight/*epidemiology/etiology; Postpartum Period/*physiology; Pregnancy; Pregnancy Complications/*epidemiology/etiology; Risk Factors; Thinness/*epidemiology/etiology; *Weight Gain; Young Adult&lt;/_subject_headings&gt;&lt;_tertiary_title&gt;PLoS medicine&lt;/_tertiary_title&gt;&lt;_type_work&gt;Journal Article; Research Support, Non-U.S. Gov&amp;apos;t&lt;/_type_work&gt;&lt;_url&gt;http://www.ncbi.nlm.nih.gov/entrez/query.fcgi?cmd=Retrieve&amp;amp;db=pubmed&amp;amp;dopt=Abstract&amp;amp;list_uids=33798198&amp;amp;query_hl=1&lt;/_url&gt;&lt;_volume&gt;18&lt;/_volume&gt;&lt;/Details&gt;&lt;Extra&gt;&lt;DBUID&gt;{C818A046-6D8C-4B07-8765-4E05C48B46EA}&lt;/DBUID&gt;&lt;/Extra&gt;&lt;/Item&gt;&lt;/References&gt;&lt;/Group&gt;&lt;/Citation&gt;_x000a_"/>
    <w:docVar w:name="NE.Ref{665B0A6E-9E03-4212-A99D-3B3A8F95A1CE}" w:val=" ADDIN NE.Ref.{665B0A6E-9E03-4212-A99D-3B3A8F95A1CE}"/>
    <w:docVar w:name="NE.Ref{6692C515-C875-4019-848E-F1B1A1A29BE6}" w:val=" ADDIN NE.Ref.{6692C515-C875-4019-848E-F1B1A1A29BE6}&lt;Citation&gt;&lt;Group&gt;&lt;References&gt;&lt;Item&gt;&lt;ID&gt;556&lt;/ID&gt;&lt;UID&gt;{31284E05-DB15-43CA-9DA3-06B44098E4A3}&lt;/UID&gt;&lt;Title&gt;Health Effects of Overweight and Obesity in 195 Countries over 25 Years&lt;/Title&gt;&lt;Template&gt;Journal Article&lt;/Template&gt;&lt;Star&gt;0&lt;/Star&gt;&lt;Tag&gt;0&lt;/Tag&gt;&lt;Author&gt;Afshin, A; Forouzanfar, M H; Reitsma, M B; Sur, P; Estep, K; Lee, A; Marczak, L; Mokdad, A H; Moradi-Lakeh, M; Naghavi, M; Salama, J S; Vos, T; Abate, K H; Abbafati, C; Ahmed, M B; Al-Aly, Z; Alkerwi, A; Al-Raddadi, R; Amare, A T; Amberbir, A; Amegah, A K; Amini, E; Amrock, S M; Anjana, R M; Ärnlöv, J; Asayesh, H; Banerjee, A; Barac, A; Baye, E; Bennett, D A; Beyene, A S; Biadgilign, S; Biryukov, S; Bjertness, E; Boneya, D J; Campos-Nonato, I; Carrero, J J; Cecilio, P; Cercy, K; Ciobanu, L G; Cornaby, L; Damtew, S A; Dandona, L; Dandona, R; Dharmaratne, S D; Duncan, B B; Eshrati, B; Esteghamati, A; Feigin, V L; Fernandes, J C; Fürst, T; Gebrehiwot, T T; Gold, A; Gona, P N; Goto, A; Habtewold, T D; Hadush, K T; Hafezi-Nejad, N; Hay, S I; Horino, M; Islami, F; Kamal, R; Kasaeian, A; Katikireddi, S V; Kengne, A P; Kesavachandran, C N; Khader, Y S; Khang, Y H; Khubchandani, J; Kim, D; Kim, Y J; Kinfu, Y; Kosen, S; Ku, T; Defo, B K; Kumar, G A; Larson, H J; Leinsalu, M; Liang, X; Lim, S S; Liu, P; Lopez, A D; Lozano, R; Majeed, A; Malekzadeh, R; Malta, D C; Mazidi, M; McAlinden, C; McGarvey, S T; Mengistu, D T; Mensah, G A; Mensink, GBM; Mezgebe, H B; Mirrakhimov, E M; Mueller, U O; Noubiap, J J; Obermeyer, C M; Ogbo, F A; Owolabi, M O; Patton, G C; Pourmalek, F; Qorbani, M; Rafay, A; Rai, R K; Ranabhat, C L; Reinig, N; Safiri, S; Salomon, J A; Sanabria, J R; Santos, I S; Sartorius, B; Sawhney, M; Schmidhuber, J; Schutte, A E; Schmidt, M I; Sepanlou, S G; Shamsizadeh, M; Sheikhbahaei, S; Shin, M J; Shiri, R; Shiue, I; Roba, H S; Silva, DAS; Silverberg, J I; Singh, J A; Stranges, S; Swaminathan, S; Tabarés-Seisdedos, R; Tadese, F; Tedla, B A; Tegegne, B S; Terkawi, A S; Thakur, J S; Tonelli, M; Topor-Madry, R; Tyrovolas, S; Ukwaja, K N; Uthman, O A; Vaezghasemi, M; Vasankari, T; Vlassov, V V; Vollset, S E; Weiderpass, E; Werdecker, A; Wesana, J; Westerman, R; Yano, Y; Yonemoto, N; Yonga, G; Zaidi, Z; Zenebe, Z M; Zipkin, B; Murray, CJL&lt;/Author&gt;&lt;Year&gt;2017&lt;/Year&gt;&lt;Details&gt;&lt;_accession_num&gt;28604169&lt;/_accession_num&gt;&lt;_created&gt;64526496&lt;/_created&gt;&lt;_date&gt;2017-07-06&lt;/_date&gt;&lt;_date_display&gt;2017 Jul 6&lt;/_date_display&gt;&lt;_doi&gt;10.1056/NEJMoa1614362&lt;/_doi&gt;&lt;_impact_factor&gt;  91.253&lt;/_impact_factor&gt;&lt;_isbn&gt;1533-4406 (Electronic); 0028-4793 (Print); 0028-4793 (Linking)&lt;/_isbn&gt;&lt;_issue&gt;1&lt;/_issue&gt;&lt;_journal&gt;N Engl J Med&lt;/_journal&gt;&lt;_language&gt;eng&lt;/_language&gt;&lt;_modified&gt;64530067&lt;/_modified&gt;&lt;_pages&gt;13-27&lt;/_pages&gt;&lt;_subject_headings&gt;Adult; Body Mass Index; Cardiovascular Diseases/complications/mortality; Child; Female; Global Health; Humans; Male; Obesity/complications/*epidemiology; Overweight/complications/epidemiology; Pediatric Obesity/epidemiology; Prevalence&lt;/_subject_headings&gt;&lt;_tertiary_title&gt;The New England journal of medicine&lt;/_tertiary_title&gt;&lt;_type_work&gt;Journal Article&lt;/_type_work&gt;&lt;_url&gt;http://www.ncbi.nlm.nih.gov/entrez/query.fcgi?cmd=Retrieve&amp;amp;db=pubmed&amp;amp;dopt=Abstract&amp;amp;list_uids=28604169&amp;amp;query_hl=1&lt;/_url&gt;&lt;_volume&gt;377&lt;/_volume&gt;&lt;/Details&gt;&lt;Extra&gt;&lt;DBUID&gt;{F96A950B-833F-4880-A151-76DA2D6A2879}&lt;/DBUID&gt;&lt;/Extra&gt;&lt;/Item&gt;&lt;/References&gt;&lt;/Group&gt;&lt;/Citation&gt;_x000a_"/>
    <w:docVar w:name="NE.Ref{6994D040-C988-4E83-AA20-75A1068B0399}" w:val=" ADDIN NE.Ref.{6994D040-C988-4E83-AA20-75A1068B0399}&lt;Citation&gt;&lt;Group&gt;&lt;References&gt;&lt;Item&gt;&lt;ID&gt;13&lt;/ID&gt;&lt;UID&gt;{351528CA-2EE4-4277-B51E-BB38AD287EF2}&lt;/UID&gt;&lt;Title&gt;Associations between gestational weight gain and BMI, abdominal adiposity, and  traditional measures of cardiometabolic risk in mothers 8 y postpartum&lt;/Title&gt;&lt;Template&gt;Journal Article&lt;/Template&gt;&lt;Star&gt;0&lt;/Star&gt;&lt;Tag&gt;0&lt;/Tag&gt;&lt;Author&gt;McClure, C K; Catov, J M; Ness, R; Bodnar, L M&lt;/Author&gt;&lt;Year&gt;2013&lt;/Year&gt;&lt;Details&gt;&lt;_accession_num&gt;24047920&lt;/_accession_num&gt;&lt;_author_adr&gt;Department of Epidemiology, Graduate School of Public Health, University of  Pittsburgh, Pittsburgh, PA (CKM, JMC, and LMB); the Departments of Obstetrics,  Gynecology, and Reproductive Sciences, University of Pittsburgh, Pittsburgh, PA  (JMC and LMB); and the School of Public Health, University of Texas, Houston, TX  (RN).&lt;/_author_adr&gt;&lt;_collection_scope&gt;SCI;SCIE&lt;/_collection_scope&gt;&lt;_created&gt;64733396&lt;/_created&gt;&lt;_date&gt;2013-11-01&lt;/_date&gt;&lt;_date_display&gt;2013 Nov&lt;/_date_display&gt;&lt;_doi&gt;10.3945/ajcn.112.055772&lt;/_doi&gt;&lt;_impact_factor&gt;   7.047&lt;/_impact_factor&gt;&lt;_isbn&gt;1938-3207 (Electronic); 0002-9165 (Print); 0002-9165 (Linking)&lt;/_isbn&gt;&lt;_issue&gt;5&lt;/_issue&gt;&lt;_journal&gt;Am J Clin Nutr&lt;/_journal&gt;&lt;_language&gt;eng&lt;/_language&gt;&lt;_modified&gt;64734679&lt;/_modified&gt;&lt;_pages&gt;1218-25&lt;/_pages&gt;&lt;_subject_headings&gt;*Adiposity; Adult; *Body Mass Index; Cardiovascular Diseases/*epidemiology/etiology/physiopathology; Female; Humans; Life Style; Middle Aged; Multivariate Analysis; Obesity, Abdominal/complications/*epidemiology/physiopathology; *Postpartum Period; Pregnancy; Prevalence; Regression Analysis; Risk Factors; Socioeconomic Factors; Waist Circumference; Weight Gain/*physiology&lt;/_subject_headings&gt;&lt;_tertiary_title&gt;The American journal of clinical nutrition&lt;/_tertiary_title&gt;&lt;_type_work&gt;Journal Article; Research Support, N.I.H., Extramural&lt;/_type_work&gt;&lt;_url&gt;http://www.ncbi.nlm.nih.gov/entrez/query.fcgi?cmd=Retrieve&amp;amp;db=pubmed&amp;amp;dopt=Abstract&amp;amp;list_uids=24047920&amp;amp;query_hl=1&lt;/_url&gt;&lt;_volume&gt;98&lt;/_volume&gt;&lt;/Details&gt;&lt;Extra&gt;&lt;DBUID&gt;{C818A046-6D8C-4B07-8765-4E05C48B46EA}&lt;/DBUID&gt;&lt;/Extra&gt;&lt;/Item&gt;&lt;/References&gt;&lt;/Group&gt;&lt;/Citation&gt;_x000a_"/>
    <w:docVar w:name="NE.Ref{69CA3FE6-401C-4BDF-9DC6-F832345BE475}" w:val=" ADDIN NE.Ref.{69CA3FE6-401C-4BDF-9DC6-F832345BE475}&lt;Citation&gt;&lt;Group&gt;&lt;References&gt;&lt;Item&gt;&lt;ID&gt;17&lt;/ID&gt;&lt;UID&gt;{DD6B72E4-DA0C-40E2-AE8C-699E2DF839D3}&lt;/UID&gt;&lt;Title&gt;Weight Trajectories After Delivery are Associated with Adiposity and  Cardiometabolic Markers at 3 Years Postpartum Among Women in Project Viva&lt;/Title&gt;&lt;Template&gt;Journal Article&lt;/Template&gt;&lt;Star&gt;0&lt;/Star&gt;&lt;Tag&gt;0&lt;/Tag&gt;&lt;Author&gt;Soria-Contreras, D C; Rifas-Shiman, S L; Aris, I M; Perng, W; Switkowski, K M; Téllez-Rojo, M M; Trejo-Valdivia, B; López-Ridaura, R; Oken, E&lt;/Author&gt;&lt;Year&gt;2020&lt;/Year&gt;&lt;Details&gt;&lt;_accession_num&gt;32321175&lt;/_accession_num&gt;&lt;_author_adr&gt;Center for Nutrition and Health Research, National Institute of Public Health,  Cuernavaca, Morelos, Mexico.; Division of Chronic Disease Research Across the Lifecourse, Department of  Population Medicine, Harvard Medical School, and Harvard Pilgrim Health Care  Institute, Boston, MA, USA.; Division of Chronic Disease Research Across the Lifecourse, Department of  Population Medicine, Harvard Medical School, and Harvard Pilgrim Health Care  Institute, Boston, MA, USA.; Department of Obstetrics and Gynecology, Yong Loo Lin School of Medicine,  National University of Singapore, Singapore.; Agency for Science, Technology and Research, Singapore Institute for Clinical  Sciences, Singapore.; Department of Epidemiology, Colorado School of Public Health, University of  Colorado Denver, Anschutz Medical Campus, Aurora, CO, USA.; Lifecourse Epidemiology of Adiposity and Diabetes (LEAD) Center, Colorado School  of Public Health, University of Colorado Denver, Anschutz Medical Campus, Aurora,  CO, USA.; Division of Chronic Disease Research Across the Lifecourse, Department of  Population Medicine, Harvard Medical School, and Harvard Pilgrim Health Care  Institute, Boston, MA, USA.; Center for Nutrition and Health Research, National Institute of Public Health,  Cuernavaca, Morelos, Mexico.; Center for Nutrition and Health Research, National Institute of Public Health,  Cuernavaca, Morelos, Mexico.; Center for Population Health Research, National Institute of Public Health,  Cuernavaca, Morelos, Mexico.; Division of Chronic Disease Research Across the Lifecourse, Department of  Population Medicine, Harvard Medical School, and Harvard Pilgrim Health Care  Institute, Boston, MA, USA.; Department of Nutrition, Harvard T.H. Chan School of Public Health, Boston, MA,  USA.&lt;/_author_adr&gt;&lt;_collection_scope&gt;SCI;SCIE&lt;/_collection_scope&gt;&lt;_created&gt;64733397&lt;/_created&gt;&lt;_date&gt;2020-07-01&lt;/_date&gt;&lt;_date_display&gt;2020 Jul 1&lt;/_date_display&gt;&lt;_doi&gt;10.1093/jn/nxaa104&lt;/_doi&gt;&lt;_impact_factor&gt;   4.798&lt;/_impact_factor&gt;&lt;_isbn&gt;1541-6100 (Electronic); 0022-3166 (Print); 0022-3166 (Linking)&lt;/_isbn&gt;&lt;_issue&gt;7&lt;/_issue&gt;&lt;_journal&gt;J Nutr&lt;/_journal&gt;&lt;_keywords&gt;Project Viva; adiposity; cardiovascular risk factors; diet; gestational weight gain; postpartum weight change; postpartum weight trajectories; pre-pregnancy BMI&lt;/_keywords&gt;&lt;_language&gt;eng&lt;/_language&gt;&lt;_modified&gt;64734679&lt;/_modified&gt;&lt;_ori_publication&gt;Copyright © The Author(s) on behalf of the American Society for Nutrition 2020.&lt;/_ori_publication&gt;&lt;_pages&gt;1889-1898&lt;/_pages&gt;&lt;_subject_headings&gt;*Adiposity; Adult; Biomarkers/blood; Cardiovascular Diseases/*blood; Diet; Female; Humans; Metabolic Diseases/*blood; *Postpartum Period; Pregnancy; Weight Gain; Weight Loss&lt;/_subject_headings&gt;&lt;_tertiary_title&gt;The Journal of nutrition&lt;/_tertiary_title&gt;&lt;_type_work&gt;Journal Article; Research Support, N.I.H., Extramural&lt;/_type_work&gt;&lt;_url&gt;http://www.ncbi.nlm.nih.gov/entrez/query.fcgi?cmd=Retrieve&amp;amp;db=pubmed&amp;amp;dopt=Abstract&amp;amp;list_uids=32321175&amp;amp;query_hl=1&lt;/_url&gt;&lt;_volume&gt;150&lt;/_volume&gt;&lt;/Details&gt;&lt;Extra&gt;&lt;DBUID&gt;{C818A046-6D8C-4B07-8765-4E05C48B46EA}&lt;/DBUID&gt;&lt;/Extra&gt;&lt;/Item&gt;&lt;/References&gt;&lt;/Group&gt;&lt;/Citation&gt;_x000a_"/>
    <w:docVar w:name="NE.Ref{6B082CDC-ADC7-4A29-B556-99359FC7C885}" w:val=" ADDIN NE.Ref.{6B082CDC-ADC7-4A29-B556-99359FC7C885}&lt;Citation&gt;&lt;Group&gt;&lt;References&gt;&lt;Item&gt;&lt;ID&gt;1&lt;/ID&gt;&lt;UID&gt;{BF3D6C26-9E15-4EED-BD04-105C47CEC17E}&lt;/UID&gt;&lt;Title&gt;Trends in adult body-mass index in 200 countries from 1975 to 2014: a pooled  analysis of 1698 population-based measurement studies with 19·2 million  participants&lt;/Title&gt;&lt;Template&gt;Journal Article&lt;/Template&gt;&lt;Star&gt;0&lt;/Star&gt;&lt;Tag&gt;0&lt;/Tag&gt;&lt;Author/&gt;&lt;Year&gt;2016&lt;/Year&gt;&lt;Details&gt;&lt;_accession_num&gt;27115820&lt;/_accession_num&gt;&lt;_collection_scope&gt;SCI;SCIE&lt;/_collection_scope&gt;&lt;_created&gt;64733386&lt;/_created&gt;&lt;_date&gt;2016-04-02&lt;/_date&gt;&lt;_date_display&gt;2016 Apr 2&lt;/_date_display&gt;&lt;_doi&gt;10.1016/S0140-6736(16)30054-X&lt;/_doi&gt;&lt;_impact_factor&gt;  79.323&lt;/_impact_factor&gt;&lt;_isbn&gt;1474-547X (Electronic); 0140-6736 (Linking)&lt;/_isbn&gt;&lt;_issue&gt;10026&lt;/_issue&gt;&lt;_journal&gt;Lancet&lt;/_journal&gt;&lt;_language&gt;eng&lt;/_language&gt;&lt;_modified&gt;64734679&lt;/_modified&gt;&lt;_ori_publication&gt;Copyright © 2016 NCD Risk Factor Collaboration. Open Access article distributed _x000d__x000a_      under the terms of CC BY. Published by Elsevier Ltd.. All rights reserved.&lt;/_ori_publication&gt;&lt;_pages&gt;1377-1396&lt;/_pages&gt;&lt;_subject_headings&gt;Adolescent; Adult; Bayes Theorem; *Body Mass Index; Developed Countries; Developing Countries; Female; Forecasting; *Global Health; Humans; Male; Models, Statistical; Obesity/*epidemiology; Prevalence; Thinness/epidemiology; Young Adult&lt;/_subject_headings&gt;&lt;_tertiary_title&gt;Lancet (London, England)&lt;/_tertiary_title&gt;&lt;_type_work&gt;Journal Article; Meta-Analysis; Research Support, Non-U.S. Gov&amp;apos;t; Review&lt;/_type_work&gt;&lt;_url&gt;http://www.ncbi.nlm.nih.gov/entrez/query.fcgi?cmd=Retrieve&amp;amp;db=pubmed&amp;amp;dopt=Abstract&amp;amp;list_uids=27115820&amp;amp;query_hl=1&lt;/_url&gt;&lt;_volume&gt;387&lt;/_volume&gt;&lt;/Details&gt;&lt;Extra&gt;&lt;DBUID&gt;{C818A046-6D8C-4B07-8765-4E05C48B46EA}&lt;/DBUID&gt;&lt;/Extra&gt;&lt;/Item&gt;&lt;/References&gt;&lt;/Group&gt;&lt;/Citation&gt;_x000a_"/>
    <w:docVar w:name="NE.Ref{6B1FA41B-847C-46CA-9675-9F452EA2C1D7}" w:val=" ADDIN NE.Ref.{6B1FA41B-847C-46CA-9675-9F452EA2C1D7}&lt;Citation&gt;&lt;Group&gt;&lt;References&gt;&lt;Item&gt;&lt;ID&gt;12&lt;/ID&gt;&lt;UID&gt;{6EA2AB27-6117-43DA-99AB-63556D60A31A}&lt;/UID&gt;&lt;Title&gt;Health Effects of Overweight and Obesity in 195 Countries over 25 Years&lt;/Title&gt;&lt;Template&gt;Journal Article&lt;/Template&gt;&lt;Star&gt;0&lt;/Star&gt;&lt;Tag&gt;0&lt;/Tag&gt;&lt;Author&gt;Afshin, A; Forouzanfar, M H; Reitsma, M B; Sur, P; Estep, K; Lee, A; Marczak, L; Mokdad, A H; Moradi-Lakeh, M; Naghavi, M; Salama, J S; Vos, T; Abate, K H; Abbafati, C; Ahmed, M B; Al-Aly, Z; Alkerwi, A; Al-Raddadi, R; Amare, A T; Amberbir, A; Amegah, A K; Amini, E; Amrock, S M; Anjana, R M; Ärnlöv, J; Asayesh, H; Banerjee, A; Barac, A; Baye, E; Bennett, D A; Beyene, A S; Biadgilign, S; Biryukov, S; Bjertness, E; Boneya, D J; Campos-Nonato, I; Carrero, J J; Cecilio, P; Cercy, K; Ciobanu, L G; Cornaby, L; Damtew, S A; Dandona, L; Dandona, R; Dharmaratne, S D; Duncan, B B; Eshrati, B; Esteghamati, A; Feigin, V L; Fernandes, J C; Fürst, T; Gebrehiwot, T T; Gold, A; Gona, P N; Goto, A; Habtewold, T D; Hadush, K T; Hafezi-Nejad, N; Hay, S I; Horino, M; Islami, F; Kamal, R; Kasaeian, A; Katikireddi, S V; Kengne, A P; Kesavachandran, C N; Khader, Y S; Khang, Y H; Khubchandani, J; Kim, D; Kim, Y J; Kinfu, Y; Kosen, S; Ku, T; Defo, B K; Kumar, G A; Larson, H J; Leinsalu, M; Liang, X; Lim, S S; Liu, P; Lopez, A D; Lozano, R; Majeed, A; Malekzadeh, R; Malta, D C; Mazidi, M; McAlinden, C; McGarvey, S T; Mengistu, D T; Mensah, G A; Mensink, GBM; Mezgebe, H B; Mirrakhimov, E M; Mueller, U O; Noubiap, J J; Obermeyer, C M; Ogbo, F A; Owolabi, M O; Patton, G C; Pourmalek, F; Qorbani, M; Rafay, A; Rai, R K; Ranabhat, C L; Reinig, N; Safiri, S; Salomon, J A; Sanabria, J R; Santos, I S; Sartorius, B; Sawhney, M; Schmidhuber, J; Schutte, A E; Schmidt, M I; Sepanlou, S G; Shamsizadeh, M; Sheikhbahaei, S; Shin, M J; Shiri, R; Shiue, I; Roba, H S; Silva, DAS; Silverberg, J I; Singh, J A; Stranges, S; Swaminathan, S; Tabarés-Seisdedos, R; Tadese, F; Tedla, B A; Tegegne, B S; Terkawi, A S; Thakur, J S; Tonelli, M; Topor-Madry, R; Tyrovolas, S; Ukwaja, K N; Uthman, O A; Vaezghasemi, M; Vasankari, T; Vlassov, V V; Vollset, S E; Weiderpass, E; Werdecker, A; Wesana, J; Westerman, R; Yano, Y; Yonemoto, N; Yonga, G; Zaidi, Z; Zenebe, Z M; Zipkin, B; Murray, CJL&lt;/Author&gt;&lt;Year&gt;2017&lt;/Year&gt;&lt;Details&gt;&lt;_accession_num&gt;28604169&lt;/_accession_num&gt;&lt;_created&gt;64733396&lt;/_created&gt;&lt;_date&gt;2017-07-06&lt;/_date&gt;&lt;_date_display&gt;2017 Jul 6&lt;/_date_display&gt;&lt;_doi&gt;10.1056/NEJMoa1614362&lt;/_doi&gt;&lt;_impact_factor&gt;  91.253&lt;/_impact_factor&gt;&lt;_isbn&gt;1533-4406 (Electronic); 0028-4793 (Print); 0028-4793 (Linking)&lt;/_isbn&gt;&lt;_issue&gt;1&lt;/_issue&gt;&lt;_journal&gt;N Engl J Med&lt;/_journal&gt;&lt;_language&gt;eng&lt;/_language&gt;&lt;_modified&gt;64734679&lt;/_modified&gt;&lt;_pages&gt;13-27&lt;/_pages&gt;&lt;_subject_headings&gt;Adult; Body Mass Index; Cardiovascular Diseases/complications/mortality; Child; Female; Global Health; Humans; Male; Obesity/complications/*epidemiology; Overweight/complications/epidemiology; Pediatric Obesity/epidemiology; Prevalence&lt;/_subject_headings&gt;&lt;_tertiary_title&gt;The New England journal of medicine&lt;/_tertiary_title&gt;&lt;_type_work&gt;Journal Article&lt;/_type_work&gt;&lt;_url&gt;http://www.ncbi.nlm.nih.gov/entrez/query.fcgi?cmd=Retrieve&amp;amp;db=pubmed&amp;amp;dopt=Abstract&amp;amp;list_uids=28604169&amp;amp;query_hl=1&lt;/_url&gt;&lt;_volume&gt;377&lt;/_volume&gt;&lt;/Details&gt;&lt;Extra&gt;&lt;DBUID&gt;{C818A046-6D8C-4B07-8765-4E05C48B46EA}&lt;/DBUID&gt;&lt;/Extra&gt;&lt;/Item&gt;&lt;/References&gt;&lt;/Group&gt;&lt;/Citation&gt;_x000a_"/>
    <w:docVar w:name="NE.Ref{6C856F0C-C87B-49A9-BAD6-8D14AF96C6DB}" w:val=" ADDIN NE.Ref.{6C856F0C-C87B-49A9-BAD6-8D14AF96C6DB}"/>
    <w:docVar w:name="NE.Ref{716377CA-39C5-46F2-BC72-872FB120B725}" w:val=" ADDIN NE.Ref.{716377CA-39C5-46F2-BC72-872FB120B725}&lt;Citation&gt;&lt;Group&gt;&lt;References&gt;&lt;Item&gt;&lt;ID&gt;562&lt;/ID&gt;&lt;UID&gt;{E59E3981-A5D8-4321-8229-3958E4CA03C0}&lt;/UID&gt;&lt;Title&gt;A Note on a Stata Plugin for Estimating Group-based Trajectory Models&lt;/Title&gt;&lt;Template&gt;Journal Article&lt;/Template&gt;&lt;Star&gt;0&lt;/Star&gt;&lt;Tag&gt;0&lt;/Tag&gt;&lt;Author&gt;Jones, Bobby L; Nagin, Daniel S&lt;/Author&gt;&lt;Year&gt;2013&lt;/Year&gt;&lt;Details&gt;&lt;_alternate_title&gt;Sociological Methods &amp;amp; Research&lt;/_alternate_title&gt;&lt;_collection_scope&gt;SSCI&lt;/_collection_scope&gt;&lt;_created&gt;64535636&lt;/_created&gt;&lt;_date&gt;2013-09-30&lt;/_date&gt;&lt;_date_display&gt;2013_x000d__x000a_2013/09/30&lt;/_date_display&gt;&lt;_doi&gt;10.1177/0049124113503141&lt;/_doi&gt;&lt;_impact_factor&gt;   6.933&lt;/_impact_factor&gt;&lt;_isbn&gt;0049-1241&lt;/_isbn&gt;&lt;_issue&gt;4&lt;/_issue&gt;&lt;_journal&gt;Sociological Methods &amp;amp; Research&lt;/_journal&gt;&lt;_modified&gt;64535636&lt;/_modified&gt;&lt;_ori_publication&gt;SAGE Publications Inc&lt;/_ori_publication&gt;&lt;_pages&gt;608-613&lt;/_pages&gt;&lt;_url&gt;https://doi.org/10.1177/0049124113503141&lt;/_url&gt;&lt;_volume&gt;42&lt;/_volume&gt;&lt;/Details&gt;&lt;Extra&gt;&lt;DBUID&gt;{F96A950B-833F-4880-A151-76DA2D6A2879}&lt;/DBUID&gt;&lt;/Extra&gt;&lt;/Item&gt;&lt;/References&gt;&lt;/Group&gt;&lt;/Citation&gt;_x000a_"/>
    <w:docVar w:name="NE.Ref{73694186-CCE4-4590-A0DC-098DEE31F3DE}" w:val=" ADDIN NE.Ref.{73694186-CCE4-4590-A0DC-098DEE31F3DE}&lt;Citation&gt;&lt;Group&gt;&lt;References&gt;&lt;Item&gt;&lt;ID&gt;2&lt;/ID&gt;&lt;UID&gt;{A29ED86C-4B2C-4447-BA91-349449A57E1A}&lt;/UID&gt;&lt;Title&gt;Preconceptional and maternal obesity: epidemiology and health consequences&lt;/Title&gt;&lt;Template&gt;Journal Article&lt;/Template&gt;&lt;Star&gt;0&lt;/Star&gt;&lt;Tag&gt;0&lt;/Tag&gt;&lt;Author&gt;Poston, L; Caleyachetty, R; Cnattingius, S; Corvalán, C; Uauy, R; Herring, S; Gillman, M W&lt;/Author&gt;&lt;Year&gt;2016&lt;/Year&gt;&lt;Details&gt;&lt;_accession_num&gt;27743975&lt;/_accession_num&gt;&lt;_author_adr&gt;Division of Women&amp;apos;s Health, Faculty of Life Sciences and Medicine, King&amp;apos;s College  London, London, UK. Electronic address: lucilla.poston@kcl.ac.uk.; Institute of Applied Health Research, University of Birmingham, Birmingham, UK.; Department of Medicine Solna, Karolinska Universitetssjukhuset, Stockholm,  Sweden.; Institute of Nutrition and Food Technology, University of Chile, Santiago, Chile.; Division of Pediatrics, Faculty of Medicine, Pontifical Catholic University of  Chile, Santiago, Chile; Center for Obesity Research and Education, Departments of  Medicine and Public Health, Temple University, Philadelphia, PA, USA.; Center for Obesity Research and Education, Departments of Medicine and Public  Health, Temple University, Philadelphia, PA, USA.; Office of the Director, Environmental Influences on Child Health Outcomes (ECHO),  National Institutes of Health, Rockville, MD, USA.&lt;/_author_adr&gt;&lt;_created&gt;64733386&lt;/_created&gt;&lt;_date&gt;2016-12-01&lt;/_date&gt;&lt;_date_display&gt;2016 Dec&lt;/_date_display&gt;&lt;_doi&gt;10.1016/S2213-8587(16)30217-0&lt;/_doi&gt;&lt;_impact_factor&gt;  32.069&lt;/_impact_factor&gt;&lt;_isbn&gt;2213-8595 (Electronic); 2213-8587 (Linking)&lt;/_isbn&gt;&lt;_issue&gt;12&lt;/_issue&gt;&lt;_journal&gt;Lancet Diabetes Endocrinol&lt;/_journal&gt;&lt;_language&gt;eng&lt;/_language&gt;&lt;_modified&gt;64734679&lt;/_modified&gt;&lt;_ori_publication&gt;Copyright Â© 2016 Elsevier Ltd. All rights reserved.&lt;/_ori_publication&gt;&lt;_pages&gt;1025-1036&lt;/_pages&gt;&lt;_subject_headings&gt;Abortion, Spontaneous/etiology; Delivery, Obstetric; Female; Fertility; Humans; Obesity/complications/*epidemiology; Postpartum Period; Pregnancy; Pregnancy Complications/*epidemiology/etiology; Premature Birth/etiology; Prevalence&lt;/_subject_headings&gt;&lt;_tertiary_title&gt;The lancet. Diabetes &amp;amp; endocrinology&lt;/_tertiary_title&gt;&lt;_type_work&gt;Journal Article; Research Support, Non-U.S. Gov&amp;apos;t; Review&lt;/_type_work&gt;&lt;_url&gt;http://www.ncbi.nlm.nih.gov/entrez/query.fcgi?cmd=Retrieve&amp;amp;db=pubmed&amp;amp;dopt=Abstract&amp;amp;list_uids=27743975&amp;amp;query_hl=1&lt;/_url&gt;&lt;_volume&gt;4&lt;/_volume&gt;&lt;/Details&gt;&lt;Extra&gt;&lt;DBUID&gt;{C818A046-6D8C-4B07-8765-4E05C48B46EA}&lt;/DBUID&gt;&lt;/Extra&gt;&lt;/Item&gt;&lt;/References&gt;&lt;/Group&gt;&lt;/Citation&gt;_x000a_"/>
    <w:docVar w:name="NE.Ref{76482FA0-6B5C-48CC-9153-7A80A3F5368A}" w:val=" ADDIN NE.Ref.{76482FA0-6B5C-48CC-9153-7A80A3F5368A}&lt;Citation&gt;&lt;Group&gt;&lt;References&gt;&lt;Item&gt;&lt;ID&gt;560&lt;/ID&gt;&lt;UID&gt;{66526E20-2D19-4B97-A6C4-0CFDF2223FAD}&lt;/UID&gt;&lt;Title&gt;Maternal weight change from prepregnancy to 18 months postpartum and subsequent  risk of hypertension and cardiovascular disease in Danish women: A cohort study&lt;/Title&gt;&lt;Template&gt;Journal Article&lt;/Template&gt;&lt;Star&gt;0&lt;/Star&gt;&lt;Tag&gt;0&lt;/Tag&gt;&lt;Author&gt;Kirkegaard, H; Bliddal, M; Støvring, H; Rasmussen, K M; Gunderson, E P; Køber, L; Sørensen, TIA; Nøhr, E A&lt;/Author&gt;&lt;Year&gt;2021&lt;/Year&gt;&lt;Details&gt;&lt;_accession_num&gt;33798198&lt;/_accession_num&gt;&lt;_author_adr&gt;Research Unit of Obstetrics and Gynecology, Department of Clinical Research,  University of Southern Denmark, Odense, Denmark.; Open Patient Data Explorative Network (OPEN), Department of Clinical Research,  University of Southern Denmark and Odense University Hospital, Odense, Denmark.; Open Patient Data Explorative Network (OPEN), Department of Clinical Research,  University of Southern Denmark and Odense University Hospital, Odense, Denmark.; Department of Public Health, Biostatistics, Aarhus University, Aarhus, Denmark.; Division of Nutritional Sciences, Cornell University, Ithaca, New York, United  States of America.; Division of Research, Cardiovascular and Metabolic Conditions Section, Kaiser  Permanente Northern California, Oakland, California, United States of America.; Department of Cardiology, Rigshospitalet, University Hospital, Copenhagen,  Denmark.; Novo Nordisk Foundation Center for Basic Metabolic Research and Department of  Public Health, Faculty of Health and Medical Sciences, University of Copenhagen,  Copenhagen, Denmark.; Research Unit of Obstetrics and Gynecology, Department of Clinical Research,  University of Southern Denmark, Odense, Denmark.; Department of Gynecology and Obstetrics, Odense University Hospital, Odense,  Denmark.&lt;/_author_adr&gt;&lt;_collection_scope&gt;SCIE&lt;/_collection_scope&gt;&lt;_created&gt;64530234&lt;/_created&gt;&lt;_date&gt;2021-04-01&lt;/_date&gt;&lt;_date_display&gt;2021 Apr&lt;/_date_display&gt;&lt;_doi&gt;10.1371/journal.pmed.1003486&lt;/_doi&gt;&lt;_impact_factor&gt;  11.069&lt;/_impact_factor&gt;&lt;_isbn&gt;1549-1676 (Electronic); 1549-1277 (Print); 1549-1277 (Linking)&lt;/_isbn&gt;&lt;_issue&gt;4&lt;/_issue&gt;&lt;_journal&gt;PLoS Med&lt;/_journal&gt;&lt;_language&gt;eng&lt;/_language&gt;&lt;_modified&gt;64530234&lt;/_modified&gt;&lt;_pages&gt;e1003486&lt;/_pages&gt;&lt;_subject_headings&gt;Adult; Cardiovascular Diseases/*epidemiology/etiology; Cohort Studies; Denmark/epidemiology; Female; Humans; Hypertension/epidemiology/etiology; Middle Aged; Obesity/epidemiology/etiology; Overweight/*epidemiology/etiology; Postpartum Period/*physiology; Pregnancy; Pregnancy Complications/*epidemiology/etiology; Risk Factors; Thinness/*epidemiology/etiology; *Weight Gain; Young Adult&lt;/_subject_headings&gt;&lt;_tertiary_title&gt;PLoS medicine&lt;/_tertiary_title&gt;&lt;_type_work&gt;Journal Article; Research Support, Non-U.S. Gov&amp;apos;t&lt;/_type_work&gt;&lt;_url&gt;http://www.ncbi.nlm.nih.gov/entrez/query.fcgi?cmd=Retrieve&amp;amp;db=pubmed&amp;amp;dopt=Abstract&amp;amp;list_uids=33798198&amp;amp;query_hl=1&lt;/_url&gt;&lt;_volume&gt;18&lt;/_volume&gt;&lt;/Details&gt;&lt;Extra&gt;&lt;DBUID&gt;{F96A950B-833F-4880-A151-76DA2D6A2879}&lt;/DBUID&gt;&lt;/Extra&gt;&lt;/Item&gt;&lt;/References&gt;&lt;/Group&gt;&lt;/Citation&gt;_x000a_"/>
    <w:docVar w:name="NE.Ref{76CDC6DB-73FE-4FA7-9C0A-025CE3D0CB94}" w:val=" ADDIN NE.Ref.{76CDC6DB-73FE-4FA7-9C0A-025CE3D0CB94}&lt;Citation&gt;&lt;Group&gt;&lt;References&gt;&lt;Item&gt;&lt;ID&gt;3&lt;/ID&gt;&lt;UID&gt;{35D4BEDC-ED0A-4652-8B19-ECEC2869F844}&lt;/UID&gt;&lt;Title&gt;Epidemiology of gestational weight gain and body weight changes after pregnancy&lt;/Title&gt;&lt;Template&gt;Journal Article&lt;/Template&gt;&lt;Star&gt;0&lt;/Star&gt;&lt;Tag&gt;0&lt;/Tag&gt;&lt;Author&gt;Gunderson, E P; Abrams, B&lt;/Author&gt;&lt;Year&gt;2000&lt;/Year&gt;&lt;Details&gt;&lt;_accession_num&gt;11218377&lt;/_accession_num&gt;&lt;_author_adr&gt;Division of Public Health and Epidemiology, School of Public Health, University  of California, Berkeley, CA, USA. epg@dor.kaiser.org&lt;/_author_adr&gt;&lt;_collection_scope&gt;SCI;SCIE&lt;/_collection_scope&gt;&lt;_created&gt;64733389&lt;/_created&gt;&lt;_date&gt;2000-01-20&lt;/_date&gt;&lt;_date_display&gt;2000&lt;/_date_display&gt;&lt;_doi&gt;10.1093/oxfordjournals.epirev.a018038&lt;/_doi&gt;&lt;_impact_factor&gt;   6.222&lt;/_impact_factor&gt;&lt;_isbn&gt;0193-936X (Print); 0193-936X (Linking)&lt;/_isbn&gt;&lt;_issue&gt;2&lt;/_issue&gt;&lt;_journal&gt;Epidemiol Rev&lt;/_journal&gt;&lt;_language&gt;eng&lt;/_language&gt;&lt;_modified&gt;64734679&lt;/_modified&gt;&lt;_pages&gt;261-74&lt;/_pages&gt;&lt;_subject_headings&gt;Adolescent; Adult; Ethnicity; Female; Humans; Lactation; Obesity/economics/*epidemiology/etiology; *Postpartum Period; *Pregnancy; Pregnancy in Adolescence; Prevalence; Risk Factors; United States/epidemiology; *Weight Gain&lt;/_subject_headings&gt;&lt;_tertiary_title&gt;Epidemiologic reviews&lt;/_tertiary_title&gt;&lt;_type_work&gt;Journal Article; Research Support, Non-U.S. Gov&amp;apos;t; Research Support, U.S. Gov&amp;apos;t, Non-P.H.S.; Review&lt;/_type_work&gt;&lt;_url&gt;http://www.ncbi.nlm.nih.gov/entrez/query.fcgi?cmd=Retrieve&amp;amp;db=pubmed&amp;amp;dopt=Abstract&amp;amp;list_uids=11218377&amp;amp;query_hl=1&lt;/_url&gt;&lt;_volume&gt;22&lt;/_volume&gt;&lt;/Details&gt;&lt;Extra&gt;&lt;DBUID&gt;{C818A046-6D8C-4B07-8765-4E05C48B46EA}&lt;/DBUID&gt;&lt;/Extra&gt;&lt;/Item&gt;&lt;/References&gt;&lt;/Group&gt;&lt;Group&gt;&lt;References&gt;&lt;Item&gt;&lt;ID&gt;4&lt;/ID&gt;&lt;UID&gt;{97D476FD-6EFA-4030-9767-895E68ECC74A}&lt;/UID&gt;&lt;Title&gt;Pregnancy: a &amp;quot;teachable moment&amp;quot; for weight control and obesity prevention&lt;/Title&gt;&lt;Template&gt;Journal Article&lt;/Template&gt;&lt;Star&gt;0&lt;/Star&gt;&lt;Tag&gt;0&lt;/Tag&gt;&lt;Author&gt;Phelan, S&lt;/Author&gt;&lt;Year&gt;2010&lt;/Year&gt;&lt;Details&gt;&lt;_accession_num&gt;19683692&lt;/_accession_num&gt;&lt;_author_adr&gt;Department of Kinesiology, California Polytechnic State University, San Luis  Obispo, CA 93407-0386, USA. sphelan@calpoly.edu&lt;/_author_adr&gt;&lt;_collection_scope&gt;SCI;SCIE&lt;/_collection_scope&gt;&lt;_created&gt;64733394&lt;/_created&gt;&lt;_date&gt;2010-02-01&lt;/_date&gt;&lt;_date_display&gt;2010 Feb&lt;/_date_display&gt;&lt;_doi&gt;10.1016/j.ajog.2009.06.008&lt;/_doi&gt;&lt;_impact_factor&gt;   8.661&lt;/_impact_factor&gt;&lt;_isbn&gt;1097-6868 (Electronic); 0002-9378 (Print); 0002-9378 (Linking)&lt;/_isbn&gt;&lt;_issue&gt;2&lt;/_issue&gt;&lt;_journal&gt;Am J Obstet Gynecol&lt;/_journal&gt;&lt;_language&gt;eng&lt;/_language&gt;&lt;_modified&gt;64734679&lt;/_modified&gt;&lt;_ori_publication&gt;Copyright 2010 Mosby, Inc. All rights reserved.&lt;/_ori_publication&gt;&lt;_pages&gt;135.e1-8&lt;/_pages&gt;&lt;_subject_headings&gt;Exercise; Female; Humans; Obesity/*prevention &amp;amp; control; Patient Education as Topic; Postpartum Period; Pregnancy; Pregnancy Complications/*prevention &amp;amp; control; Prenatal Care; *Weight Gain&lt;/_subject_headings&gt;&lt;_tertiary_title&gt;American journal of obstetrics and gynecology&lt;/_tertiary_title&gt;&lt;_type_work&gt;Journal Article; Research Support, N.I.H., Extramural&lt;/_type_work&gt;&lt;_url&gt;http://www.ncbi.nlm.nih.gov/entrez/query.fcgi?cmd=Retrieve&amp;amp;db=pubmed&amp;amp;dopt=Abstract&amp;amp;list_uids=19683692&amp;amp;query_hl=1&lt;/_url&gt;&lt;_volume&gt;202&lt;/_volume&gt;&lt;/Details&gt;&lt;Extra&gt;&lt;DBUID&gt;{C818A046-6D8C-4B07-8765-4E05C48B46EA}&lt;/DBUID&gt;&lt;/Extra&gt;&lt;/Item&gt;&lt;/References&gt;&lt;/Group&gt;&lt;Group&gt;&lt;References&gt;&lt;Item&gt;&lt;ID&gt;5&lt;/ID&gt;&lt;UID&gt;{7DFA100E-712F-43A4-BB4F-02482AAA5DA8}&lt;/UID&gt;&lt;Title&gt;Postpartum weight retention risk factors and relationship to obesity at 1 year&lt;/Title&gt;&lt;Template&gt;Journal Article&lt;/Template&gt;&lt;Star&gt;0&lt;/Star&gt;&lt;Tag&gt;0&lt;/Tag&gt;&lt;Author&gt;Endres, L K; Straub, H; McKinney, C; Plunkett, B; Minkovitz, C S; Schetter, C D; Ramey, S; Wang, C; Hobel, C; Raju, T; Shalowitz, M U&lt;/Author&gt;&lt;Year&gt;2015&lt;/Year&gt;&lt;Details&gt;&lt;_accession_num&gt;25560116&lt;/_accession_num&gt;&lt;_author_adr&gt;Department of Obstetrics and Gynecology, NorthShore University HealthSystem,  Evanston, Illinois; the Department of Pediatrics, University of Chicago, Pritzker  School of Medicine, Chicago, Illinois; the Bloomberg School of Public Health,  Johns Hopkins University, Baltimore, Maryland; the Department of Psychology,  University of California-Los Angeles, Los Angeles, California; Virginia  Polytechnical Institute and State University, Roanoke, Virginia; and the Eunice  Kennedy Shriver National Institute of Child Health and Human Development,  Bethesda, Maryland.&lt;/_author_adr&gt;&lt;_collection_scope&gt;SCI;SCIE&lt;/_collection_scope&gt;&lt;_created&gt;64733394&lt;/_created&gt;&lt;_date&gt;2015-01-01&lt;/_date&gt;&lt;_date_display&gt;2015 Jan&lt;/_date_display&gt;&lt;_doi&gt;10.1097/AOG.0000000000000565&lt;/_doi&gt;&lt;_impact_factor&gt;   7.661&lt;/_impact_factor&gt;&lt;_isbn&gt;1873-233X (Electronic); 0029-7844 (Print); 0029-7844 (Linking)&lt;/_isbn&gt;&lt;_issue&gt;1&lt;/_issue&gt;&lt;_journal&gt;Obstet Gynecol&lt;/_journal&gt;&lt;_language&gt;eng&lt;/_language&gt;&lt;_modified&gt;64734679&lt;/_modified&gt;&lt;_pages&gt;144-152&lt;/_pages&gt;&lt;_subject_headings&gt;Adult; Body Mass Index; Breast Feeding; Exercise; Female; Humans; Obesity/*epidemiology/ethnology; *Postpartum Period; Pregnancy/*physiology; Prospective Studies; Socioeconomic Factors; Time Factors; *Weight Gain; *Weight Loss; Young Adult&lt;/_subject_headings&gt;&lt;_tertiary_title&gt;Obstetrics and gynecology&lt;/_tertiary_title&gt;&lt;_type_work&gt;Journal Article; Research Support, N.I.H., Extramural&lt;/_type_work&gt;&lt;_url&gt;http://www.ncbi.nlm.nih.gov/entrez/query.fcgi?cmd=Retrieve&amp;amp;db=pubmed&amp;amp;dopt=Abstract&amp;amp;list_uids=25560116&amp;amp;query_hl=1&lt;/_url&gt;&lt;_volume&gt;125&lt;/_volume&gt;&lt;/Details&gt;&lt;Extra&gt;&lt;DBUID&gt;{C818A046-6D8C-4B07-8765-4E05C48B46EA}&lt;/DBUID&gt;&lt;/Extra&gt;&lt;/Item&gt;&lt;/References&gt;&lt;/Group&gt;&lt;/Citation&gt;_x000a_"/>
    <w:docVar w:name="NE.Ref{76E17523-3DB8-4FA8-8A3A-DD775219F78C}" w:val=" ADDIN NE.Ref.{76E17523-3DB8-4FA8-8A3A-DD775219F78C}&lt;Citation&gt;&lt;Group&gt;&lt;References&gt;&lt;Item&gt;&lt;ID&gt;555&lt;/ID&gt;&lt;UID&gt;{B988A084-8192-4AA4-A5C5-79A5BB6D4FCF}&lt;/UID&gt;&lt;Title&gt;Separate and combined associations of body-mass index and abdominal adiposity  with cardiovascular disease: collaborative analysis of 58 prospective studies&lt;/Title&gt;&lt;Template&gt;Journal Article&lt;/Template&gt;&lt;Star&gt;0&lt;/Star&gt;&lt;Tag&gt;0&lt;/Tag&gt;&lt;Author&gt;Wormser, D; Kaptoge, S; Di Angelantonio, E; Wood, A M; Pennells, L; Thompson, A; Sarwar, N; Kizer, J R; Lawlor, D A; Nordestgaard, B G; Ridker, P; Salomaa, V; Stevens, J; Woodward, M; Sattar, N; Collins, R; Thompson, S G; Whitlock, G; Danesh, J&lt;/Author&gt;&lt;Year&gt;2011&lt;/Year&gt;&lt;Details&gt;&lt;_accessed&gt;64529077&lt;/_accessed&gt;&lt;_accession_num&gt;21397319&lt;/_accession_num&gt;&lt;_author_adr&gt;Emerging Risk Factors Collaboration Coordinating Centre, Department of Public  Health and Primary Care, University of Cambridge, Strangeways Research  Laboratory, Cambridge CB1 8RN, UK. erfc@phpc.cam.ac.uk&lt;/_author_adr&gt;&lt;_collection_scope&gt;SCI;SCIE&lt;/_collection_scope&gt;&lt;_created&gt;64526488&lt;/_created&gt;&lt;_date&gt;2011-03-26&lt;/_date&gt;&lt;_date_display&gt;2011 Mar 26&lt;/_date_display&gt;&lt;_doi&gt;10.1016/S0140-6736(11)60105-0&lt;/_doi&gt;&lt;_impact_factor&gt;  79.323&lt;/_impact_factor&gt;&lt;_isbn&gt;1474-547X (Electronic); 0140-6736 (Print); 0140-6736 (Linking)&lt;/_isbn&gt;&lt;_issue&gt;9771&lt;/_issue&gt;&lt;_journal&gt;Lancet&lt;/_journal&gt;&lt;_language&gt;eng&lt;/_language&gt;&lt;_modified&gt;64530067&lt;/_modified&gt;&lt;_ori_publication&gt;Copyright © 2011 Elsevier Ltd. All rights reserved.&lt;/_ori_publication&gt;&lt;_pages&gt;1085-95&lt;/_pages&gt;&lt;_subject_headings&gt;Age Factors; Blood Pressure; *Body Mass Index; Cardiovascular Diseases/*epidemiology; Cholesterol/blood; Cholesterol, HDL/blood; Diabetes Mellitus/epidemiology; Female; Humans; Male; Middle Aged; Obesity, Abdominal/*epidemiology; Proportional Hazards Models; Prospective Studies; *Risk Assessment; Sex Factors; Smoking/epidemiology; Systole; Waist Circumference; Waist-Hip Ratio&lt;/_subject_headings&gt;&lt;_tertiary_title&gt;Lancet (London, England)&lt;/_tertiary_title&gt;&lt;_type_work&gt;Journal Article; Meta-Analysis; Research Support, Non-U.S. Gov&amp;apos;t&lt;/_type_work&gt;&lt;_url&gt;http://www.ncbi.nlm.nih.gov/entrez/query.fcgi?cmd=Retrieve&amp;amp;db=pubmed&amp;amp;dopt=Abstract&amp;amp;list_uids=21397319&amp;amp;query_hl=1&lt;/_url&gt;&lt;_volume&gt;377&lt;/_volume&gt;&lt;/Details&gt;&lt;Extra&gt;&lt;DBUID&gt;{F96A950B-833F-4880-A151-76DA2D6A2879}&lt;/DBUID&gt;&lt;/Extra&gt;&lt;/Item&gt;&lt;/References&gt;&lt;/Group&gt;&lt;/Citation&gt;_x000a_"/>
    <w:docVar w:name="NE.Ref{7799D47C-02BD-440B-A801-CDCC99BA013E}" w:val=" ADDIN NE.Ref.{7799D47C-02BD-440B-A801-CDCC99BA013E}&lt;Citation&gt;&lt;Group&gt;&lt;References&gt;&lt;Item&gt;&lt;ID&gt;539&lt;/ID&gt;&lt;UID&gt;{B50CF6D7-0651-413B-9ACE-6ABA6DF95685}&lt;/UID&gt;&lt;Title&gt;Epidemiology of gestational weight gain and body weight changes after pregnancy&lt;/Title&gt;&lt;Template&gt;Journal Article&lt;/Template&gt;&lt;Star&gt;0&lt;/Star&gt;&lt;Tag&gt;5&lt;/Tag&gt;&lt;Author&gt;Gunderson, E P; Abrams, B&lt;/Author&gt;&lt;Year&gt;1999&lt;/Year&gt;&lt;Details&gt;&lt;_accession_num&gt;10682262&lt;/_accession_num&gt;&lt;_author_adr&gt;Division of Public Health and Epidemiology, School of Public Health, University  of California, Berkeley, USA. epg@dor.kaiser.org&lt;/_author_adr&gt;&lt;_collection_scope&gt;SCI;SCIE&lt;/_collection_scope&gt;&lt;_created&gt;64525278&lt;/_created&gt;&lt;_date&gt;1999-01-19&lt;/_date&gt;&lt;_date_display&gt;1999&lt;/_date_display&gt;&lt;_doi&gt;10.1093/oxfordjournals.epirev.a018001&lt;/_doi&gt;&lt;_impact_factor&gt;   6.222&lt;/_impact_factor&gt;&lt;_isbn&gt;0193-936X (Print); 0193-936X (Linking)&lt;/_isbn&gt;&lt;_issue&gt;2&lt;/_issue&gt;&lt;_journal&gt;Epidemiol Rev&lt;/_journal&gt;&lt;_language&gt;eng&lt;/_language&gt;&lt;_modified&gt;64530067&lt;/_modified&gt;&lt;_pages&gt;261-75&lt;/_pages&gt;&lt;_subject_headings&gt;Adolescent; Adult; Body Height; *Body Weight; Ethnicity; Female; Humans; Parity; Postpartum Period; *Pregnancy; *Weight Gain&lt;/_subject_headings&gt;&lt;_tertiary_title&gt;Epidemiologic reviews&lt;/_tertiary_title&gt;&lt;_type_work&gt;Journal Article; Research Support, Non-U.S. Gov&amp;apos;t; Research Support, U.S. Gov&amp;apos;t, Non-P.H.S.; Review&lt;/_type_work&gt;&lt;_url&gt;http://www.ncbi.nlm.nih.gov/entrez/query.fcgi?cmd=Retrieve&amp;amp;db=pubmed&amp;amp;dopt=Abstract&amp;amp;list_uids=10682262&amp;amp;query_hl=1&lt;/_url&gt;&lt;_volume&gt;21&lt;/_volume&gt;&lt;/Details&gt;&lt;Extra&gt;&lt;DBUID&gt;{F96A950B-833F-4880-A151-76DA2D6A2879}&lt;/DBUID&gt;&lt;/Extra&gt;&lt;/Item&gt;&lt;/References&gt;&lt;/Group&gt;&lt;Group&gt;&lt;References&gt;&lt;Item&gt;&lt;ID&gt;548&lt;/ID&gt;&lt;UID&gt;{64D434C6-9D57-452F-AB3A-92AA1EA5AA4D}&lt;/UID&gt;&lt;Title&gt;Pregnancy: a &amp;quot;teachable moment&amp;quot; for weight control and obesity prevention&lt;/Title&gt;&lt;Template&gt;Journal Article&lt;/Template&gt;&lt;Star&gt;0&lt;/Star&gt;&lt;Tag&gt;5&lt;/Tag&gt;&lt;Author&gt;Phelan, S&lt;/Author&gt;&lt;Year&gt;2010&lt;/Year&gt;&lt;Details&gt;&lt;_accessed&gt;64529103&lt;/_accessed&gt;&lt;_accession_num&gt;19683692&lt;/_accession_num&gt;&lt;_author_adr&gt;Department of Kinesiology, California Polytechnic State University, San Luis  Obispo, CA 93407-0386, USA. sphelan@calpoly.edu&lt;/_author_adr&gt;&lt;_collection_scope&gt;SCI;SCIE&lt;/_collection_scope&gt;&lt;_created&gt;64525799&lt;/_created&gt;&lt;_date&gt;2010-02-01&lt;/_date&gt;&lt;_date_display&gt;2010 Feb&lt;/_date_display&gt;&lt;_doi&gt;10.1016/j.ajog.2009.06.008&lt;/_doi&gt;&lt;_impact_factor&gt;   8.661&lt;/_impact_factor&gt;&lt;_isbn&gt;1097-6868 (Electronic); 0002-9378 (Print); 0002-9378 (Linking)&lt;/_isbn&gt;&lt;_issue&gt;2&lt;/_issue&gt;&lt;_journal&gt;Am J Obstet Gynecol&lt;/_journal&gt;&lt;_language&gt;eng&lt;/_language&gt;&lt;_modified&gt;64529103&lt;/_modified&gt;&lt;_ori_publication&gt;Copyright 2010 Mosby, Inc. All rights reserved.&lt;/_ori_publication&gt;&lt;_pages&gt;135.e1-8&lt;/_pages&gt;&lt;_subject_headings&gt;Exercise; Female; Humans; Obesity/*prevention &amp;amp; control; Patient Education as Topic; Postpartum Period; Pregnancy; Pregnancy Complications/*prevention &amp;amp; control; Prenatal Care; *Weight Gain&lt;/_subject_headings&gt;&lt;_tertiary_title&gt;American journal of obstetrics and gynecology&lt;/_tertiary_title&gt;&lt;_type_work&gt;Journal Article; Research Support, N.I.H., Extramural&lt;/_type_work&gt;&lt;_url&gt;http://www.ncbi.nlm.nih.gov/entrez/query.fcgi?cmd=Retrieve&amp;amp;db=pubmed&amp;amp;dopt=Abstract&amp;amp;list_uids=19683692&amp;amp;query_hl=1&lt;/_url&gt;&lt;_volume&gt;202&lt;/_volume&gt;&lt;/Details&gt;&lt;Extra&gt;&lt;DBUID&gt;{F96A950B-833F-4880-A151-76DA2D6A2879}&lt;/DBUID&gt;&lt;/Extra&gt;&lt;/Item&gt;&lt;/References&gt;&lt;/Group&gt;&lt;Group&gt;&lt;References&gt;&lt;Item&gt;&lt;ID&gt;572&lt;/ID&gt;&lt;UID&gt;{64083A9F-669D-417C-B286-79E203C27DE2}&lt;/UID&gt;&lt;Title&gt;Postpartum weight retention risk factors and relationship to obesity at 1 year&lt;/Title&gt;&lt;Template&gt;Journal Article&lt;/Template&gt;&lt;Star&gt;0&lt;/Star&gt;&lt;Tag&gt;5&lt;/Tag&gt;&lt;Author&gt;Endres, L K; Straub, H; McKinney, C; Plunkett, B; Minkovitz, C S; Schetter, C D; Ramey, S; Wang, C; Hobel, C; Raju, T; Shalowitz, M U&lt;/Author&gt;&lt;Year&gt;2015&lt;/Year&gt;&lt;Details&gt;&lt;_accessed&gt;64664557&lt;/_accessed&gt;&lt;_accession_num&gt;25560116&lt;/_accession_num&gt;&lt;_author_adr&gt;Department of Obstetrics and Gynecology, NorthShore University HealthSystem,  Evanston, Illinois; the Department of Pediatrics, University of Chicago, Pritzker  School of Medicine, Chicago, Illinois; the Bloomberg School of Public Health,  Johns Hopkins University, Baltimore, Maryland; the Department of Psychology,  University of California-Los Angeles, Los Angeles, California; Virginia  Polytechnical Institute and State University, Roanoke, Virginia; and the Eunice  Kennedy Shriver National Institute of Child Health and Human Development,  Bethesda, Maryland.&lt;/_author_adr&gt;&lt;_collection_scope&gt;SCI;SCIE&lt;/_collection_scope&gt;&lt;_created&gt;64553212&lt;/_created&gt;&lt;_date&gt;2015-01-01&lt;/_date&gt;&lt;_date_display&gt;2015 Jan&lt;/_date_display&gt;&lt;_doi&gt;10.1097/AOG.0000000000000565&lt;/_doi&gt;&lt;_impact_factor&gt;   7.661&lt;/_impact_factor&gt;&lt;_isbn&gt;1873-233X (Electronic); 0029-7844 (Print); 0029-7844 (Linking)&lt;/_isbn&gt;&lt;_issue&gt;1&lt;/_issue&gt;&lt;_journal&gt;Obstet Gynecol&lt;/_journal&gt;&lt;_language&gt;eng&lt;/_language&gt;&lt;_modified&gt;64664557&lt;/_modified&gt;&lt;_pages&gt;144-152&lt;/_pages&gt;&lt;_subject_headings&gt;Adult; Body Mass Index; Breast Feeding; Exercise; Female; Humans; Obesity/*epidemiology/ethnology; *Postpartum Period; Pregnancy/*physiology; Prospective Studies; Socioeconomic Factors; Time Factors; *Weight Gain; *Weight Loss; Young Adult&lt;/_subject_headings&gt;&lt;_tertiary_title&gt;Obstetrics and gynecology&lt;/_tertiary_title&gt;&lt;_type_work&gt;Journal Article; Research Support, N.I.H., Extramural&lt;/_type_work&gt;&lt;_url&gt;http://www.ncbi.nlm.nih.gov/entrez/query.fcgi?cmd=Retrieve&amp;amp;db=pubmed&amp;amp;dopt=Abstract&amp;amp;list_uids=25560116&amp;amp;query_hl=1&lt;/_url&gt;&lt;_volume&gt;125&lt;/_volume&gt;&lt;/Details&gt;&lt;Extra&gt;&lt;DBUID&gt;{F96A950B-833F-4880-A151-76DA2D6A2879}&lt;/DBUID&gt;&lt;/Extra&gt;&lt;/Item&gt;&lt;/References&gt;&lt;/Group&gt;&lt;/Citation&gt;_x000a_"/>
    <w:docVar w:name="NE.Ref{81DC227F-B761-404A-8C85-10DECB9EB965}" w:val=" ADDIN NE.Ref.{81DC227F-B761-404A-8C85-10DECB9EB965}&lt;Citation&gt;&lt;Group&gt;&lt;References&gt;&lt;Item&gt;&lt;ID&gt;1&lt;/ID&gt;&lt;UID&gt;{BF3D6C26-9E15-4EED-BD04-105C47CEC17E}&lt;/UID&gt;&lt;Title&gt;Trends in adult body-mass index in 200 countries from 1975 to 2014: a pooled  analysis of 1698 population-based measurement studies with 19·2 million  participants&lt;/Title&gt;&lt;Template&gt;Journal Article&lt;/Template&gt;&lt;Star&gt;0&lt;/Star&gt;&lt;Tag&gt;0&lt;/Tag&gt;&lt;Author/&gt;&lt;Year&gt;2016&lt;/Year&gt;&lt;Details&gt;&lt;_accession_num&gt;27115820&lt;/_accession_num&gt;&lt;_collection_scope&gt;SCI;SCIE&lt;/_collection_scope&gt;&lt;_created&gt;64733386&lt;/_created&gt;&lt;_date&gt;2016-04-02&lt;/_date&gt;&lt;_date_display&gt;2016 Apr 2&lt;/_date_display&gt;&lt;_doi&gt;10.1016/S0140-6736(16)30054-X&lt;/_doi&gt;&lt;_impact_factor&gt;  79.323&lt;/_impact_factor&gt;&lt;_isbn&gt;1474-547X (Electronic); 0140-6736 (Linking)&lt;/_isbn&gt;&lt;_issue&gt;10026&lt;/_issue&gt;&lt;_journal&gt;Lancet&lt;/_journal&gt;&lt;_language&gt;eng&lt;/_language&gt;&lt;_modified&gt;64734679&lt;/_modified&gt;&lt;_ori_publication&gt;Copyright © 2016 NCD Risk Factor Collaboration. Open Access article distributed _x000d__x000a_      under the terms of CC BY. Published by Elsevier Ltd.. All rights reserved.&lt;/_ori_publication&gt;&lt;_pages&gt;1377-1396&lt;/_pages&gt;&lt;_subject_headings&gt;Adolescent; Adult; Bayes Theorem; *Body Mass Index; Developed Countries; Developing Countries; Female; Forecasting; *Global Health; Humans; Male; Models, Statistical; Obesity/*epidemiology; Prevalence; Thinness/epidemiology; Young Adult&lt;/_subject_headings&gt;&lt;_tertiary_title&gt;Lancet (London, England)&lt;/_tertiary_title&gt;&lt;_type_work&gt;Journal Article; Meta-Analysis; Research Support, Non-U.S. Gov&amp;apos;t; Review&lt;/_type_work&gt;&lt;_url&gt;http://www.ncbi.nlm.nih.gov/entrez/query.fcgi?cmd=Retrieve&amp;amp;db=pubmed&amp;amp;dopt=Abstract&amp;amp;list_uids=27115820&amp;amp;query_hl=1&lt;/_url&gt;&lt;_volume&gt;387&lt;/_volume&gt;&lt;/Details&gt;&lt;Extra&gt;&lt;DBUID&gt;{C818A046-6D8C-4B07-8765-4E05C48B46EA}&lt;/DBUID&gt;&lt;/Extra&gt;&lt;/Item&gt;&lt;/References&gt;&lt;/Group&gt;&lt;/Citation&gt;_x000a_"/>
    <w:docVar w:name="NE.Ref{81DE61B3-D78B-4E86-9506-CA39CA900DA1}" w:val=" ADDIN NE.Ref.{81DE61B3-D78B-4E86-9506-CA39CA900DA1}&lt;Citation&gt;&lt;Group&gt;&lt;References&gt;&lt;Item&gt;&lt;ID&gt;3&lt;/ID&gt;&lt;UID&gt;{35D4BEDC-ED0A-4652-8B19-ECEC2869F844}&lt;/UID&gt;&lt;Title&gt;Epidemiology of gestational weight gain and body weight changes after pregnancy&lt;/Title&gt;&lt;Template&gt;Journal Article&lt;/Template&gt;&lt;Star&gt;0&lt;/Star&gt;&lt;Tag&gt;0&lt;/Tag&gt;&lt;Author&gt;Gunderson, E P; Abrams, B&lt;/Author&gt;&lt;Year&gt;2000&lt;/Year&gt;&lt;Details&gt;&lt;_accession_num&gt;11218377&lt;/_accession_num&gt;&lt;_author_adr&gt;Division of Public Health and Epidemiology, School of Public Health, University  of California, Berkeley, CA, USA. epg@dor.kaiser.org&lt;/_author_adr&gt;&lt;_collection_scope&gt;SCI;SCIE&lt;/_collection_scope&gt;&lt;_created&gt;64733389&lt;/_created&gt;&lt;_date&gt;2000-01-20&lt;/_date&gt;&lt;_date_display&gt;2000&lt;/_date_display&gt;&lt;_doi&gt;10.1093/oxfordjournals.epirev.a018038&lt;/_doi&gt;&lt;_impact_factor&gt;   6.222&lt;/_impact_factor&gt;&lt;_isbn&gt;0193-936X (Print); 0193-936X (Linking)&lt;/_isbn&gt;&lt;_issue&gt;2&lt;/_issue&gt;&lt;_journal&gt;Epidemiol Rev&lt;/_journal&gt;&lt;_language&gt;eng&lt;/_language&gt;&lt;_modified&gt;64734679&lt;/_modified&gt;&lt;_pages&gt;261-74&lt;/_pages&gt;&lt;_subject_headings&gt;Adolescent; Adult; Ethnicity; Female; Humans; Lactation; Obesity/economics/*epidemiology/etiology; *Postpartum Period; *Pregnancy; Pregnancy in Adolescence; Prevalence; Risk Factors; United States/epidemiology; *Weight Gain&lt;/_subject_headings&gt;&lt;_tertiary_title&gt;Epidemiologic reviews&lt;/_tertiary_title&gt;&lt;_type_work&gt;Journal Article; Research Support, Non-U.S. Gov&amp;apos;t; Research Support, U.S. Gov&amp;apos;t, Non-P.H.S.; Review&lt;/_type_work&gt;&lt;_url&gt;http://www.ncbi.nlm.nih.gov/entrez/query.fcgi?cmd=Retrieve&amp;amp;db=pubmed&amp;amp;dopt=Abstract&amp;amp;list_uids=11218377&amp;amp;query_hl=1&lt;/_url&gt;&lt;_volume&gt;22&lt;/_volume&gt;&lt;/Details&gt;&lt;Extra&gt;&lt;DBUID&gt;{C818A046-6D8C-4B07-8765-4E05C48B46EA}&lt;/DBUID&gt;&lt;/Extra&gt;&lt;/Item&gt;&lt;/References&gt;&lt;/Group&gt;&lt;Group&gt;&lt;References&gt;&lt;Item&gt;&lt;ID&gt;4&lt;/ID&gt;&lt;UID&gt;{97D476FD-6EFA-4030-9767-895E68ECC74A}&lt;/UID&gt;&lt;Title&gt;Pregnancy: a &amp;quot;teachable moment&amp;quot; for weight control and obesity prevention&lt;/Title&gt;&lt;Template&gt;Journal Article&lt;/Template&gt;&lt;Star&gt;0&lt;/Star&gt;&lt;Tag&gt;0&lt;/Tag&gt;&lt;Author&gt;Phelan, S&lt;/Author&gt;&lt;Year&gt;2010&lt;/Year&gt;&lt;Details&gt;&lt;_accession_num&gt;19683692&lt;/_accession_num&gt;&lt;_author_adr&gt;Department of Kinesiology, California Polytechnic State University, San Luis  Obispo, CA 93407-0386, USA. sphelan@calpoly.edu&lt;/_author_adr&gt;&lt;_collection_scope&gt;SCI;SCIE&lt;/_collection_scope&gt;&lt;_created&gt;64733394&lt;/_created&gt;&lt;_date&gt;2010-02-01&lt;/_date&gt;&lt;_date_display&gt;2010 Feb&lt;/_date_display&gt;&lt;_doi&gt;10.1016/j.ajog.2009.06.008&lt;/_doi&gt;&lt;_impact_factor&gt;   8.661&lt;/_impact_factor&gt;&lt;_isbn&gt;1097-6868 (Electronic); 0002-9378 (Print); 0002-9378 (Linking)&lt;/_isbn&gt;&lt;_issue&gt;2&lt;/_issue&gt;&lt;_journal&gt;Am J Obstet Gynecol&lt;/_journal&gt;&lt;_language&gt;eng&lt;/_language&gt;&lt;_modified&gt;64734679&lt;/_modified&gt;&lt;_ori_publication&gt;Copyright 2010 Mosby, Inc. All rights reserved.&lt;/_ori_publication&gt;&lt;_pages&gt;135.e1-8&lt;/_pages&gt;&lt;_subject_headings&gt;Exercise; Female; Humans; Obesity/*prevention &amp;amp; control; Patient Education as Topic; Postpartum Period; Pregnancy; Pregnancy Complications/*prevention &amp;amp; control; Prenatal Care; *Weight Gain&lt;/_subject_headings&gt;&lt;_tertiary_title&gt;American journal of obstetrics and gynecology&lt;/_tertiary_title&gt;&lt;_type_work&gt;Journal Article; Research Support, N.I.H., Extramural&lt;/_type_work&gt;&lt;_url&gt;http://www.ncbi.nlm.nih.gov/entrez/query.fcgi?cmd=Retrieve&amp;amp;db=pubmed&amp;amp;dopt=Abstract&amp;amp;list_uids=19683692&amp;amp;query_hl=1&lt;/_url&gt;&lt;_volume&gt;202&lt;/_volume&gt;&lt;/Details&gt;&lt;Extra&gt;&lt;DBUID&gt;{C818A046-6D8C-4B07-8765-4E05C48B46EA}&lt;/DBUID&gt;&lt;/Extra&gt;&lt;/Item&gt;&lt;/References&gt;&lt;/Group&gt;&lt;/Citation&gt;_x000a_"/>
    <w:docVar w:name="NE.Ref{82275EFD-4D89-40AC-9784-FAB4349B6C2B}" w:val=" ADDIN NE.Ref.{82275EFD-4D89-40AC-9784-FAB4349B6C2B}&lt;Citation&gt;&lt;Group&gt;&lt;References&gt;&lt;Item&gt;&lt;ID&gt;3&lt;/ID&gt;&lt;UID&gt;{35D4BEDC-ED0A-4652-8B19-ECEC2869F844}&lt;/UID&gt;&lt;Title&gt;Epidemiology of gestational weight gain and body weight changes after pregnancy&lt;/Title&gt;&lt;Template&gt;Journal Article&lt;/Template&gt;&lt;Star&gt;0&lt;/Star&gt;&lt;Tag&gt;0&lt;/Tag&gt;&lt;Author&gt;Gunderson, E P; Abrams, B&lt;/Author&gt;&lt;Year&gt;2000&lt;/Year&gt;&lt;Details&gt;&lt;_accession_num&gt;11218377&lt;/_accession_num&gt;&lt;_author_adr&gt;Division of Public Health and Epidemiology, School of Public Health, University  of California, Berkeley, CA, USA. epg@dor.kaiser.org&lt;/_author_adr&gt;&lt;_collection_scope&gt;SCI;SCIE&lt;/_collection_scope&gt;&lt;_created&gt;64733389&lt;/_created&gt;&lt;_date&gt;2000-01-20&lt;/_date&gt;&lt;_date_display&gt;2000&lt;/_date_display&gt;&lt;_doi&gt;10.1093/oxfordjournals.epirev.a018038&lt;/_doi&gt;&lt;_impact_factor&gt;   6.222&lt;/_impact_factor&gt;&lt;_isbn&gt;0193-936X (Print); 0193-936X (Linking)&lt;/_isbn&gt;&lt;_issue&gt;2&lt;/_issue&gt;&lt;_journal&gt;Epidemiol Rev&lt;/_journal&gt;&lt;_language&gt;eng&lt;/_language&gt;&lt;_modified&gt;64734679&lt;/_modified&gt;&lt;_pages&gt;261-74&lt;/_pages&gt;&lt;_subject_headings&gt;Adolescent; Adult; Ethnicity; Female; Humans; Lactation; Obesity/economics/*epidemiology/etiology; *Postpartum Period; *Pregnancy; Pregnancy in Adolescence; Prevalence; Risk Factors; United States/epidemiology; *Weight Gain&lt;/_subject_headings&gt;&lt;_tertiary_title&gt;Epidemiologic reviews&lt;/_tertiary_title&gt;&lt;_type_work&gt;Journal Article; Research Support, Non-U.S. Gov&amp;apos;t; Research Support, U.S. Gov&amp;apos;t, Non-P.H.S.; Review&lt;/_type_work&gt;&lt;_url&gt;http://www.ncbi.nlm.nih.gov/entrez/query.fcgi?cmd=Retrieve&amp;amp;db=pubmed&amp;amp;dopt=Abstract&amp;amp;list_uids=11218377&amp;amp;query_hl=1&lt;/_url&gt;&lt;_volume&gt;22&lt;/_volume&gt;&lt;/Details&gt;&lt;Extra&gt;&lt;DBUID&gt;{C818A046-6D8C-4B07-8765-4E05C48B46EA}&lt;/DBUID&gt;&lt;/Extra&gt;&lt;/Item&gt;&lt;/References&gt;&lt;/Group&gt;&lt;Group&gt;&lt;References&gt;&lt;Item&gt;&lt;ID&gt;4&lt;/ID&gt;&lt;UID&gt;{97D476FD-6EFA-4030-9767-895E68ECC74A}&lt;/UID&gt;&lt;Title&gt;Pregnancy: a &amp;quot;teachable moment&amp;quot; for weight control and obesity prevention&lt;/Title&gt;&lt;Template&gt;Journal Article&lt;/Template&gt;&lt;Star&gt;0&lt;/Star&gt;&lt;Tag&gt;0&lt;/Tag&gt;&lt;Author&gt;Phelan, S&lt;/Author&gt;&lt;Year&gt;2010&lt;/Year&gt;&lt;Details&gt;&lt;_accession_num&gt;19683692&lt;/_accession_num&gt;&lt;_author_adr&gt;Department of Kinesiology, California Polytechnic State University, San Luis  Obispo, CA 93407-0386, USA. sphelan@calpoly.edu&lt;/_author_adr&gt;&lt;_collection_scope&gt;SCI;SCIE&lt;/_collection_scope&gt;&lt;_created&gt;64733394&lt;/_created&gt;&lt;_date&gt;2010-02-01&lt;/_date&gt;&lt;_date_display&gt;2010 Feb&lt;/_date_display&gt;&lt;_doi&gt;10.1016/j.ajog.2009.06.008&lt;/_doi&gt;&lt;_impact_factor&gt;   8.661&lt;/_impact_factor&gt;&lt;_isbn&gt;1097-6868 (Electronic); 0002-9378 (Print); 0002-9378 (Linking)&lt;/_isbn&gt;&lt;_issue&gt;2&lt;/_issue&gt;&lt;_journal&gt;Am J Obstet Gynecol&lt;/_journal&gt;&lt;_language&gt;eng&lt;/_language&gt;&lt;_modified&gt;64734679&lt;/_modified&gt;&lt;_ori_publication&gt;Copyright 2010 Mosby, Inc. All rights reserved.&lt;/_ori_publication&gt;&lt;_pages&gt;135.e1-8&lt;/_pages&gt;&lt;_subject_headings&gt;Exercise; Female; Humans; Obesity/*prevention &amp;amp; control; Patient Education as Topic; Postpartum Period; Pregnancy; Pregnancy Complications/*prevention &amp;amp; control; Prenatal Care; *Weight Gain&lt;/_subject_headings&gt;&lt;_tertiary_title&gt;American journal of obstetrics and gynecology&lt;/_tertiary_title&gt;&lt;_type_work&gt;Journal Article; Research Support, N.I.H., Extramural&lt;/_type_work&gt;&lt;_url&gt;http://www.ncbi.nlm.nih.gov/entrez/query.fcgi?cmd=Retrieve&amp;amp;db=pubmed&amp;amp;dopt=Abstract&amp;amp;list_uids=19683692&amp;amp;query_hl=1&lt;/_url&gt;&lt;_volume&gt;202&lt;/_volume&gt;&lt;/Details&gt;&lt;Extra&gt;&lt;DBUID&gt;{C818A046-6D8C-4B07-8765-4E05C48B46EA}&lt;/DBUID&gt;&lt;/Extra&gt;&lt;/Item&gt;&lt;/References&gt;&lt;/Group&gt;&lt;/Citation&gt;_x000a_"/>
    <w:docVar w:name="NE.Ref{824DA2D0-7E29-4CEE-A059-26AA7E8A4315}" w:val=" ADDIN NE.Ref.{824DA2D0-7E29-4CEE-A059-26AA7E8A4315}&lt;Citation&gt;&lt;Group&gt;&lt;References&gt;&lt;Item&gt;&lt;ID&gt;16&lt;/ID&gt;&lt;UID&gt;{7D0F4671-530A-4321-9D3D-CBF584A4CE98}&lt;/UID&gt;&lt;Title&gt;Maternal weight change from prepregnancy to 18 months postpartum and subsequent  risk of hypertension and cardiovascular disease in Danish women: A cohort study&lt;/Title&gt;&lt;Template&gt;Journal Article&lt;/Template&gt;&lt;Star&gt;0&lt;/Star&gt;&lt;Tag&gt;0&lt;/Tag&gt;&lt;Author&gt;Kirkegaard, H; Bliddal, M; Støvring, H; Rasmussen, K M; Gunderson, E P; Køber, L; Sørensen, TIA; Nøhr, E A&lt;/Author&gt;&lt;Year&gt;2021&lt;/Year&gt;&lt;Details&gt;&lt;_accession_num&gt;33798198&lt;/_accession_num&gt;&lt;_author_adr&gt;Research Unit of Obstetrics and Gynecology, Department of Clinical Research,  University of Southern Denmark, Odense, Denmark.; Open Patient Data Explorative Network (OPEN), Department of Clinical Research,  University of Southern Denmark and Odense University Hospital, Odense, Denmark.; Open Patient Data Explorative Network (OPEN), Department of Clinical Research,  University of Southern Denmark and Odense University Hospital, Odense, Denmark.; Department of Public Health, Biostatistics, Aarhus University, Aarhus, Denmark.; Division of Nutritional Sciences, Cornell University, Ithaca, New York, United  States of America.; Division of Research, Cardiovascular and Metabolic Conditions Section, Kaiser  Permanente Northern California, Oakland, California, United States of America.; Department of Cardiology, Rigshospitalet, University Hospital, Copenhagen,  Denmark.; Novo Nordisk Foundation Center for Basic Metabolic Research and Department of  Public Health, Faculty of Health and Medical Sciences, University of Copenhagen,  Copenhagen, Denmark.; Research Unit of Obstetrics and Gynecology, Department of Clinical Research,  University of Southern Denmark, Odense, Denmark.; Department of Gynecology and Obstetrics, Odense University Hospital, Odense,  Denmark.&lt;/_author_adr&gt;&lt;_collection_scope&gt;SCIE&lt;/_collection_scope&gt;&lt;_created&gt;64733397&lt;/_created&gt;&lt;_date&gt;2021-04-01&lt;/_date&gt;&lt;_date_display&gt;2021 Apr&lt;/_date_display&gt;&lt;_doi&gt;10.1371/journal.pmed.1003486&lt;/_doi&gt;&lt;_impact_factor&gt;  11.069&lt;/_impact_factor&gt;&lt;_isbn&gt;1549-1676 (Electronic); 1549-1277 (Print); 1549-1277 (Linking)&lt;/_isbn&gt;&lt;_issue&gt;4&lt;/_issue&gt;&lt;_journal&gt;PLoS Med&lt;/_journal&gt;&lt;_language&gt;eng&lt;/_language&gt;&lt;_modified&gt;64734679&lt;/_modified&gt;&lt;_pages&gt;e1003486&lt;/_pages&gt;&lt;_subject_headings&gt;Adult; Cardiovascular Diseases/*epidemiology/etiology; Cohort Studies; Denmark/epidemiology; Female; Humans; Hypertension/epidemiology/etiology; Middle Aged; Obesity/epidemiology/etiology; Overweight/*epidemiology/etiology; Postpartum Period/*physiology; Pregnancy; Pregnancy Complications/*epidemiology/etiology; Risk Factors; Thinness/*epidemiology/etiology; *Weight Gain; Young Adult&lt;/_subject_headings&gt;&lt;_tertiary_title&gt;PLoS medicine&lt;/_tertiary_title&gt;&lt;_type_work&gt;Journal Article; Research Support, Non-U.S. Gov&amp;apos;t&lt;/_type_work&gt;&lt;_url&gt;http://www.ncbi.nlm.nih.gov/entrez/query.fcgi?cmd=Retrieve&amp;amp;db=pubmed&amp;amp;dopt=Abstract&amp;amp;list_uids=33798198&amp;amp;query_hl=1&lt;/_url&gt;&lt;_volume&gt;18&lt;/_volume&gt;&lt;/Details&gt;&lt;Extra&gt;&lt;DBUID&gt;{C818A046-6D8C-4B07-8765-4E05C48B46EA}&lt;/DBUID&gt;&lt;/Extra&gt;&lt;/Item&gt;&lt;/References&gt;&lt;/Group&gt;&lt;/Citation&gt;_x000a_"/>
    <w:docVar w:name="NE.Ref{82BDBC8E-ECAE-4B4D-88B7-52A3EDC187A4}" w:val=" ADDIN NE.Ref.{82BDBC8E-ECAE-4B4D-88B7-52A3EDC187A4}&lt;Citation&gt;&lt;Group&gt;&lt;References&gt;&lt;Item&gt;&lt;ID&gt;562&lt;/ID&gt;&lt;UID&gt;{E59E3981-A5D8-4321-8229-3958E4CA03C0}&lt;/UID&gt;&lt;Title&gt;A Note on a Stata Plugin for Estimating Group-based Trajectory Models&lt;/Title&gt;&lt;Template&gt;Journal Article&lt;/Template&gt;&lt;Star&gt;0&lt;/Star&gt;&lt;Tag&gt;0&lt;/Tag&gt;&lt;Author&gt;Jones, Bobby L; Nagin, Daniel S&lt;/Author&gt;&lt;Year&gt;2013&lt;/Year&gt;&lt;Details&gt;&lt;_alternate_title&gt;Sociological Methods &amp;amp; Research&lt;/_alternate_title&gt;&lt;_collection_scope&gt;SSCI&lt;/_collection_scope&gt;&lt;_created&gt;64535636&lt;/_created&gt;&lt;_date&gt;2013-09-30&lt;/_date&gt;&lt;_date_display&gt;2013_x000d__x000a_2013/09/30&lt;/_date_display&gt;&lt;_doi&gt;10.1177/0049124113503141&lt;/_doi&gt;&lt;_impact_factor&gt;   6.933&lt;/_impact_factor&gt;&lt;_isbn&gt;0049-1241&lt;/_isbn&gt;&lt;_issue&gt;4&lt;/_issue&gt;&lt;_journal&gt;Sociological Methods &amp;amp; Research&lt;/_journal&gt;&lt;_modified&gt;64535636&lt;/_modified&gt;&lt;_ori_publication&gt;SAGE Publications Inc&lt;/_ori_publication&gt;&lt;_pages&gt;608-613&lt;/_pages&gt;&lt;_url&gt;https://doi.org/10.1177/0049124113503141&lt;/_url&gt;&lt;_volume&gt;42&lt;/_volume&gt;&lt;/Details&gt;&lt;Extra&gt;&lt;DBUID&gt;{F96A950B-833F-4880-A151-76DA2D6A2879}&lt;/DBUID&gt;&lt;/Extra&gt;&lt;/Item&gt;&lt;/References&gt;&lt;/Group&gt;&lt;/Citation&gt;_x000a_"/>
    <w:docVar w:name="NE.Ref{8396063C-38CB-4C75-8BA1-CB4816B688F8}" w:val=" ADDIN NE.Ref.{8396063C-38CB-4C75-8BA1-CB4816B688F8}"/>
    <w:docVar w:name="NE.Ref{848E39FC-07B2-442B-86B4-CCAE6A735F0D}" w:val=" ADDIN NE.Ref.{848E39FC-07B2-442B-86B4-CCAE6A735F0D}&lt;Citation&gt;&lt;Group&gt;&lt;References&gt;&lt;Item&gt;&lt;ID&gt;580&lt;/ID&gt;&lt;UID&gt;{BBB9761D-39C0-4211-A2BF-523DF6988DF1}&lt;/UID&gt;&lt;Title&gt;Effect of lifestyle intervention on cardiometabolic risk factors: results of the  POWER-UP trial&lt;/Title&gt;&lt;Template&gt;Journal Article&lt;/Template&gt;&lt;Star&gt;0&lt;/Star&gt;&lt;Tag&gt;5&lt;/Tag&gt;&lt;Author&gt;Vetter, M L; Wadden, T A; Chittams, J; Diewald, L K; Panigrahi, E; Volger, S; Sarwer, D B; Moore, R H&lt;/Author&gt;&lt;Year&gt;2013&lt;/Year&gt;&lt;Details&gt;&lt;_accession_num&gt;23921777&lt;/_accession_num&gt;&lt;_author_adr&gt;Division of Endocrinology, Diabetes and Metabolism, Department of Medicine,  Perelman School of Medicine at the University of Pennsylvania, Philadelphia, PA  19104, USA. marion.vetter@uphs.upenn.edu&lt;/_author_adr&gt;&lt;_created&gt;64586074&lt;/_created&gt;&lt;_date&gt;2013-08-01&lt;/_date&gt;&lt;_date_display&gt;2013 Aug&lt;/_date_display&gt;&lt;_doi&gt;10.1038/ijo.2013.92&lt;/_doi&gt;&lt;_impact_factor&gt;   5.095&lt;/_impact_factor&gt;&lt;_isbn&gt;1476-5497 (Electronic); 0307-0565 (Print); 0307-0565 (Linking)&lt;/_isbn&gt;&lt;_issue&gt;0 1&lt;/_issue&gt;&lt;_journal&gt;Int J Obes (Lond)&lt;/_journal&gt;&lt;_language&gt;eng&lt;/_language&gt;&lt;_modified&gt;64601630&lt;/_modified&gt;&lt;_pages&gt;S19-24&lt;/_pages&gt;&lt;_subject_headings&gt;*Behavior Therapy; Blood Glucose/metabolism; Blood Pressure; Body Mass Index; Cardiovascular Diseases/blood/epidemiology/*prevention &amp;amp; control; Cholesterol, HDL/blood; Cholesterol, LDL/blood; Diet, Reducing; *Directive Counseling; Female; Humans; Insulin Resistance; Lipids/blood; Male; Middle Aged; Obesity/blood/epidemiology/*therapy; Pennsylvania/epidemiology; *Primary Health Care; Risk Factors; *Risk Reduction Behavior; Treatment Outcome; Triglycerides/blood; *Weight Loss&lt;/_subject_headings&gt;&lt;_tertiary_title&gt;International journal of obesity (2005)&lt;/_tertiary_title&gt;&lt;_type_work&gt;Journal Article; Multicenter Study; Randomized Controlled Trial; Research Support, N.I.H., Extramural&lt;/_type_work&gt;&lt;_url&gt;http://www.ncbi.nlm.nih.gov/entrez/query.fcgi?cmd=Retrieve&amp;amp;db=pubmed&amp;amp;dopt=Abstract&amp;amp;list_uids=23921777&amp;amp;query_hl=1&lt;/_url&gt;&lt;_volume&gt;37 Suppl 1&lt;/_volume&gt;&lt;/Details&gt;&lt;Extra&gt;&lt;DBUID&gt;{F96A950B-833F-4880-A151-76DA2D6A2879}&lt;/DBUID&gt;&lt;/Extra&gt;&lt;/Item&gt;&lt;/References&gt;&lt;/Group&gt;&lt;/Citation&gt;_x000a_"/>
    <w:docVar w:name="NE.Ref{852AB300-9902-49C7-9B1F-81488F1FC477}" w:val=" ADDIN NE.Ref.{852AB300-9902-49C7-9B1F-81488F1FC477}&lt;Citation&gt;&lt;Group&gt;&lt;References&gt;&lt;Item&gt;&lt;ID&gt;1&lt;/ID&gt;&lt;UID&gt;{BF3D6C26-9E15-4EED-BD04-105C47CEC17E}&lt;/UID&gt;&lt;Title&gt;Trends in adult body-mass index in 200 countries from 1975 to 2014: a pooled  analysis of 1698 population-based measurement studies with 19·2 million  participants&lt;/Title&gt;&lt;Template&gt;Journal Article&lt;/Template&gt;&lt;Star&gt;0&lt;/Star&gt;&lt;Tag&gt;0&lt;/Tag&gt;&lt;Author/&gt;&lt;Year&gt;2016&lt;/Year&gt;&lt;Details&gt;&lt;_accession_num&gt;27115820&lt;/_accession_num&gt;&lt;_collection_scope&gt;SCI;SCIE&lt;/_collection_scope&gt;&lt;_created&gt;64733386&lt;/_created&gt;&lt;_date&gt;2016-04-02&lt;/_date&gt;&lt;_date_display&gt;2016 Apr 2&lt;/_date_display&gt;&lt;_doi&gt;10.1016/S0140-6736(16)30054-X&lt;/_doi&gt;&lt;_impact_factor&gt;  79.323&lt;/_impact_factor&gt;&lt;_isbn&gt;1474-547X (Electronic); 0140-6736 (Linking)&lt;/_isbn&gt;&lt;_issue&gt;10026&lt;/_issue&gt;&lt;_journal&gt;Lancet&lt;/_journal&gt;&lt;_language&gt;eng&lt;/_language&gt;&lt;_modified&gt;64734679&lt;/_modified&gt;&lt;_ori_publication&gt;Copyright © 2016 NCD Risk Factor Collaboration. Open Access article distributed _x000d__x000a_      under the terms of CC BY. Published by Elsevier Ltd.. All rights reserved.&lt;/_ori_publication&gt;&lt;_pages&gt;1377-1396&lt;/_pages&gt;&lt;_subject_headings&gt;Adolescent; Adult; Bayes Theorem; *Body Mass Index; Developed Countries; Developing Countries; Female; Forecasting; *Global Health; Humans; Male; Models, Statistical; Obesity/*epidemiology; Prevalence; Thinness/epidemiology; Young Adult&lt;/_subject_headings&gt;&lt;_tertiary_title&gt;Lancet (London, England)&lt;/_tertiary_title&gt;&lt;_type_work&gt;Journal Article; Meta-Analysis; Research Support, Non-U.S. Gov&amp;apos;t; Review&lt;/_type_work&gt;&lt;_url&gt;http://www.ncbi.nlm.nih.gov/entrez/query.fcgi?cmd=Retrieve&amp;amp;db=pubmed&amp;amp;dopt=Abstract&amp;amp;list_uids=27115820&amp;amp;query_hl=1&lt;/_url&gt;&lt;_volume&gt;387&lt;/_volume&gt;&lt;/Details&gt;&lt;Extra&gt;&lt;DBUID&gt;{C818A046-6D8C-4B07-8765-4E05C48B46EA}&lt;/DBUID&gt;&lt;/Extra&gt;&lt;/Item&gt;&lt;/References&gt;&lt;/Group&gt;&lt;/Citation&gt;_x000a_"/>
    <w:docVar w:name="NE.Ref{87637761-456B-4340-A398-B23CBF245397}" w:val=" ADDIN NE.Ref.{87637761-456B-4340-A398-B23CBF245397}&lt;Citation&gt;&lt;Group&gt;&lt;References&gt;&lt;Item&gt;&lt;ID&gt;602&lt;/ID&gt;&lt;UID&gt;{B6CC4CD5-F0BF-4902-82D2-1EDDB7165D06}&lt;/UID&gt;&lt;Title&gt;Trends in adult body-mass index in 200 countries from 1975 to 2014: a pooled  analysis of 1698 population-based measurement studies with 19·2 million  participants&lt;/Title&gt;&lt;Template&gt;Journal Article&lt;/Template&gt;&lt;Star&gt;0&lt;/Star&gt;&lt;Tag&gt;0&lt;/Tag&gt;&lt;Author/&gt;&lt;Year&gt;2016&lt;/Year&gt;&lt;Details&gt;&lt;_accessed&gt;64664558&lt;/_accessed&gt;&lt;_accession_num&gt;27115820&lt;/_accession_num&gt;&lt;_collection_scope&gt;SCI;SCIE&lt;/_collection_scope&gt;&lt;_created&gt;64664558&lt;/_created&gt;&lt;_date&gt;2016-04-02&lt;/_date&gt;&lt;_date_display&gt;2016 Apr 2&lt;/_date_display&gt;&lt;_doi&gt;10.1016/S0140-6736(16)30054-X&lt;/_doi&gt;&lt;_impact_factor&gt;  79.323&lt;/_impact_factor&gt;&lt;_isbn&gt;1474-547X (Electronic); 0140-6736 (Linking)&lt;/_isbn&gt;&lt;_issue&gt;10026&lt;/_issue&gt;&lt;_journal&gt;Lancet&lt;/_journal&gt;&lt;_language&gt;eng&lt;/_language&gt;&lt;_modified&gt;64664559&lt;/_modified&gt;&lt;_ori_publication&gt;Copyright © 2016 NCD Risk Factor Collaboration. Open Access article distributed _x000d__x000a_      under the terms of CC BY. Published by Elsevier Ltd.. All rights reserved.&lt;/_ori_publication&gt;&lt;_pages&gt;1377-1396&lt;/_pages&gt;&lt;_subject_headings&gt;Adolescent; Adult; Bayes Theorem; *Body Mass Index; Developed Countries; Developing Countries; Female; Forecasting; *Global Health; Humans; Male; Models, Statistical; Obesity/*epidemiology; Prevalence; Thinness/epidemiology; Young Adult&lt;/_subject_headings&gt;&lt;_tertiary_title&gt;Lancet (London, England)&lt;/_tertiary_title&gt;&lt;_type_work&gt;Journal Article; Meta-Analysis; Research Support, Non-U.S. Gov&amp;apos;t; Review&lt;/_type_work&gt;&lt;_url&gt;http://www.ncbi.nlm.nih.gov/entrez/query.fcgi?cmd=Retrieve&amp;amp;db=pubmed&amp;amp;dopt=Abstract&amp;amp;list_uids=27115820&amp;amp;query_hl=1&lt;/_url&gt;&lt;_volume&gt;387&lt;/_volume&gt;&lt;/Details&gt;&lt;Extra&gt;&lt;DBUID&gt;{F96A950B-833F-4880-A151-76DA2D6A2879}&lt;/DBUID&gt;&lt;/Extra&gt;&lt;/Item&gt;&lt;/References&gt;&lt;/Group&gt;&lt;/Citation&gt;_x000a_"/>
    <w:docVar w:name="NE.Ref{87DFE947-E729-4609-8FE7-3BA6E8C9DF8C}" w:val=" ADDIN NE.Ref.{87DFE947-E729-4609-8FE7-3BA6E8C9DF8C}&lt;Citation&gt;&lt;Group&gt;&lt;References&gt;&lt;Item&gt;&lt;ID&gt;580&lt;/ID&gt;&lt;UID&gt;{BBB9761D-39C0-4211-A2BF-523DF6988DF1}&lt;/UID&gt;&lt;Title&gt;Effect of lifestyle intervention on cardiometabolic risk factors: results of the  POWER-UP trial&lt;/Title&gt;&lt;Template&gt;Journal Article&lt;/Template&gt;&lt;Star&gt;0&lt;/Star&gt;&lt;Tag&gt;5&lt;/Tag&gt;&lt;Author&gt;Vetter, M L; Wadden, T A; Chittams, J; Diewald, L K; Panigrahi, E; Volger, S; Sarwer, D B; Moore, R H&lt;/Author&gt;&lt;Year&gt;2013&lt;/Year&gt;&lt;Details&gt;&lt;_accession_num&gt;23921777&lt;/_accession_num&gt;&lt;_author_adr&gt;Division of Endocrinology, Diabetes and Metabolism, Department of Medicine,  Perelman School of Medicine at the University of Pennsylvania, Philadelphia, PA  19104, USA. marion.vetter@uphs.upenn.edu&lt;/_author_adr&gt;&lt;_created&gt;64586074&lt;/_created&gt;&lt;_date&gt;2013-08-01&lt;/_date&gt;&lt;_date_display&gt;2013 Aug&lt;/_date_display&gt;&lt;_doi&gt;10.1038/ijo.2013.92&lt;/_doi&gt;&lt;_impact_factor&gt;   5.095&lt;/_impact_factor&gt;&lt;_isbn&gt;1476-5497 (Electronic); 0307-0565 (Print); 0307-0565 (Linking)&lt;/_isbn&gt;&lt;_issue&gt;0 1&lt;/_issue&gt;&lt;_journal&gt;Int J Obes (Lond)&lt;/_journal&gt;&lt;_language&gt;eng&lt;/_language&gt;&lt;_modified&gt;64601630&lt;/_modified&gt;&lt;_pages&gt;S19-24&lt;/_pages&gt;&lt;_subject_headings&gt;*Behavior Therapy; Blood Glucose/metabolism; Blood Pressure; Body Mass Index; Cardiovascular Diseases/blood/epidemiology/*prevention &amp;amp; control; Cholesterol, HDL/blood; Cholesterol, LDL/blood; Diet, Reducing; *Directive Counseling; Female; Humans; Insulin Resistance; Lipids/blood; Male; Middle Aged; Obesity/blood/epidemiology/*therapy; Pennsylvania/epidemiology; *Primary Health Care; Risk Factors; *Risk Reduction Behavior; Treatment Outcome; Triglycerides/blood; *Weight Loss&lt;/_subject_headings&gt;&lt;_tertiary_title&gt;International journal of obesity (2005)&lt;/_tertiary_title&gt;&lt;_type_work&gt;Journal Article; Multicenter Study; Randomized Controlled Trial; Research Support, N.I.H., Extramural&lt;/_type_work&gt;&lt;_url&gt;http://www.ncbi.nlm.nih.gov/entrez/query.fcgi?cmd=Retrieve&amp;amp;db=pubmed&amp;amp;dopt=Abstract&amp;amp;list_uids=23921777&amp;amp;query_hl=1&lt;/_url&gt;&lt;_volume&gt;37 Suppl 1&lt;/_volume&gt;&lt;/Details&gt;&lt;Extra&gt;&lt;DBUID&gt;{F96A950B-833F-4880-A151-76DA2D6A2879}&lt;/DBUID&gt;&lt;/Extra&gt;&lt;/Item&gt;&lt;/References&gt;&lt;/Group&gt;&lt;/Citation&gt;_x000a_"/>
    <w:docVar w:name="NE.Ref{884A9BBC-C595-4821-9252-E719291F4278}" w:val=" ADDIN NE.Ref.{884A9BBC-C595-4821-9252-E719291F4278}&lt;Citation&gt;&lt;Group&gt;&lt;References&gt;&lt;Item&gt;&lt;ID&gt;545&lt;/ID&gt;&lt;UID&gt;{51840757-0C87-44F9-ADA7-7ABE3FA3DBC6}&lt;/UID&gt;&lt;Title&gt;Patterns of Weight Change One Year after Delivery Are Associated with  Cardiometabolic Risk Factors at Six Years Postpartum in Mexican Women&lt;/Title&gt;&lt;Template&gt;Journal Article&lt;/Template&gt;&lt;Star&gt;1&lt;/Star&gt;&lt;Tag&gt;5&lt;/Tag&gt;&lt;Author&gt;Soria-Contreras, D C; Trejo-Valdivia, B; Cantoral, A; Pizano-Zárate, M L; Baccarelli, A A; Just, A C; Colicino, E; Deierlein, A L; Wright, R O; Oken, E; Téllez-Rojo, M M; López-Ridaura, R&lt;/Author&gt;&lt;Year&gt;2020&lt;/Year&gt;&lt;Details&gt;&lt;_accession_num&gt;31936138&lt;/_accession_num&gt;&lt;_author_adr&gt;Center for Nutrition and Health Research, National Institute of Public Health,  Avenida Universidad no. 655, Santa María Ahuacatitlán, Cuernavaca, Morelos 62100,  Mexico.; Center for Nutrition and Health Research, National Institute of Public Health,  Avenida Universidad no. 655, Santa María Ahuacatitlán, Cuernavaca, Morelos 62100,  Mexico.; Center for Nutrition and Health Research, National Institute of Public Health,  Avenida Universidad no. 655, Santa María Ahuacatitlán, Cuernavaca, Morelos 62100,  Mexico.; National Council on Science and Technology, Avenida Insurgentes Sur no. 1582, San  José Insurgentes, Benito Juárez, Ciudad de México 08400, Mexico.; Division of Community Interventions Research, National Institute of Perinatology,  Montes Urales no. 800, Lomas de Virreyes, Miguel Hidalgo, Ciudad de México 11000,  Mexico.; Department of Environmental Health Sciences, Mailman School of Public Health,  Columbia University Medical Center, 722 West 168th Street, Suite 1105E, New York,  NY 10032, USA.; Department of Environmental Medicine and Public Health, Icahn School of Medicine  at Mount Sinai, 17 East 102 Street Floor 3, New York, NY 10029, USA.; Department of Environmental Medicine and Public Health, Icahn School of Medicine  at Mount Sinai, 17 East 102 Street Floor 3, New York, NY 10029, USA.; College of Global Public Health, New York University, 715 Broadway, New York, NY  10003, USA.; Department of Environmental Medicine and Public Health, Icahn School of Medicine  at Mount Sinai, 17 East 102 Street Floor 3, New York, NY 10029, USA.; Division of Chronic Disease Research Across the Lifecourse, Department of  Population Medicine, Harvard Medical School and Harvard Pilgrim Health Care  Institute, Landmark Center, 401 Park Drive, Suite 401 East Boston, MA 02215, USA.; Center for Nutrition and Health Research, National Institute of Public Health,  Avenida Universidad no. 655, Santa María Ahuacatitlán, Cuernavaca, Morelos 62100,  Mexico.; National Center for Prevention Programs and Disease Control, Benjamín Franklin  no.132, Escandón, Miguel Hidalgo, Ciudad de México 11800, Mexico.&lt;/_author_adr&gt;&lt;_collection_scope&gt;SCIE&lt;/_collection_scope&gt;&lt;_created&gt;64525652&lt;/_created&gt;&lt;_date&gt;2020-01-07&lt;/_date&gt;&lt;_date_display&gt;2020 Jan 7&lt;/_date_display&gt;&lt;_doi&gt;10.3390/nu12010170&lt;/_doi&gt;&lt;_impact_factor&gt;   5.719&lt;/_impact_factor&gt;&lt;_isbn&gt;2072-6643 (Electronic); 2072-6643 (Linking)&lt;/_isbn&gt;&lt;_issue&gt;1&lt;/_issue&gt;&lt;_journal&gt;Nutrients&lt;/_journal&gt;&lt;_keywords&gt;PROGRESS cohort; Postpartum weight change; adiposity; cardiovascular risk; postpartum weight gain; postpartum weight retention&lt;/_keywords&gt;&lt;_language&gt;eng&lt;/_language&gt;&lt;_modified&gt;64599346&lt;/_modified&gt;&lt;_subject_headings&gt;Adult; *Cardiovascular Diseases; Female; Humans; *Metabolic Diseases; Mexico; Obesity; *Postpartum Period; Risk Factors; Time Factors; *Weight Gain; Young Adult&lt;/_subject_headings&gt;&lt;_tertiary_title&gt;Nutrients&lt;/_tertiary_title&gt;&lt;_type_work&gt;Journal Article&lt;/_type_work&gt;&lt;_url&gt;http://www.ncbi.nlm.nih.gov/entrez/query.fcgi?cmd=Retrieve&amp;amp;db=pubmed&amp;amp;dopt=Abstract&amp;amp;list_uids=31936138&amp;amp;query_hl=1&lt;/_url&gt;&lt;_volume&gt;12&lt;/_volume&gt;&lt;/Details&gt;&lt;Extra&gt;&lt;DBUID&gt;{F96A950B-833F-4880-A151-76DA2D6A2879}&lt;/DBUID&gt;&lt;/Extra&gt;&lt;/Item&gt;&lt;/References&gt;&lt;/Group&gt;&lt;Group&gt;&lt;References&gt;&lt;Item&gt;&lt;ID&gt;579&lt;/ID&gt;&lt;UID&gt;{370E55E6-9742-4E5A-9FCB-18DE71BA654F}&lt;/UID&gt;&lt;Title&gt;Cardiometabolic implications of postpartum weight changes in the first year after  delivery&lt;/Title&gt;&lt;Template&gt;Journal Article&lt;/Template&gt;&lt;Star&gt;1&lt;/Star&gt;&lt;Tag&gt;5&lt;/Tag&gt;&lt;Author&gt;Kew, S; Ye, C; Hanley, A J; Connelly, P W; Sermer, M; Zinman, B; Retnakaran, R&lt;/Author&gt;&lt;Year&gt;2014&lt;/Year&gt;&lt;Details&gt;&lt;_accession_num&gt;24667457&lt;/_accession_num&gt;&lt;_author_adr&gt;Leadership Sinai Centre for Diabetes, Mount Sinai Hospital, Toronto, Ontario,  Canada.; Leadership Sinai Centre for Diabetes, Mount Sinai Hospital, Toronto, Ontario,  Canada.; Leadership Sinai Centre for Diabetes, Mount Sinai Hospital, Toronto, Ontario,  CanadaDivision of Endocrinology, University of Toronto, Toronto, Ontario,  CanadaDepartment of Nutritional Sciences, University of Toronto, Toronto,  Ontario, Canada.; Division of Endocrinology, University of Toronto, Toronto, Ontario, CanadaKeenan  Research Centre, Li Ka Shing Knowledge Institute, St. Michael&amp;apos;s Hospital,  Toronto, Canada.; Division of Obstetrics and Gynecology, Mount Sinai Hospital, Toronto, Canada.; Leadership Sinai Centre for Diabetes, Mount Sinai Hospital, Toronto, Ontario,  CanadaDivision of Endocrinology, University of Toronto, Toronto, Ontario,  CanadaLunenfeld-Tanenbaum Research Institute, Mount Sinai Hospital, Toronto,  Canada.; Leadership Sinai Centre for Diabetes, Mount Sinai Hospital, Toronto, Ontario,  CanadaDivision of Endocrinology, University of Toronto, Toronto, Ontario,  CanadaLunenfeld-Tanenbaum Research Institute, Mount Sinai Hospital, Toronto,  Canada rretnakaran@mtsinai.on.ca.&lt;/_author_adr&gt;&lt;_collection_scope&gt;SCI;SCIE&lt;/_collection_scope&gt;&lt;_created&gt;64585225&lt;/_created&gt;&lt;_date&gt;2014-07-01&lt;/_date&gt;&lt;_date_display&gt;2014 Jul&lt;/_date_display&gt;&lt;_doi&gt;10.2337/dc14-0087&lt;/_doi&gt;&lt;_impact_factor&gt;  19.112&lt;/_impact_factor&gt;&lt;_isbn&gt;1935-5548 (Electronic); 0149-5992 (Linking)&lt;/_isbn&gt;&lt;_issue&gt;7&lt;/_issue&gt;&lt;_journal&gt;Diabetes Care&lt;/_journal&gt;&lt;_language&gt;eng&lt;/_language&gt;&lt;_modified&gt;64599344&lt;/_modified&gt;&lt;_ori_publication&gt;© 2014 by the American Diabetes Association.&lt;/_ori_publication&gt;&lt;_pages&gt;1998-2006&lt;/_pages&gt;&lt;_subject_headings&gt;Adiponectin/metabolism; Adult; Apolipoproteins B/metabolism; Body Weight/*physiology; C-Reactive Protein/metabolism; Cardiovascular Diseases/etiology; Cholesterol, LDL/blood; Female; Humans; Insulin Resistance/physiology; *Postpartum Period; Pregnancy; Risk Factors; Time Factors; Triglycerides/blood; Weight Gain/*physiology; Weight Loss/*physiology&lt;/_subject_headings&gt;&lt;_tertiary_title&gt;Diabetes care&lt;/_tertiary_title&gt;&lt;_type_work&gt;Journal Article; Observational Study; Research Support, Non-U.S. Gov&amp;apos;t&lt;/_type_work&gt;&lt;_url&gt;http://www.ncbi.nlm.nih.gov/entrez/query.fcgi?cmd=Retrieve&amp;amp;db=pubmed&amp;amp;dopt=Abstract&amp;amp;list_uids=24667457&amp;amp;query_hl=1&lt;/_url&gt;&lt;_volume&gt;37&lt;/_volume&gt;&lt;/Details&gt;&lt;Extra&gt;&lt;DBUID&gt;{F96A950B-833F-4880-A151-76DA2D6A2879}&lt;/DBUID&gt;&lt;/Extra&gt;&lt;/Item&gt;&lt;/References&gt;&lt;/Group&gt;&lt;/Citation&gt;_x000a_"/>
    <w:docVar w:name="NE.Ref{884C0F3A-7453-4055-9814-AB7138A52BA0}" w:val=" ADDIN NE.Ref.{884C0F3A-7453-4055-9814-AB7138A52BA0}&lt;Citation&gt;&lt;Group&gt;&lt;References&gt;&lt;Item&gt;&lt;ID&gt;559&lt;/ID&gt;&lt;UID&gt;{901AA8C7-FF87-4C1F-887E-914B03A64465}&lt;/UID&gt;&lt;Title&gt;Preconceptional and maternal obesity: epidemiology and health consequences&lt;/Title&gt;&lt;Template&gt;Journal Article&lt;/Template&gt;&lt;Star&gt;1&lt;/Star&gt;&lt;Tag&gt;5&lt;/Tag&gt;&lt;Author&gt;Poston, L; Caleyachetty, R; Cnattingius, S; Corvalán, C; Uauy, R; Herring, S; Gillman, M W&lt;/Author&gt;&lt;Year&gt;2016&lt;/Year&gt;&lt;Details&gt;&lt;_accession_num&gt;27743975&lt;/_accession_num&gt;&lt;_author_adr&gt;Division of Women&amp;apos;s Health, Faculty of Life Sciences and Medicine, King&amp;apos;s College  London, London, UK. Electronic address: lucilla.poston@kcl.ac.uk.; Institute of Applied Health Research, University of Birmingham, Birmingham, UK.; Department of Medicine Solna, Karolinska Universitetssjukhuset, Stockholm,  Sweden.; Institute of Nutrition and Food Technology, University of Chile, Santiago, Chile.; Division of Pediatrics, Faculty of Medicine, Pontifical Catholic University of  Chile, Santiago, Chile; Center for Obesity Research and Education, Departments of  Medicine and Public Health, Temple University, Philadelphia, PA, USA.; Center for Obesity Research and Education, Departments of Medicine and Public  Health, Temple University, Philadelphia, PA, USA.; Office of the Director, Environmental Influences on Child Health Outcomes (ECHO),  National Institutes of Health, Rockville, MD, USA.&lt;/_author_adr&gt;&lt;_created&gt;64530196&lt;/_created&gt;&lt;_date&gt;2016-12-01&lt;/_date&gt;&lt;_date_display&gt;2016 Dec&lt;/_date_display&gt;&lt;_doi&gt;10.1016/S2213-8587(16)30217-0&lt;/_doi&gt;&lt;_impact_factor&gt;  32.069&lt;/_impact_factor&gt;&lt;_isbn&gt;2213-8595 (Electronic); 2213-8587 (Linking)&lt;/_isbn&gt;&lt;_issue&gt;12&lt;/_issue&gt;&lt;_journal&gt;Lancet Diabetes Endocrinol&lt;/_journal&gt;&lt;_language&gt;eng&lt;/_language&gt;&lt;_modified&gt;64605366&lt;/_modified&gt;&lt;_ori_publication&gt;Copyright Â© 2016 Elsevier Ltd. All rights reserved.&lt;/_ori_publication&gt;&lt;_pages&gt;1025-1036&lt;/_pages&gt;&lt;_subject_headings&gt;Abortion, Spontaneous/etiology; Delivery, Obstetric; Female; Fertility; Humans; Obesity/complications/*epidemiology; Postpartum Period; Pregnancy; Pregnancy Complications/*epidemiology/etiology; Premature Birth/etiology; Prevalence&lt;/_subject_headings&gt;&lt;_tertiary_title&gt;The lancet. Diabetes &amp;amp; endocrinology&lt;/_tertiary_title&gt;&lt;_type_work&gt;Journal Article; Research Support, Non-U.S. Gov&amp;apos;t; Review&lt;/_type_work&gt;&lt;_url&gt;http://www.ncbi.nlm.nih.gov/entrez/query.fcgi?cmd=Retrieve&amp;amp;db=pubmed&amp;amp;dopt=Abstract&amp;amp;list_uids=27743975&amp;amp;query_hl=1&lt;/_url&gt;&lt;_volume&gt;4&lt;/_volume&gt;&lt;/Details&gt;&lt;Extra&gt;&lt;DBUID&gt;{F96A950B-833F-4880-A151-76DA2D6A2879}&lt;/DBUID&gt;&lt;/Extra&gt;&lt;/Item&gt;&lt;/References&gt;&lt;/Group&gt;&lt;/Citation&gt;_x000a_"/>
    <w:docVar w:name="NE.Ref{88B345ED-323B-4162-85A0-2D546E2DA562}" w:val=" ADDIN NE.Ref.{88B345ED-323B-4162-85A0-2D546E2DA562}&lt;Citation&gt;&lt;Group&gt;&lt;References&gt;&lt;Item&gt;&lt;ID&gt;600&lt;/ID&gt;&lt;UID&gt;{621EFF6A-4EA4-4445-B479-0E4EF86384C8}&lt;/UID&gt;&lt;Title&gt;Prediction of clinical cardiovascular events with carotid intima-media thickness:  a systematic review and meta-analysis&lt;/Title&gt;&lt;Template&gt;Journal Article&lt;/Template&gt;&lt;Star&gt;0&lt;/Star&gt;&lt;Tag&gt;5&lt;/Tag&gt;&lt;Author&gt;Lorenz, M W; Markus, H S; Bots, M L; Rosvall, M; Sitzer, M&lt;/Author&gt;&lt;Year&gt;2007&lt;/Year&gt;&lt;Details&gt;&lt;_accession_num&gt;17242284&lt;/_accession_num&gt;&lt;_author_adr&gt;Johann Wolfgang Goethe-University, Department for Neurology, Schleusenweg 2-16,  D-60528 Frankfurt/Main, Germany. matthias.lorenz@em.uni-frankfurt.de&lt;/_author_adr&gt;&lt;_collection_scope&gt;SCI;SCIE&lt;/_collection_scope&gt;&lt;_created&gt;64601648&lt;/_created&gt;&lt;_date&gt;2007-01-30&lt;/_date&gt;&lt;_date_display&gt;2007 Jan 30&lt;/_date_display&gt;&lt;_doi&gt;10.1161/CIRCULATIONAHA.106.628875&lt;/_doi&gt;&lt;_impact_factor&gt;  29.690&lt;/_impact_factor&gt;&lt;_isbn&gt;1524-4539 (Electronic); 0009-7322 (Linking)&lt;/_isbn&gt;&lt;_issue&gt;4&lt;/_issue&gt;&lt;_journal&gt;Circulation&lt;/_journal&gt;&lt;_language&gt;eng&lt;/_language&gt;&lt;_modified&gt;64601653&lt;/_modified&gt;&lt;_pages&gt;459-67&lt;/_pages&gt;&lt;_subject_headings&gt;Carotid Arteries/*pathology; Carotid Artery Diseases/*epidemiology/*pathology; Humans; Myocardial Infarction/*epidemiology; Predictive Value of Tests; Risk Factors; Stroke/*epidemiology; Tunica Intima/pathology; Tunica Media/pathology&lt;/_subject_headings&gt;&lt;_tertiary_title&gt;Circulation&lt;/_tertiary_title&gt;&lt;_type_work&gt;Journal Article; Meta-Analysis; Research Support, N.I.H., Extramural; Research Support, Non-U.S. Gov&amp;apos;t; Review; Systematic Review&lt;/_type_work&gt;&lt;_url&gt;http://www.ncbi.nlm.nih.gov/entrez/query.fcgi?cmd=Retrieve&amp;amp;db=pubmed&amp;amp;dopt=Abstract&amp;amp;list_uids=17242284&amp;amp;query_hl=1&lt;/_url&gt;&lt;_volume&gt;115&lt;/_volume&gt;&lt;/Details&gt;&lt;Extra&gt;&lt;DBUID&gt;{F96A950B-833F-4880-A151-76DA2D6A2879}&lt;/DBUID&gt;&lt;/Extra&gt;&lt;/Item&gt;&lt;/References&gt;&lt;/Group&gt;&lt;/Citation&gt;_x000a_"/>
    <w:docVar w:name="NE.Ref{8ABBCD4A-1688-485F-BB65-BABA12FBFE70}" w:val=" ADDIN NE.Ref.{8ABBCD4A-1688-485F-BB65-BABA12FBFE70}&lt;Citation&gt;&lt;Group&gt;&lt;References&gt;&lt;Item&gt;&lt;ID&gt;582&lt;/ID&gt;&lt;UID&gt;{4A5645F1-9C5D-4B15-BA1C-10613F102557}&lt;/UID&gt;&lt;Title&gt;Impact of perinatal weight change on long-term obesity and obesity-related  illnesses&lt;/Title&gt;&lt;Template&gt;Journal Article&lt;/Template&gt;&lt;Star&gt;1&lt;/Star&gt;&lt;Tag&gt;5&lt;/Tag&gt;&lt;Author&gt;Rooney, B L; Schauberger, C W; Mathiason, M A&lt;/Author&gt;&lt;Year&gt;2005&lt;/Year&gt;&lt;Details&gt;&lt;_accession_num&gt;16319262&lt;/_accession_num&gt;&lt;_author_adr&gt;Gundersen Lutheran Medical Center, La Crosse, Wisconsin 54601, USA.  blrooney@gundluth.org&lt;/_author_adr&gt;&lt;_collection_scope&gt;SCI;SCIE&lt;/_collection_scope&gt;&lt;_created&gt;64586494&lt;/_created&gt;&lt;_date&gt;2005-12-01&lt;/_date&gt;&lt;_date_display&gt;2005 Dec&lt;/_date_display&gt;&lt;_doi&gt;10.1097/01.AOG.0000185480.09068.4a&lt;/_doi&gt;&lt;_impact_factor&gt;   7.661&lt;/_impact_factor&gt;&lt;_isbn&gt;0029-7844 (Print); 0029-7844 (Linking)&lt;/_isbn&gt;&lt;_issue&gt;6&lt;/_issue&gt;&lt;_journal&gt;Obstet Gynecol&lt;/_journal&gt;&lt;_language&gt;eng&lt;/_language&gt;&lt;_modified&gt;64599338&lt;/_modified&gt;&lt;_pages&gt;1349-56&lt;/_pages&gt;&lt;_subject_headings&gt;Adult; Age Distribution; Aged; Body Mass Index; Cohort Studies; Confidence Intervals; Diabetes Mellitus, Type 2/diagnosis/*epidemiology; Female; Follow-Up Studies; Humans; Hypertension/diagnosis/*epidemiology; Incidence; Linear Models; Middle Aged; Multivariate Analysis; Obesity/*diagnosis/*epidemiology; Parity; Perinatal Care; Postpartum Period; Pregnancy/*physiology; Probability; Retrospective Studies; Risk Assessment; Time Factors&lt;/_subject_headings&gt;&lt;_tertiary_title&gt;Obstetrics and gynecology&lt;/_tertiary_title&gt;&lt;_type_work&gt;Journal Article; Research Support, Non-U.S. Gov&amp;apos;t&lt;/_type_work&gt;&lt;_url&gt;http://www.ncbi.nlm.nih.gov/entrez/query.fcgi?cmd=Retrieve&amp;amp;db=pubmed&amp;amp;dopt=Abstract&amp;amp;list_uids=16319262&amp;amp;query_hl=1&lt;/_url&gt;&lt;_volume&gt;106&lt;/_volume&gt;&lt;/Details&gt;&lt;Extra&gt;&lt;DBUID&gt;{F96A950B-833F-4880-A151-76DA2D6A2879}&lt;/DBUID&gt;&lt;/Extra&gt;&lt;/Item&gt;&lt;/References&gt;&lt;/Group&gt;&lt;/Citation&gt;_x000a_"/>
    <w:docVar w:name="NE.Ref{8C88BCC5-A070-4BDB-9DF2-4B705073884B}" w:val=" ADDIN NE.Ref.{8C88BCC5-A070-4BDB-9DF2-4B705073884B}&lt;Citation&gt;&lt;Group&gt;&lt;References&gt;&lt;Item&gt;&lt;ID&gt;11&lt;/ID&gt;&lt;UID&gt;{62D9B09D-229E-4320-B4B2-FAD21DEC2C00}&lt;/UID&gt;&lt;Title&gt;Separate and combined associations of body-mass index and abdominal adiposity  with cardiovascular disease: collaborative analysis of 58 prospective studies&lt;/Title&gt;&lt;Template&gt;Journal Article&lt;/Template&gt;&lt;Star&gt;0&lt;/Star&gt;&lt;Tag&gt;0&lt;/Tag&gt;&lt;Author&gt;Wormser, D; Kaptoge, S; Di Angelantonio, E; Wood, A M; Pennells, L; Thompson, A; Sarwar, N; Kizer, J R; Lawlor, D A; Nordestgaard, B G; Ridker, P; Salomaa, V; Stevens, J; Woodward, M; Sattar, N; Collins, R; Thompson, S G; Whitlock, G; Danesh, J&lt;/Author&gt;&lt;Year&gt;2011&lt;/Year&gt;&lt;Details&gt;&lt;_accession_num&gt;21397319&lt;/_accession_num&gt;&lt;_author_adr&gt;Emerging Risk Factors Collaboration Coordinating Centre, Department of Public  Health and Primary Care, University of Cambridge, Strangeways Research  Laboratory, Cambridge CB1 8RN, UK. erfc@phpc.cam.ac.uk&lt;/_author_adr&gt;&lt;_collection_scope&gt;SCI;SCIE&lt;/_collection_scope&gt;&lt;_created&gt;64733396&lt;/_created&gt;&lt;_date&gt;2011-03-26&lt;/_date&gt;&lt;_date_display&gt;2011 Mar 26&lt;/_date_display&gt;&lt;_doi&gt;10.1016/S0140-6736(11)60105-0&lt;/_doi&gt;&lt;_impact_factor&gt;  79.323&lt;/_impact_factor&gt;&lt;_isbn&gt;1474-547X (Electronic); 0140-6736 (Print); 0140-6736 (Linking)&lt;/_isbn&gt;&lt;_issue&gt;9771&lt;/_issue&gt;&lt;_journal&gt;Lancet&lt;/_journal&gt;&lt;_language&gt;eng&lt;/_language&gt;&lt;_modified&gt;64734679&lt;/_modified&gt;&lt;_ori_publication&gt;Copyright © 2011 Elsevier Ltd. All rights reserved.&lt;/_ori_publication&gt;&lt;_pages&gt;1085-95&lt;/_pages&gt;&lt;_subject_headings&gt;Age Factors; Blood Pressure; *Body Mass Index; Cardiovascular Diseases/*epidemiology; Cholesterol/blood; Cholesterol, HDL/blood; Diabetes Mellitus/epidemiology; Female; Humans; Male; Middle Aged; Obesity, Abdominal/*epidemiology; Proportional Hazards Models; Prospective Studies; *Risk Assessment; Sex Factors; Smoking/epidemiology; Systole; Waist Circumference; Waist-Hip Ratio&lt;/_subject_headings&gt;&lt;_tertiary_title&gt;Lancet (London, England)&lt;/_tertiary_title&gt;&lt;_type_work&gt;Journal Article; Meta-Analysis; Research Support, Non-U.S. Gov&amp;apos;t&lt;/_type_work&gt;&lt;_url&gt;http://www.ncbi.nlm.nih.gov/entrez/query.fcgi?cmd=Retrieve&amp;amp;db=pubmed&amp;amp;dopt=Abstract&amp;amp;list_uids=21397319&amp;amp;query_hl=1&lt;/_url&gt;&lt;_volume&gt;377&lt;/_volume&gt;&lt;/Details&gt;&lt;Extra&gt;&lt;DBUID&gt;{C818A046-6D8C-4B07-8765-4E05C48B46EA}&lt;/DBUID&gt;&lt;/Extra&gt;&lt;/Item&gt;&lt;/References&gt;&lt;/Group&gt;&lt;/Citation&gt;_x000a_"/>
    <w:docVar w:name="NE.Ref{8C906968-26DF-4B60-874E-4E7B5D747A4A}" w:val=" ADDIN NE.Ref.{8C906968-26DF-4B60-874E-4E7B5D747A4A}&lt;Citation&gt;&lt;Group&gt;&lt;References&gt;&lt;Item&gt;&lt;ID&gt;602&lt;/ID&gt;&lt;UID&gt;{B6CC4CD5-F0BF-4902-82D2-1EDDB7165D06}&lt;/UID&gt;&lt;Title&gt;Trends in adult body-mass index in 200 countries from 1975 to 2014: a pooled  analysis of 1698 population-based measurement studies with 19·2 million  participants&lt;/Title&gt;&lt;Template&gt;Journal Article&lt;/Template&gt;&lt;Star&gt;0&lt;/Star&gt;&lt;Tag&gt;0&lt;/Tag&gt;&lt;Author/&gt;&lt;Year&gt;2016&lt;/Year&gt;&lt;Details&gt;&lt;_accession_num&gt;27115820&lt;/_accession_num&gt;&lt;_date_display&gt;2016 Apr 2&lt;/_date_display&gt;&lt;_date&gt;2016-04-02&lt;/_date&gt;&lt;_doi&gt;10.1016/S0140-6736(16)30054-X&lt;/_doi&gt;&lt;_isbn&gt;1474-547X (Electronic); 0140-6736 (Linking)&lt;/_isbn&gt;&lt;_issue&gt;10026&lt;/_issue&gt;&lt;_journal&gt;Lancet&lt;/_journal&gt;&lt;_language&gt;eng&lt;/_language&gt;&lt;_ori_publication&gt;Copyright © 2016 NCD Risk Factor Collaboration. Open Access article distributed _x000d__x000a_      under the terms of CC BY. Published by Elsevier Ltd.. All rights reserved.&lt;/_ori_publication&gt;&lt;_pages&gt;1377-1396&lt;/_pages&gt;&lt;_subject_headings&gt;Adolescent; Adult; Bayes Theorem; *Body Mass Index; Developed Countries; Developing Countries; Female; Forecasting; *Global Health; Humans; Male; Models, Statistical; Obesity/*epidemiology; Prevalence; Thinness/epidemiology; Young Adult&lt;/_subject_headings&gt;&lt;_tertiary_title&gt;Lancet (London, England)&lt;/_tertiary_title&gt;&lt;_type_work&gt;Journal Article; Meta-Analysis; Research Support, Non-U.S. Gov&amp;apos;t; Review&lt;/_type_work&gt;&lt;_url&gt;http://www.ncbi.nlm.nih.gov/entrez/query.fcgi?cmd=Retrieve&amp;amp;db=pubmed&amp;amp;dopt=Abstract&amp;amp;list_uids=27115820&amp;amp;query_hl=1&lt;/_url&gt;&lt;_volume&gt;387&lt;/_volume&gt;&lt;_created&gt;64664558&lt;/_created&gt;&lt;_modified&gt;64664558&lt;/_modified&gt;&lt;_impact_factor&gt;  79.323&lt;/_impact_factor&gt;&lt;_collection_scope&gt;SCI;SCIE&lt;/_collection_scope&gt;&lt;_accessed&gt;64664558&lt;/_accessed&gt;&lt;/Details&gt;&lt;Extra&gt;&lt;DBUID&gt;{F96A950B-833F-4880-A151-76DA2D6A2879}&lt;/DBUID&gt;&lt;/Extra&gt;&lt;/Item&gt;&lt;/References&gt;&lt;/Group&gt;&lt;/Citation&gt;_x000a_"/>
    <w:docVar w:name="NE.Ref{8F256956-7392-4036-BB71-DA32FF2C0341}" w:val=" ADDIN NE.Ref.{8F256956-7392-4036-BB71-DA32FF2C0341}"/>
    <w:docVar w:name="NE.Ref{8FBF752B-5338-4E71-8C95-B1706F4446E6}" w:val=" ADDIN NE.Ref.{8FBF752B-5338-4E71-8C95-B1706F4446E6}"/>
    <w:docVar w:name="NE.Ref{909859C8-F4DF-4FE1-A8DB-4E7F6985E38F}" w:val=" ADDIN NE.Ref.{909859C8-F4DF-4FE1-A8DB-4E7F6985E38F}&lt;Citation&gt;&lt;Group&gt;&lt;References&gt;&lt;Item&gt;&lt;ID&gt;559&lt;/ID&gt;&lt;UID&gt;{901AA8C7-FF87-4C1F-887E-914B03A64465}&lt;/UID&gt;&lt;Title&gt;Preconceptional and maternal obesity: epidemiology and health consequences&lt;/Title&gt;&lt;Template&gt;Journal Article&lt;/Template&gt;&lt;Star&gt;1&lt;/Star&gt;&lt;Tag&gt;5&lt;/Tag&gt;&lt;Author&gt;Poston, L; Caleyachetty, R; Cnattingius, S; Corvalán, C; Uauy, R; Herring, S; Gillman, M W&lt;/Author&gt;&lt;Year&gt;2016&lt;/Year&gt;&lt;Details&gt;&lt;_accession_num&gt;27743975&lt;/_accession_num&gt;&lt;_author_adr&gt;Division of Women&amp;apos;s Health, Faculty of Life Sciences and Medicine, King&amp;apos;s College  London, London, UK. Electronic address: lucilla.poston@kcl.ac.uk.; Institute of Applied Health Research, University of Birmingham, Birmingham, UK.; Department of Medicine Solna, Karolinska Universitetssjukhuset, Stockholm,  Sweden.; Institute of Nutrition and Food Technology, University of Chile, Santiago, Chile.; Division of Pediatrics, Faculty of Medicine, Pontifical Catholic University of  Chile, Santiago, Chile; Center for Obesity Research and Education, Departments of  Medicine and Public Health, Temple University, Philadelphia, PA, USA.; Center for Obesity Research and Education, Departments of Medicine and Public  Health, Temple University, Philadelphia, PA, USA.; Office of the Director, Environmental Influences on Child Health Outcomes (ECHO),  National Institutes of Health, Rockville, MD, USA.&lt;/_author_adr&gt;&lt;_created&gt;64530196&lt;/_created&gt;&lt;_date&gt;2016-12-01&lt;/_date&gt;&lt;_date_display&gt;2016 Dec&lt;/_date_display&gt;&lt;_doi&gt;10.1016/S2213-8587(16)30217-0&lt;/_doi&gt;&lt;_impact_factor&gt;  32.069&lt;/_impact_factor&gt;&lt;_isbn&gt;2213-8595 (Electronic); 2213-8587 (Linking)&lt;/_isbn&gt;&lt;_issue&gt;12&lt;/_issue&gt;&lt;_journal&gt;Lancet Diabetes Endocrinol&lt;/_journal&gt;&lt;_language&gt;eng&lt;/_language&gt;&lt;_modified&gt;64605366&lt;/_modified&gt;&lt;_ori_publication&gt;Copyright Â© 2016 Elsevier Ltd. All rights reserved.&lt;/_ori_publication&gt;&lt;_pages&gt;1025-1036&lt;/_pages&gt;&lt;_subject_headings&gt;Abortion, Spontaneous/etiology; Delivery, Obstetric; Female; Fertility; Humans; Obesity/complications/*epidemiology; Postpartum Period; Pregnancy; Pregnancy Complications/*epidemiology/etiology; Premature Birth/etiology; Prevalence&lt;/_subject_headings&gt;&lt;_tertiary_title&gt;The lancet. Diabetes &amp;amp; endocrinology&lt;/_tertiary_title&gt;&lt;_type_work&gt;Journal Article; Research Support, Non-U.S. Gov&amp;apos;t; Review&lt;/_type_work&gt;&lt;_url&gt;http://www.ncbi.nlm.nih.gov/entrez/query.fcgi?cmd=Retrieve&amp;amp;db=pubmed&amp;amp;dopt=Abstract&amp;amp;list_uids=27743975&amp;amp;query_hl=1&lt;/_url&gt;&lt;_volume&gt;4&lt;/_volume&gt;&lt;/Details&gt;&lt;Extra&gt;&lt;DBUID&gt;{F96A950B-833F-4880-A151-76DA2D6A2879}&lt;/DBUID&gt;&lt;/Extra&gt;&lt;/Item&gt;&lt;/References&gt;&lt;/Group&gt;&lt;/Citation&gt;_x000a_"/>
    <w:docVar w:name="NE.Ref{932C5DFE-C7ED-48E9-95DC-2DD33A3342DE}" w:val=" ADDIN NE.Ref.{932C5DFE-C7ED-48E9-95DC-2DD33A3342DE}&lt;Citation&gt;&lt;Group&gt;&lt;References&gt;&lt;Item&gt;&lt;ID&gt;2&lt;/ID&gt;&lt;UID&gt;{A29ED86C-4B2C-4447-BA91-349449A57E1A}&lt;/UID&gt;&lt;Title&gt;Preconceptional and maternal obesity: epidemiology and health consequences&lt;/Title&gt;&lt;Template&gt;Journal Article&lt;/Template&gt;&lt;Star&gt;0&lt;/Star&gt;&lt;Tag&gt;0&lt;/Tag&gt;&lt;Author&gt;Poston, L; Caleyachetty, R; Cnattingius, S; Corvalán, C; Uauy, R; Herring, S; Gillman, M W&lt;/Author&gt;&lt;Year&gt;2016&lt;/Year&gt;&lt;Details&gt;&lt;_accession_num&gt;27743975&lt;/_accession_num&gt;&lt;_author_adr&gt;Division of Women&amp;apos;s Health, Faculty of Life Sciences and Medicine, King&amp;apos;s College  London, London, UK. Electronic address: lucilla.poston@kcl.ac.uk.; Institute of Applied Health Research, University of Birmingham, Birmingham, UK.; Department of Medicine Solna, Karolinska Universitetssjukhuset, Stockholm,  Sweden.; Institute of Nutrition and Food Technology, University of Chile, Santiago, Chile.; Division of Pediatrics, Faculty of Medicine, Pontifical Catholic University of  Chile, Santiago, Chile; Center for Obesity Research and Education, Departments of  Medicine and Public Health, Temple University, Philadelphia, PA, USA.; Center for Obesity Research and Education, Departments of Medicine and Public  Health, Temple University, Philadelphia, PA, USA.; Office of the Director, Environmental Influences on Child Health Outcomes (ECHO),  National Institutes of Health, Rockville, MD, USA.&lt;/_author_adr&gt;&lt;_created&gt;64733386&lt;/_created&gt;&lt;_date&gt;2016-12-01&lt;/_date&gt;&lt;_date_display&gt;2016 Dec&lt;/_date_display&gt;&lt;_doi&gt;10.1016/S2213-8587(16)30217-0&lt;/_doi&gt;&lt;_impact_factor&gt;  32.069&lt;/_impact_factor&gt;&lt;_isbn&gt;2213-8595 (Electronic); 2213-8587 (Linking)&lt;/_isbn&gt;&lt;_issue&gt;12&lt;/_issue&gt;&lt;_journal&gt;Lancet Diabetes Endocrinol&lt;/_journal&gt;&lt;_language&gt;eng&lt;/_language&gt;&lt;_modified&gt;64734679&lt;/_modified&gt;&lt;_ori_publication&gt;Copyright Â© 2016 Elsevier Ltd. All rights reserved.&lt;/_ori_publication&gt;&lt;_pages&gt;1025-1036&lt;/_pages&gt;&lt;_subject_headings&gt;Abortion, Spontaneous/etiology; Delivery, Obstetric; Female; Fertility; Humans; Obesity/complications/*epidemiology; Postpartum Period; Pregnancy; Pregnancy Complications/*epidemiology/etiology; Premature Birth/etiology; Prevalence&lt;/_subject_headings&gt;&lt;_tertiary_title&gt;The lancet. Diabetes &amp;amp; endocrinology&lt;/_tertiary_title&gt;&lt;_type_work&gt;Journal Article; Research Support, Non-U.S. Gov&amp;apos;t; Review&lt;/_type_work&gt;&lt;_url&gt;http://www.ncbi.nlm.nih.gov/entrez/query.fcgi?cmd=Retrieve&amp;amp;db=pubmed&amp;amp;dopt=Abstract&amp;amp;list_uids=27743975&amp;amp;query_hl=1&lt;/_url&gt;&lt;_volume&gt;4&lt;/_volume&gt;&lt;/Details&gt;&lt;Extra&gt;&lt;DBUID&gt;{C818A046-6D8C-4B07-8765-4E05C48B46EA}&lt;/DBUID&gt;&lt;/Extra&gt;&lt;/Item&gt;&lt;/References&gt;&lt;/Group&gt;&lt;/Citation&gt;_x000a_"/>
    <w:docVar w:name="NE.Ref{939ACDD0-2E4F-4B94-B332-BCFB65877156}" w:val=" ADDIN NE.Ref.{939ACDD0-2E4F-4B94-B332-BCFB65877156}&lt;Citation&gt;&lt;Group&gt;&lt;References&gt;&lt;Item&gt;&lt;ID&gt;539&lt;/ID&gt;&lt;UID&gt;{B50CF6D7-0651-413B-9ACE-6ABA6DF95685}&lt;/UID&gt;&lt;Title&gt;Epidemiology of gestational weight gain and body weight changes after pregnancy&lt;/Title&gt;&lt;Template&gt;Journal Article&lt;/Template&gt;&lt;Star&gt;0&lt;/Star&gt;&lt;Tag&gt;5&lt;/Tag&gt;&lt;Author&gt;Gunderson, E P; Abrams, B&lt;/Author&gt;&lt;Year&gt;1999&lt;/Year&gt;&lt;Details&gt;&lt;_accession_num&gt;10682262&lt;/_accession_num&gt;&lt;_author_adr&gt;Division of Public Health and Epidemiology, School of Public Health, University  of California, Berkeley, USA. epg@dor.kaiser.org&lt;/_author_adr&gt;&lt;_collection_scope&gt;SCI;SCIE&lt;/_collection_scope&gt;&lt;_created&gt;64525278&lt;/_created&gt;&lt;_date&gt;1999-01-19&lt;/_date&gt;&lt;_date_display&gt;1999&lt;/_date_display&gt;&lt;_doi&gt;10.1093/oxfordjournals.epirev.a018001&lt;/_doi&gt;&lt;_impact_factor&gt;   6.222&lt;/_impact_factor&gt;&lt;_isbn&gt;0193-936X (Print); 0193-936X (Linking)&lt;/_isbn&gt;&lt;_issue&gt;2&lt;/_issue&gt;&lt;_journal&gt;Epidemiol Rev&lt;/_journal&gt;&lt;_language&gt;eng&lt;/_language&gt;&lt;_modified&gt;64530067&lt;/_modified&gt;&lt;_pages&gt;261-75&lt;/_pages&gt;&lt;_subject_headings&gt;Adolescent; Adult; Body Height; *Body Weight; Ethnicity; Female; Humans; Parity; Postpartum Period; *Pregnancy; *Weight Gain&lt;/_subject_headings&gt;&lt;_tertiary_title&gt;Epidemiologic reviews&lt;/_tertiary_title&gt;&lt;_type_work&gt;Journal Article; Research Support, Non-U.S. Gov&amp;apos;t; Research Support, U.S. Gov&amp;apos;t, Non-P.H.S.; Review&lt;/_type_work&gt;&lt;_url&gt;http://www.ncbi.nlm.nih.gov/entrez/query.fcgi?cmd=Retrieve&amp;amp;db=pubmed&amp;amp;dopt=Abstract&amp;amp;list_uids=10682262&amp;amp;query_hl=1&lt;/_url&gt;&lt;_volume&gt;21&lt;/_volume&gt;&lt;/Details&gt;&lt;Extra&gt;&lt;DBUID&gt;{F96A950B-833F-4880-A151-76DA2D6A2879}&lt;/DBUID&gt;&lt;/Extra&gt;&lt;/Item&gt;&lt;/References&gt;&lt;/Group&gt;&lt;Group&gt;&lt;References&gt;&lt;Item&gt;&lt;ID&gt;548&lt;/ID&gt;&lt;UID&gt;{64D434C6-9D57-452F-AB3A-92AA1EA5AA4D}&lt;/UID&gt;&lt;Title&gt;Pregnancy: a &amp;quot;teachable moment&amp;quot; for weight control and obesity prevention&lt;/Title&gt;&lt;Template&gt;Journal Article&lt;/Template&gt;&lt;Star&gt;0&lt;/Star&gt;&lt;Tag&gt;5&lt;/Tag&gt;&lt;Author&gt;Phelan, S&lt;/Author&gt;&lt;Year&gt;2010&lt;/Year&gt;&lt;Details&gt;&lt;_accessed&gt;64529103&lt;/_accessed&gt;&lt;_accession_num&gt;19683692&lt;/_accession_num&gt;&lt;_author_adr&gt;Department of Kinesiology, California Polytechnic State University, San Luis  Obispo, CA 93407-0386, USA. sphelan@calpoly.edu&lt;/_author_adr&gt;&lt;_collection_scope&gt;SCI;SCIE&lt;/_collection_scope&gt;&lt;_created&gt;64525799&lt;/_created&gt;&lt;_date&gt;2010-02-01&lt;/_date&gt;&lt;_date_display&gt;2010 Feb&lt;/_date_display&gt;&lt;_doi&gt;10.1016/j.ajog.2009.06.008&lt;/_doi&gt;&lt;_impact_factor&gt;   8.661&lt;/_impact_factor&gt;&lt;_isbn&gt;1097-6868 (Electronic); 0002-9378 (Print); 0002-9378 (Linking)&lt;/_isbn&gt;&lt;_issue&gt;2&lt;/_issue&gt;&lt;_journal&gt;Am J Obstet Gynecol&lt;/_journal&gt;&lt;_language&gt;eng&lt;/_language&gt;&lt;_modified&gt;64529103&lt;/_modified&gt;&lt;_ori_publication&gt;Copyright 2010 Mosby, Inc. All rights reserved.&lt;/_ori_publication&gt;&lt;_pages&gt;135.e1-8&lt;/_pages&gt;&lt;_subject_headings&gt;Exercise; Female; Humans; Obesity/*prevention &amp;amp; control; Patient Education as Topic; Postpartum Period; Pregnancy; Pregnancy Complications/*prevention &amp;amp; control; Prenatal Care; *Weight Gain&lt;/_subject_headings&gt;&lt;_tertiary_title&gt;American journal of obstetrics and gynecology&lt;/_tertiary_title&gt;&lt;_type_work&gt;Journal Article; Research Support, N.I.H., Extramural&lt;/_type_work&gt;&lt;_url&gt;http://www.ncbi.nlm.nih.gov/entrez/query.fcgi?cmd=Retrieve&amp;amp;db=pubmed&amp;amp;dopt=Abstract&amp;amp;list_uids=19683692&amp;amp;query_hl=1&lt;/_url&gt;&lt;_volume&gt;202&lt;/_volume&gt;&lt;/Details&gt;&lt;Extra&gt;&lt;DBUID&gt;{F96A950B-833F-4880-A151-76DA2D6A2879}&lt;/DBUID&gt;&lt;/Extra&gt;&lt;/Item&gt;&lt;/References&gt;&lt;/Group&gt;&lt;Group&gt;&lt;References&gt;&lt;Item&gt;&lt;ID&gt;572&lt;/ID&gt;&lt;UID&gt;{64083A9F-669D-417C-B286-79E203C27DE2}&lt;/UID&gt;&lt;Title&gt;Postpartum weight retention risk factors and relationship to obesity at 1 year&lt;/Title&gt;&lt;Template&gt;Journal Article&lt;/Template&gt;&lt;Star&gt;0&lt;/Star&gt;&lt;Tag&gt;5&lt;/Tag&gt;&lt;Author&gt;Endres, L K; Straub, H; McKinney, C; Plunkett, B; Minkovitz, C S; Schetter, C D; Ramey, S; Wang, C; Hobel, C; Raju, T; Shalowitz, M U&lt;/Author&gt;&lt;Year&gt;2015&lt;/Year&gt;&lt;Details&gt;&lt;_accessed&gt;64664557&lt;/_accessed&gt;&lt;_accession_num&gt;25560116&lt;/_accession_num&gt;&lt;_author_adr&gt;Department of Obstetrics and Gynecology, NorthShore University HealthSystem,  Evanston, Illinois; the Department of Pediatrics, University of Chicago, Pritzker  School of Medicine, Chicago, Illinois; the Bloomberg School of Public Health,  Johns Hopkins University, Baltimore, Maryland; the Department of Psychology,  University of California-Los Angeles, Los Angeles, California; Virginia  Polytechnical Institute and State University, Roanoke, Virginia; and the Eunice  Kennedy Shriver National Institute of Child Health and Human Development,  Bethesda, Maryland.&lt;/_author_adr&gt;&lt;_collection_scope&gt;SCI;SCIE&lt;/_collection_scope&gt;&lt;_created&gt;64553212&lt;/_created&gt;&lt;_date&gt;2015-01-01&lt;/_date&gt;&lt;_date_display&gt;2015 Jan&lt;/_date_display&gt;&lt;_doi&gt;10.1097/AOG.0000000000000565&lt;/_doi&gt;&lt;_impact_factor&gt;   7.661&lt;/_impact_factor&gt;&lt;_isbn&gt;1873-233X (Electronic); 0029-7844 (Print); 0029-7844 (Linking)&lt;/_isbn&gt;&lt;_issue&gt;1&lt;/_issue&gt;&lt;_journal&gt;Obstet Gynecol&lt;/_journal&gt;&lt;_language&gt;eng&lt;/_language&gt;&lt;_modified&gt;64664557&lt;/_modified&gt;&lt;_pages&gt;144-152&lt;/_pages&gt;&lt;_subject_headings&gt;Adult; Body Mass Index; Breast Feeding; Exercise; Female; Humans; Obesity/*epidemiology/ethnology; *Postpartum Period; Pregnancy/*physiology; Prospective Studies; Socioeconomic Factors; Time Factors; *Weight Gain; *Weight Loss; Young Adult&lt;/_subject_headings&gt;&lt;_tertiary_title&gt;Obstetrics and gynecology&lt;/_tertiary_title&gt;&lt;_type_work&gt;Journal Article; Research Support, N.I.H., Extramural&lt;/_type_work&gt;&lt;_url&gt;http://www.ncbi.nlm.nih.gov/entrez/query.fcgi?cmd=Retrieve&amp;amp;db=pubmed&amp;amp;dopt=Abstract&amp;amp;list_uids=25560116&amp;amp;query_hl=1&lt;/_url&gt;&lt;_volume&gt;125&lt;/_volume&gt;&lt;/Details&gt;&lt;Extra&gt;&lt;DBUID&gt;{F96A950B-833F-4880-A151-76DA2D6A2879}&lt;/DBUID&gt;&lt;/Extra&gt;&lt;/Item&gt;&lt;/References&gt;&lt;/Group&gt;&lt;/Citation&gt;_x000a_"/>
    <w:docVar w:name="NE.Ref{96EC5AA2-4163-4C5A-94A5-2F726A5DA1CB}" w:val=" ADDIN NE.Ref.{96EC5AA2-4163-4C5A-94A5-2F726A5DA1CB}&lt;Citation&gt;&lt;Group&gt;&lt;References&gt;&lt;Item&gt;&lt;ID&gt;41&lt;/ID&gt;&lt;UID&gt;{FFF6BF11-DB55-4ABA-86EC-F09C05364A1A}&lt;/UID&gt;&lt;Title&gt;Effects of weight loss interventions for adults who are obese on mortality,  cardiovascular disease, and cancer: systematic review and meta-analysis&lt;/Title&gt;&lt;Template&gt;Journal Article&lt;/Template&gt;&lt;Star&gt;0&lt;/Star&gt;&lt;Tag&gt;0&lt;/Tag&gt;&lt;Author&gt;Ma, C; Avenell, A; Bolland, M; Hudson, J; Stewart, F; Robertson, C; Sharma, P; Fraser, C; MacLennan, G&lt;/Author&gt;&lt;Year&gt;2017&lt;/Year&gt;&lt;Details&gt;&lt;_accession_num&gt;29138133&lt;/_accession_num&gt;&lt;_author_adr&gt;Health Services Research Unit, University of Aberdeen, Health Sciences Building,  Foresterhill, Aberdeen AB25 2ZD, Scotland, UK.; Health Services Research Unit, University of Aberdeen, Health Sciences Building,  Foresterhill, Aberdeen AB25 2ZD, Scotland, UK a.avenell@abdn.ac.uk.; Bone and Joint Research Group, Department of Medicine, University of Auckland,  Private Bag 92 019, Auckland 1142, New Zealand.; Health Services Research Unit, University of Aberdeen, Health Sciences Building,  Foresterhill, Aberdeen AB25 2ZD, Scotland, UK.; Health Services Research Unit, University of Aberdeen, Health Sciences Building,  Foresterhill, Aberdeen AB25 2ZD, Scotland, UK.; Health Services Research Unit, University of Aberdeen, Health Sciences Building,  Foresterhill, Aberdeen AB25 2ZD, Scotland, UK.; Health Services Research Unit, University of Aberdeen, Health Sciences Building,  Foresterhill, Aberdeen AB25 2ZD, Scotland, UK.; Health Services Research Unit, University of Aberdeen, Health Sciences Building,  Foresterhill, Aberdeen AB25 2ZD, Scotland, UK.; Centre for Healthcare Randomised Trials, University of Aberdeen, Health Sciences  Building, Foresterhill, Aberdeen AB25 2ZD, Scotland, UK.&lt;/_author_adr&gt;&lt;_created&gt;64734741&lt;/_created&gt;&lt;_date&gt;2017-11-14&lt;/_date&gt;&lt;_date_display&gt;2017 Nov 14&lt;/_date_display&gt;&lt;_doi&gt;10.1136/bmj.j4849&lt;/_doi&gt;&lt;_impact_factor&gt;  39.890&lt;/_impact_factor&gt;&lt;_isbn&gt;1756-1833 (Electronic); 0959-8138 (Print); 0959-8138 (Linking)&lt;/_isbn&gt;&lt;_journal&gt;BMJ&lt;/_journal&gt;&lt;_language&gt;eng&lt;/_language&gt;&lt;_modified&gt;64734741&lt;/_modified&gt;&lt;_ori_publication&gt;Published by the BMJ Publishing Group Limited. For permission to use (where not _x000d__x000a_      already granted under a licence) please go to _x000d__x000a_      http://group.bmj.com/group/rights-licensing/permissions.&lt;/_ori_publication&gt;&lt;_pages&gt;j4849&lt;/_pages&gt;&lt;_subject_headings&gt;Adult; Body Mass Index; Cardiovascular Diseases/mortality/prevention &amp;amp; control; *Diet, Reducing; Exercise/*physiology; Female; Humans; Male; Middle Aged; Neoplasms/mortality/prevention &amp;amp; control; Obesity/diagnosis/*mortality/*therapy; *Quality of Life; Randomized Controlled Trials as Topic; Survival Analysis; United Kingdom; Weight Loss/*physiology&lt;/_subject_headings&gt;&lt;_tertiary_title&gt;BMJ (Clinical research ed.)&lt;/_tertiary_title&gt;&lt;_type_work&gt;Journal Article; Meta-Analysis; Review; Systematic Review&lt;/_type_work&gt;&lt;_url&gt;http://www.ncbi.nlm.nih.gov/entrez/query.fcgi?cmd=Retrieve&amp;amp;db=pubmed&amp;amp;dopt=Abstract&amp;amp;list_uids=29138133&amp;amp;query_hl=1&lt;/_url&gt;&lt;_volume&gt;359&lt;/_volume&gt;&lt;/Details&gt;&lt;Extra&gt;&lt;DBUID&gt;{C818A046-6D8C-4B07-8765-4E05C48B46EA}&lt;/DBUID&gt;&lt;/Extra&gt;&lt;/Item&gt;&lt;/References&gt;&lt;/Group&gt;&lt;Group&gt;&lt;References&gt;&lt;Item&gt;&lt;ID&gt;42&lt;/ID&gt;&lt;UID&gt;{A6F4ED90-0C31-4DB5-8945-A325F5E46578}&lt;/UID&gt;&lt;Title&gt;Bariatric surgery and its impact on cardiovascular disease and mortality: a  systematic review and meta-analysis&lt;/Title&gt;&lt;Template&gt;Journal Article&lt;/Template&gt;&lt;Star&gt;0&lt;/Star&gt;&lt;Tag&gt;0&lt;/Tag&gt;&lt;Author&gt;Kwok, C S; Pradhan, A; Khan, M A; Anderson, S G; Keavney, B D; Myint, P K; Mamas, M A; Loke, Y K&lt;/Author&gt;&lt;Year&gt;2014&lt;/Year&gt;&lt;Details&gt;&lt;_accession_num&gt;24636546&lt;/_accession_num&gt;&lt;_author_adr&gt;Cardiovascular Institute, University of Manchester, Manchester, UK. Electronic  address: shingkwok@doctors.org.uk.; Royal Preston Hospital, Fulwood, Preston, UK.; Cardiovascular Institute, University of Manchester, Manchester, UK.; Cardiovascular Institute, University of Manchester, Manchester, UK.; Cardiovascular Institute, University of Manchester, Manchester, UK.; School of Medicine &amp;amp; Dentistry, University of Aberdeen, Foresterhill, Aberdeen,  UK.; Cardiovascular Institute, University of Manchester, Manchester, UK.; Norwich Medical School, University of East Anglia, Norwich, UK.&lt;/_author_adr&gt;&lt;_collection_scope&gt;SCI;SCIE&lt;/_collection_scope&gt;&lt;_created&gt;64734745&lt;/_created&gt;&lt;_date&gt;2014-04-15&lt;/_date&gt;&lt;_date_display&gt;2014 Apr 15&lt;/_date_display&gt;&lt;_doi&gt;10.1016/j.ijcard.2014.02.026&lt;/_doi&gt;&lt;_impact_factor&gt;   4.164&lt;/_impact_factor&gt;&lt;_isbn&gt;1874-1754 (Electronic); 0167-5273 (Linking)&lt;/_isbn&gt;&lt;_issue&gt;1&lt;/_issue&gt;&lt;_journal&gt;Int J Cardiol&lt;/_journal&gt;&lt;_keywords&gt;Bariatric surgery; Cardiovascular disease; Mortality; Myocardial infarction; Obesity; Stroke&lt;/_keywords&gt;&lt;_language&gt;eng&lt;/_language&gt;&lt;_modified&gt;64734745&lt;/_modified&gt;&lt;_ori_publication&gt;Copyright © 2014 Elsevier Ireland Ltd. All rights reserved.&lt;/_ori_publication&gt;&lt;_pages&gt;20-8&lt;/_pages&gt;&lt;_subject_headings&gt;Bariatric Surgery/*mortality; Cardiovascular Diseases/*mortality/*prevention &amp;amp; control; Humans; Mortality/trends; Obesity/mortality/surgery; Observational Studies as Topic/mortality; Prospective Studies; Retrospective Studies; Risk Factors; Stroke/mortality/prevention &amp;amp; control; Weight Loss/physiology&lt;/_subject_headings&gt;&lt;_tertiary_title&gt;International journal of cardiology&lt;/_tertiary_title&gt;&lt;_type_work&gt;Journal Article; Meta-Analysis; Review; Systematic Review&lt;/_type_work&gt;&lt;_url&gt;http://www.ncbi.nlm.nih.gov/entrez/query.fcgi?cmd=Retrieve&amp;amp;db=pubmed&amp;amp;dopt=Abstract&amp;amp;list_uids=24636546&amp;amp;query_hl=1&lt;/_url&gt;&lt;_volume&gt;173&lt;/_volume&gt;&lt;/Details&gt;&lt;Extra&gt;&lt;DBUID&gt;{C818A046-6D8C-4B07-8765-4E05C48B46EA}&lt;/DBUID&gt;&lt;/Extra&gt;&lt;/Item&gt;&lt;/References&gt;&lt;/Group&gt;&lt;Group&gt;&lt;References&gt;&lt;Item&gt;&lt;ID&gt;43&lt;/ID&gt;&lt;UID&gt;{685F5734-F53A-4081-9005-F94252AF071D}&lt;/UID&gt;&lt;Title&gt;Beneficial health effects of modest weight loss&lt;/Title&gt;&lt;Template&gt;Journal Article&lt;/Template&gt;&lt;Star&gt;0&lt;/Star&gt;&lt;Tag&gt;0&lt;/Tag&gt;&lt;Author&gt;Goldstein, D J&lt;/Author&gt;&lt;Year&gt;1992&lt;/Year&gt;&lt;Details&gt;&lt;_accession_num&gt;1322866&lt;/_accession_num&gt;&lt;_author_adr&gt;Lilly Research Laboratories, Eli Lilly and Company, Department of Pharmacology  and Toxicology, Indiana University School of Medicine, Indianapolis 46285.&lt;/_author_adr&gt;&lt;_created&gt;64734746&lt;/_created&gt;&lt;_date&gt;1992-06-01&lt;/_date&gt;&lt;_date_display&gt;1992 Jun&lt;/_date_display&gt;&lt;_issue&gt;6&lt;/_issue&gt;&lt;_journal&gt;Int J Obes Relat Metab Disord&lt;/_journal&gt;&lt;_language&gt;eng&lt;/_language&gt;&lt;_modified&gt;64734746&lt;/_modified&gt;&lt;_pages&gt;397-415&lt;/_pages&gt;&lt;_subject_headings&gt;Cardiovascular Diseases/*etiology; Diabetes Mellitus, Type 2/*etiology; Diet, Reducing; Humans; Hyperlipidemias/complications/etiology; Hypertension/*etiology; MEDLINE; Obesity/*complications/diet therapy; Risk Factors; *Weight Loss&lt;/_subject_headings&gt;&lt;_tertiary_title&gt;International journal of obesity and related metabolic disorders : journal of the _x000d__x000a_      International Association for the Study of Obesity&lt;/_tertiary_title&gt;&lt;_type_work&gt;Journal Article; Review&lt;/_type_work&gt;&lt;_url&gt;http://www.ncbi.nlm.nih.gov/entrez/query.fcgi?cmd=Retrieve&amp;amp;db=pubmed&amp;amp;dopt=Abstract&amp;amp;list_uids=1322866&amp;amp;query_hl=1&lt;/_url&gt;&lt;_volume&gt;16&lt;/_volume&gt;&lt;/Details&gt;&lt;Extra&gt;&lt;DBUID&gt;{C818A046-6D8C-4B07-8765-4E05C48B46EA}&lt;/DBUID&gt;&lt;/Extra&gt;&lt;/Item&gt;&lt;/References&gt;&lt;/Group&gt;&lt;Group&gt;&lt;References&gt;&lt;Item&gt;&lt;ID&gt;44&lt;/ID&gt;&lt;UID&gt;{023AF019-37BC-4BF4-AF57-F5904EF3BC1F}&lt;/UID&gt;&lt;Title&gt;Is weight loss beneficial for reduction of morbidity and mortality? What is the  controversy about?&lt;/Title&gt;&lt;Template&gt;Journal Article&lt;/Template&gt;&lt;Star&gt;0&lt;/Star&gt;&lt;Tag&gt;0&lt;/Tag&gt;&lt;Author&gt;Nilsson, P M&lt;/Author&gt;&lt;Year&gt;2008&lt;/Year&gt;&lt;Details&gt;&lt;_accession_num&gt;18227497&lt;/_accession_num&gt;&lt;_author_adr&gt;Department of Clinical Sciences, University Hospital, S-205 02 Malmö, Sweden.  peter.nilsson@med.lu.se&lt;/_author_adr&gt;&lt;_collection_scope&gt;SCI;SCIE&lt;/_collection_scope&gt;&lt;_created&gt;64734748&lt;/_created&gt;&lt;_date&gt;2008-02-01&lt;/_date&gt;&lt;_date_display&gt;2008 Feb&lt;/_date_display&gt;&lt;_doi&gt;10.2337/dc08-s268&lt;/_doi&gt;&lt;_impact_factor&gt;  19.112&lt;/_impact_factor&gt;&lt;_isbn&gt;1935-5548 (Electronic); 0149-5992 (Linking)&lt;/_isbn&gt;&lt;_journal&gt;Diabetes Care&lt;/_journal&gt;&lt;_language&gt;eng&lt;/_language&gt;&lt;_modified&gt;64734748&lt;/_modified&gt;&lt;_pages&gt;S278-83&lt;/_pages&gt;&lt;_subject_headings&gt;Bariatric Surgery; Cannabinoids/antagonists &amp;amp; inhibitors; Cardiovascular Diseases/epidemiology/prevention &amp;amp; control; Diabetes Mellitus, Type 2/complications/*epidemiology/prevention &amp;amp; control; Diabetic Angiopathies/epidemiology/prevention &amp;amp; control; Humans; Life Style; Multicenter Studies as Topic; Obesity/epidemiology/mortality/*prevention &amp;amp; control/rehabilitation; Piperidines/therapeutic use; Power, Psychological; Pyrazoles/therapeutic use; Rimonabant; Self Concept; *Weight Loss&lt;/_subject_headings&gt;&lt;_tertiary_title&gt;Diabetes care&lt;/_tertiary_title&gt;&lt;_type_work&gt;Journal Article; Research Support, Non-U.S. Gov&amp;apos;t; Review&lt;/_type_work&gt;&lt;_url&gt;http://www.ncbi.nlm.nih.gov/entrez/query.fcgi?cmd=Retrieve&amp;amp;db=pubmed&amp;amp;dopt=Abstract&amp;amp;list_uids=18227497&amp;amp;query_hl=1&lt;/_url&gt;&lt;_volume&gt;31 Suppl 2&lt;/_volume&gt;&lt;/Details&gt;&lt;Extra&gt;&lt;DBUID&gt;{C818A046-6D8C-4B07-8765-4E05C48B46EA}&lt;/DBUID&gt;&lt;/Extra&gt;&lt;/Item&gt;&lt;/References&gt;&lt;/Group&gt;&lt;Group&gt;&lt;References&gt;&lt;Item&gt;&lt;ID&gt;45&lt;/ID&gt;&lt;UID&gt;{E86C777D-FC3B-430E-9905-69729FAA480C}&lt;/UID&gt;&lt;Title&gt;Differentiated long-term effects of intentional weight loss on diabetes and  hypertension&lt;/Title&gt;&lt;Template&gt;Journal Article&lt;/Template&gt;&lt;Star&gt;0&lt;/Star&gt;&lt;Tag&gt;0&lt;/Tag&gt;&lt;Author&gt;Sjöström, C D; Peltonen, M; Wedel, H; Sjöström, L&lt;/Author&gt;&lt;Year&gt;2000&lt;/Year&gt;&lt;Details&gt;&lt;_accession_num&gt;10904007&lt;/_accession_num&gt;&lt;_author_adr&gt;Departments of Anesthesiology and Intensive Care, University of Göteborg,  Göteborg, Sweden. david.sjostrom@medfak.gu.se&lt;/_author_adr&gt;&lt;_collection_scope&gt;SCI;SCIE&lt;/_collection_scope&gt;&lt;_created&gt;64734751&lt;/_created&gt;&lt;_date&gt;2000-07-01&lt;/_date&gt;&lt;_date_display&gt;2000 Jul&lt;/_date_display&gt;&lt;_doi&gt;10.1161/01.hyp.36.1.20&lt;/_doi&gt;&lt;_impact_factor&gt;  10.190&lt;/_impact_factor&gt;&lt;_isbn&gt;0194-911X (Print); 0194-911X (Linking)&lt;/_isbn&gt;&lt;_issue&gt;1&lt;/_issue&gt;&lt;_journal&gt;Hypertension&lt;/_journal&gt;&lt;_language&gt;eng&lt;/_language&gt;&lt;_modified&gt;64734751&lt;/_modified&gt;&lt;_pages&gt;20-5&lt;/_pages&gt;&lt;_subject_headings&gt;Adult; Diabetes Mellitus/*epidemiology; Female; Humans; Hypertension/*epidemiology; Incidence; Male; Middle Aged; Obesity/*complications; Prevalence; Prospective Studies; *Weight Loss&lt;/_subject_headings&gt;&lt;_tertiary_title&gt;Hypertension (Dallas, Tex. : 1979)&lt;/_tertiary_title&gt;&lt;_type_work&gt;Journal Article; Research Support, Non-U.S. Gov&amp;apos;t&lt;/_type_work&gt;&lt;_url&gt;http://www.ncbi.nlm.nih.gov/entrez/query.fcgi?cmd=Retrieve&amp;amp;db=pubmed&amp;amp;dopt=Abstract&amp;amp;list_uids=10904007&amp;amp;query_hl=1&lt;/_url&gt;&lt;_volume&gt;36&lt;/_volume&gt;&lt;/Details&gt;&lt;Extra&gt;&lt;DBUID&gt;{C818A046-6D8C-4B07-8765-4E05C48B46EA}&lt;/DBUID&gt;&lt;/Extra&gt;&lt;/Item&gt;&lt;/References&gt;&lt;/Group&gt;&lt;/Citation&gt;_x000a_"/>
    <w:docVar w:name="NE.Ref{97BEFBBF-530A-4931-9A5A-3C53E8D1C84D}" w:val=" ADDIN NE.Ref.{97BEFBBF-530A-4931-9A5A-3C53E8D1C84D}&lt;Citation&gt;&lt;Group&gt;&lt;References&gt;&lt;Item&gt;&lt;ID&gt;13&lt;/ID&gt;&lt;UID&gt;{351528CA-2EE4-4277-B51E-BB38AD287EF2}&lt;/UID&gt;&lt;Title&gt;Associations between gestational weight gain and BMI, abdominal adiposity, and  traditional measures of cardiometabolic risk in mothers 8 y postpartum&lt;/Title&gt;&lt;Template&gt;Journal Article&lt;/Template&gt;&lt;Star&gt;0&lt;/Star&gt;&lt;Tag&gt;0&lt;/Tag&gt;&lt;Author&gt;McClure, C K; Catov, J M; Ness, R; Bodnar, L M&lt;/Author&gt;&lt;Year&gt;2013&lt;/Year&gt;&lt;Details&gt;&lt;_accession_num&gt;24047920&lt;/_accession_num&gt;&lt;_author_adr&gt;Department of Epidemiology, Graduate School of Public Health, University of  Pittsburgh, Pittsburgh, PA (CKM, JMC, and LMB); the Departments of Obstetrics,  Gynecology, and Reproductive Sciences, University of Pittsburgh, Pittsburgh, PA  (JMC and LMB); and the School of Public Health, University of Texas, Houston, TX  (RN).&lt;/_author_adr&gt;&lt;_collection_scope&gt;SCI;SCIE&lt;/_collection_scope&gt;&lt;_created&gt;64733396&lt;/_created&gt;&lt;_date&gt;2013-11-01&lt;/_date&gt;&lt;_date_display&gt;2013 Nov&lt;/_date_display&gt;&lt;_doi&gt;10.3945/ajcn.112.055772&lt;/_doi&gt;&lt;_impact_factor&gt;   7.047&lt;/_impact_factor&gt;&lt;_isbn&gt;1938-3207 (Electronic); 0002-9165 (Print); 0002-9165 (Linking)&lt;/_isbn&gt;&lt;_issue&gt;5&lt;/_issue&gt;&lt;_journal&gt;Am J Clin Nutr&lt;/_journal&gt;&lt;_language&gt;eng&lt;/_language&gt;&lt;_modified&gt;64734679&lt;/_modified&gt;&lt;_pages&gt;1218-25&lt;/_pages&gt;&lt;_subject_headings&gt;*Adiposity; Adult; *Body Mass Index; Cardiovascular Diseases/*epidemiology/etiology/physiopathology; Female; Humans; Life Style; Middle Aged; Multivariate Analysis; Obesity, Abdominal/complications/*epidemiology/physiopathology; *Postpartum Period; Pregnancy; Prevalence; Regression Analysis; Risk Factors; Socioeconomic Factors; Waist Circumference; Weight Gain/*physiology&lt;/_subject_headings&gt;&lt;_tertiary_title&gt;The American journal of clinical nutrition&lt;/_tertiary_title&gt;&lt;_type_work&gt;Journal Article; Research Support, N.I.H., Extramural&lt;/_type_work&gt;&lt;_url&gt;http://www.ncbi.nlm.nih.gov/entrez/query.fcgi?cmd=Retrieve&amp;amp;db=pubmed&amp;amp;dopt=Abstract&amp;amp;list_uids=24047920&amp;amp;query_hl=1&lt;/_url&gt;&lt;_volume&gt;98&lt;/_volume&gt;&lt;/Details&gt;&lt;Extra&gt;&lt;DBUID&gt;{C818A046-6D8C-4B07-8765-4E05C48B46EA}&lt;/DBUID&gt;&lt;/Extra&gt;&lt;/Item&gt;&lt;/References&gt;&lt;/Group&gt;&lt;Group&gt;&lt;References&gt;&lt;Item&gt;&lt;ID&gt;14&lt;/ID&gt;&lt;UID&gt;{BBA49D07-9D1B-406C-A5E3-F60C3384A104}&lt;/UID&gt;&lt;Title&gt;Abdominal adiposity and cardiometabolic risk: do we have all the answers?&lt;/Title&gt;&lt;Template&gt;Journal Article&lt;/Template&gt;&lt;Star&gt;0&lt;/Star&gt;&lt;Tag&gt;0&lt;/Tag&gt;&lt;Author&gt;Haffner, S M&lt;/Author&gt;&lt;Year&gt;2007&lt;/Year&gt;&lt;Details&gt;&lt;_accession_num&gt;17720354&lt;/_accession_num&gt;&lt;_author_adr&gt;Department of Medicine and Clinical Epidemiology, University of Texas Health  Science Center, San Antonio, Texas 78240, USA. haffner@uthscsa.edu&lt;/_author_adr&gt;&lt;_collection_scope&gt;SCI;SCIE&lt;/_collection_scope&gt;&lt;_created&gt;64733397&lt;/_created&gt;&lt;_date&gt;2007-09-01&lt;/_date&gt;&lt;_date_display&gt;2007 Sep&lt;/_date_display&gt;&lt;_doi&gt;10.1016/j.amjmed.2007.06.006&lt;/_doi&gt;&lt;_impact_factor&gt;   4.965&lt;/_impact_factor&gt;&lt;_isbn&gt;1555-7162 (Electronic); 0002-9343 (Linking)&lt;/_isbn&gt;&lt;_issue&gt;9 Suppl 1&lt;/_issue&gt;&lt;_journal&gt;Am J Med&lt;/_journal&gt;&lt;_language&gt;eng&lt;/_language&gt;&lt;_modified&gt;64734679&lt;/_modified&gt;&lt;_pages&gt;S10-6; discussion S16-7&lt;/_pages&gt;&lt;_subject_headings&gt;*Abdominal Fat/metabolism; Cardiovascular Diseases/*diagnosis/etiology/metabolism/prevention &amp;amp; control; Diabetes Mellitus, Type 2/etiology/metabolism; Female; Humans; Male; Metabolic Syndrome/complications/*diagnosis/metabolism/prevention &amp;amp; control; Obesity/complications/metabolism/therapy; Outcome and Process Assessment, Health Care; Predictive Value of Tests; Reference Values; Risk Assessment/methods; Risk Factors; Sex Factors; Treatment Outcome&lt;/_subject_headings&gt;&lt;_tertiary_title&gt;The American journal of medicine&lt;/_tertiary_title&gt;&lt;_type_work&gt;Journal Article; Review&lt;/_type_work&gt;&lt;_url&gt;http://www.ncbi.nlm.nih.gov/entrez/query.fcgi?cmd=Retrieve&amp;amp;db=pubmed&amp;amp;dopt=Abstract&amp;amp;list_uids=17720354&amp;amp;query_hl=1&lt;/_url&gt;&lt;_volume&gt;120&lt;/_volume&gt;&lt;/Details&gt;&lt;Extra&gt;&lt;DBUID&gt;{C818A046-6D8C-4B07-8765-4E05C48B46EA}&lt;/DBUID&gt;&lt;/Extra&gt;&lt;/Item&gt;&lt;/References&gt;&lt;/Group&gt;&lt;/Citation&gt;_x000a_"/>
    <w:docVar w:name="NE.Ref{981D9D61-2E6D-400E-8873-334697A6B037}" w:val=" ADDIN NE.Ref.{981D9D61-2E6D-400E-8873-334697A6B037}&lt;Citation&gt;&lt;Group&gt;&lt;References&gt;&lt;Item&gt;&lt;ID&gt;560&lt;/ID&gt;&lt;UID&gt;{66526E20-2D19-4B97-A6C4-0CFDF2223FAD}&lt;/UID&gt;&lt;Title&gt;Maternal weight change from prepregnancy to 18 months postpartum and subsequent  risk of hypertension and cardiovascular disease in Danish women: A cohort study&lt;/Title&gt;&lt;Template&gt;Journal Article&lt;/Template&gt;&lt;Star&gt;0&lt;/Star&gt;&lt;Tag&gt;0&lt;/Tag&gt;&lt;Author&gt;Kirkegaard, H; Bliddal, M; Støvring, H; Rasmussen, K M; Gunderson, E P; Køber, L; Sørensen, TIA; Nøhr, E A&lt;/Author&gt;&lt;Year&gt;2021&lt;/Year&gt;&lt;Details&gt;&lt;_accession_num&gt;33798198&lt;/_accession_num&gt;&lt;_author_adr&gt;Research Unit of Obstetrics and Gynecology, Department of Clinical Research,  University of Southern Denmark, Odense, Denmark.; Open Patient Data Explorative Network (OPEN), Department of Clinical Research,  University of Southern Denmark and Odense University Hospital, Odense, Denmark.; Open Patient Data Explorative Network (OPEN), Department of Clinical Research,  University of Southern Denmark and Odense University Hospital, Odense, Denmark.; Department of Public Health, Biostatistics, Aarhus University, Aarhus, Denmark.; Division of Nutritional Sciences, Cornell University, Ithaca, New York, United  States of America.; Division of Research, Cardiovascular and Metabolic Conditions Section, Kaiser  Permanente Northern California, Oakland, California, United States of America.; Department of Cardiology, Rigshospitalet, University Hospital, Copenhagen,  Denmark.; Novo Nordisk Foundation Center for Basic Metabolic Research and Department of  Public Health, Faculty of Health and Medical Sciences, University of Copenhagen,  Copenhagen, Denmark.; Research Unit of Obstetrics and Gynecology, Department of Clinical Research,  University of Southern Denmark, Odense, Denmark.; Department of Gynecology and Obstetrics, Odense University Hospital, Odense,  Denmark.&lt;/_author_adr&gt;&lt;_collection_scope&gt;SCIE&lt;/_collection_scope&gt;&lt;_created&gt;64530234&lt;/_created&gt;&lt;_date&gt;2021-04-01&lt;/_date&gt;&lt;_date_display&gt;2021 Apr&lt;/_date_display&gt;&lt;_doi&gt;10.1371/journal.pmed.1003486&lt;/_doi&gt;&lt;_impact_factor&gt;  11.069&lt;/_impact_factor&gt;&lt;_isbn&gt;1549-1676 (Electronic); 1549-1277 (Print); 1549-1277 (Linking)&lt;/_isbn&gt;&lt;_issue&gt;4&lt;/_issue&gt;&lt;_journal&gt;PLoS Med&lt;/_journal&gt;&lt;_language&gt;eng&lt;/_language&gt;&lt;_modified&gt;64530234&lt;/_modified&gt;&lt;_pages&gt;e1003486&lt;/_pages&gt;&lt;_subject_headings&gt;Adult; Cardiovascular Diseases/*epidemiology/etiology; Cohort Studies; Denmark/epidemiology; Female; Humans; Hypertension/epidemiology/etiology; Middle Aged; Obesity/epidemiology/etiology; Overweight/*epidemiology/etiology; Postpartum Period/*physiology; Pregnancy; Pregnancy Complications/*epidemiology/etiology; Risk Factors; Thinness/*epidemiology/etiology; *Weight Gain; Young Adult&lt;/_subject_headings&gt;&lt;_tertiary_title&gt;PLoS medicine&lt;/_tertiary_title&gt;&lt;_type_work&gt;Journal Article; Research Support, Non-U.S. Gov&amp;apos;t&lt;/_type_work&gt;&lt;_url&gt;http://www.ncbi.nlm.nih.gov/entrez/query.fcgi?cmd=Retrieve&amp;amp;db=pubmed&amp;amp;dopt=Abstract&amp;amp;list_uids=33798198&amp;amp;query_hl=1&lt;/_url&gt;&lt;_volume&gt;18&lt;/_volume&gt;&lt;/Details&gt;&lt;Extra&gt;&lt;DBUID&gt;{F96A950B-833F-4880-A151-76DA2D6A2879}&lt;/DBUID&gt;&lt;/Extra&gt;&lt;/Item&gt;&lt;/References&gt;&lt;/Group&gt;&lt;/Citation&gt;_x000a_"/>
    <w:docVar w:name="NE.Ref{9B2400D0-717C-45DB-AF18-579057BB496A}" w:val=" ADDIN NE.Ref.{9B2400D0-717C-45DB-AF18-579057BB496A}&lt;Citation&gt;&lt;Group&gt;&lt;References&gt;&lt;Item&gt;&lt;ID&gt;560&lt;/ID&gt;&lt;UID&gt;{66526E20-2D19-4B97-A6C4-0CFDF2223FAD}&lt;/UID&gt;&lt;Title&gt;Maternal weight change from prepregnancy to 18 months postpartum and subsequent  risk of hypertension and cardiovascular disease in Danish women: A cohort study&lt;/Title&gt;&lt;Template&gt;Journal Article&lt;/Template&gt;&lt;Star&gt;0&lt;/Star&gt;&lt;Tag&gt;0&lt;/Tag&gt;&lt;Author&gt;Kirkegaard, H; Bliddal, M; Støvring, H; Rasmussen, K M; Gunderson, E P; Køber, L; Sørensen, TIA; Nøhr, E A&lt;/Author&gt;&lt;Year&gt;2021&lt;/Year&gt;&lt;Details&gt;&lt;_accession_num&gt;33798198&lt;/_accession_num&gt;&lt;_author_adr&gt;Research Unit of Obstetrics and Gynecology, Department of Clinical Research,  University of Southern Denmark, Odense, Denmark.; Open Patient Data Explorative Network (OPEN), Department of Clinical Research,  University of Southern Denmark and Odense University Hospital, Odense, Denmark.; Open Patient Data Explorative Network (OPEN), Department of Clinical Research,  University of Southern Denmark and Odense University Hospital, Odense, Denmark.; Department of Public Health, Biostatistics, Aarhus University, Aarhus, Denmark.; Division of Nutritional Sciences, Cornell University, Ithaca, New York, United  States of America.; Division of Research, Cardiovascular and Metabolic Conditions Section, Kaiser  Permanente Northern California, Oakland, California, United States of America.; Department of Cardiology, Rigshospitalet, University Hospital, Copenhagen,  Denmark.; Novo Nordisk Foundation Center for Basic Metabolic Research and Department of  Public Health, Faculty of Health and Medical Sciences, University of Copenhagen,  Copenhagen, Denmark.; Research Unit of Obstetrics and Gynecology, Department of Clinical Research,  University of Southern Denmark, Odense, Denmark.; Department of Gynecology and Obstetrics, Odense University Hospital, Odense,  Denmark.&lt;/_author_adr&gt;&lt;_collection_scope&gt;SCIE&lt;/_collection_scope&gt;&lt;_created&gt;64530234&lt;/_created&gt;&lt;_date&gt;2021-04-01&lt;/_date&gt;&lt;_date_display&gt;2021 Apr&lt;/_date_display&gt;&lt;_doi&gt;10.1371/journal.pmed.1003486&lt;/_doi&gt;&lt;_impact_factor&gt;  11.069&lt;/_impact_factor&gt;&lt;_isbn&gt;1549-1676 (Electronic); 1549-1277 (Print); 1549-1277 (Linking)&lt;/_isbn&gt;&lt;_issue&gt;4&lt;/_issue&gt;&lt;_journal&gt;PLoS Med&lt;/_journal&gt;&lt;_language&gt;eng&lt;/_language&gt;&lt;_modified&gt;64530234&lt;/_modified&gt;&lt;_pages&gt;e1003486&lt;/_pages&gt;&lt;_subject_headings&gt;Adult; Cardiovascular Diseases/*epidemiology/etiology; Cohort Studies; Denmark/epidemiology; Female; Humans; Hypertension/epidemiology/etiology; Middle Aged; Obesity/epidemiology/etiology; Overweight/*epidemiology/etiology; Postpartum Period/*physiology; Pregnancy; Pregnancy Complications/*epidemiology/etiology; Risk Factors; Thinness/*epidemiology/etiology; *Weight Gain; Young Adult&lt;/_subject_headings&gt;&lt;_tertiary_title&gt;PLoS medicine&lt;/_tertiary_title&gt;&lt;_type_work&gt;Journal Article; Research Support, Non-U.S. Gov&amp;apos;t&lt;/_type_work&gt;&lt;_url&gt;http://www.ncbi.nlm.nih.gov/entrez/query.fcgi?cmd=Retrieve&amp;amp;db=pubmed&amp;amp;dopt=Abstract&amp;amp;list_uids=33798198&amp;amp;query_hl=1&lt;/_url&gt;&lt;_volume&gt;18&lt;/_volume&gt;&lt;/Details&gt;&lt;Extra&gt;&lt;DBUID&gt;{F96A950B-833F-4880-A151-76DA2D6A2879}&lt;/DBUID&gt;&lt;/Extra&gt;&lt;/Item&gt;&lt;/References&gt;&lt;/Group&gt;&lt;/Citation&gt;_x000a_"/>
    <w:docVar w:name="NE.Ref{9B589E0F-AA1F-47AB-8B79-2187DF95DECA}" w:val=" ADDIN NE.Ref.{9B589E0F-AA1F-47AB-8B79-2187DF95DECA}&lt;Citation&gt;&lt;Group&gt;&lt;References&gt;&lt;Item&gt;&lt;ID&gt;546&lt;/ID&gt;&lt;UID&gt;{33DBA32B-A1D3-4D57-A4CB-E45415084370}&lt;/UID&gt;&lt;Title&gt;Associations between gestational weight gain and BMI, abdominal adiposity, and  traditional measures of cardiometabolic risk in mothers 8 y postpartum&lt;/Title&gt;&lt;Template&gt;Journal Article&lt;/Template&gt;&lt;Star&gt;0&lt;/Star&gt;&lt;Tag&gt;0&lt;/Tag&gt;&lt;Author&gt;McClure, C K; Catov, J M; Ness, R; Bodnar, L M&lt;/Author&gt;&lt;Year&gt;2013&lt;/Year&gt;&lt;Details&gt;&lt;_accessed&gt;64664557&lt;/_accessed&gt;&lt;_accession_num&gt;24047920&lt;/_accession_num&gt;&lt;_author_adr&gt;Department of Epidemiology, Graduate School of Public Health, University of  Pittsburgh, Pittsburgh, PA (CKM, JMC, and LMB); the Departments of Obstetrics,  Gynecology, and Reproductive Sciences, University of Pittsburgh, Pittsburgh, PA  (JMC and LMB); and the School of Public Health, University of Texas, Houston, TX  (RN).&lt;/_author_adr&gt;&lt;_collection_scope&gt;SCI;SCIE&lt;/_collection_scope&gt;&lt;_created&gt;64525782&lt;/_created&gt;&lt;_date&gt;2013-11-01&lt;/_date&gt;&lt;_date_display&gt;2013 Nov&lt;/_date_display&gt;&lt;_doi&gt;10.3945/ajcn.112.055772&lt;/_doi&gt;&lt;_impact_factor&gt;   7.047&lt;/_impact_factor&gt;&lt;_isbn&gt;1938-3207 (Electronic); 0002-9165 (Print); 0002-9165 (Linking)&lt;/_isbn&gt;&lt;_issue&gt;5&lt;/_issue&gt;&lt;_journal&gt;Am J Clin Nutr&lt;/_journal&gt;&lt;_language&gt;eng&lt;/_language&gt;&lt;_modified&gt;64664557&lt;/_modified&gt;&lt;_pages&gt;1218-25&lt;/_pages&gt;&lt;_subject_headings&gt;*Adiposity; Adult; *Body Mass Index; Cardiovascular Diseases/*epidemiology/etiology/physiopathology; Female; Humans; Life Style; Middle Aged; Multivariate Analysis; Obesity, Abdominal/complications/*epidemiology/physiopathology; *Postpartum Period; Pregnancy; Prevalence; Regression Analysis; Risk Factors; Socioeconomic Factors; Waist Circumference; Weight Gain/*physiology&lt;/_subject_headings&gt;&lt;_tertiary_title&gt;The American journal of clinical nutrition&lt;/_tertiary_title&gt;&lt;_type_work&gt;Journal Article; Research Support, N.I.H., Extramural&lt;/_type_work&gt;&lt;_url&gt;http://www.ncbi.nlm.nih.gov/entrez/query.fcgi?cmd=Retrieve&amp;amp;db=pubmed&amp;amp;dopt=Abstract&amp;amp;list_uids=24047920&amp;amp;query_hl=1&lt;/_url&gt;&lt;_volume&gt;98&lt;/_volume&gt;&lt;/Details&gt;&lt;Extra&gt;&lt;DBUID&gt;{F96A950B-833F-4880-A151-76DA2D6A2879}&lt;/DBUID&gt;&lt;/Extra&gt;&lt;/Item&gt;&lt;/References&gt;&lt;/Group&gt;&lt;Group&gt;&lt;References&gt;&lt;Item&gt;&lt;ID&gt;561&lt;/ID&gt;&lt;UID&gt;{35F445F4-9C4D-4C81-BA83-F3D7B47EC10A}&lt;/UID&gt;&lt;Title&gt;Abdominal adiposity and cardiometabolic risk: do we have all the answers?&lt;/Title&gt;&lt;Template&gt;Journal Article&lt;/Template&gt;&lt;Star&gt;0&lt;/Star&gt;&lt;Tag&gt;0&lt;/Tag&gt;&lt;Author&gt;Haffner, S M&lt;/Author&gt;&lt;Year&gt;2007&lt;/Year&gt;&lt;Details&gt;&lt;_accession_num&gt;17720354&lt;/_accession_num&gt;&lt;_author_adr&gt;Department of Medicine and Clinical Epidemiology, University of Texas Health  Science Center, San Antonio, Texas 78240, USA. haffner@uthscsa.edu&lt;/_author_adr&gt;&lt;_collection_scope&gt;SCI;SCIE&lt;/_collection_scope&gt;&lt;_created&gt;64530360&lt;/_created&gt;&lt;_date&gt;2007-09-01&lt;/_date&gt;&lt;_date_display&gt;2007 Sep&lt;/_date_display&gt;&lt;_doi&gt;10.1016/j.amjmed.2007.06.006&lt;/_doi&gt;&lt;_impact_factor&gt;   4.965&lt;/_impact_factor&gt;&lt;_isbn&gt;1555-7162 (Electronic); 0002-9343 (Linking)&lt;/_isbn&gt;&lt;_issue&gt;9 Suppl 1&lt;/_issue&gt;&lt;_journal&gt;Am J Med&lt;/_journal&gt;&lt;_language&gt;eng&lt;/_language&gt;&lt;_modified&gt;64530360&lt;/_modified&gt;&lt;_pages&gt;S10-6; discussion S16-7&lt;/_pages&gt;&lt;_subject_headings&gt;*Abdominal Fat/metabolism; Cardiovascular Diseases/*diagnosis/etiology/metabolism/prevention &amp;amp; control; Diabetes Mellitus, Type 2/etiology/metabolism; Female; Humans; Male; Metabolic Syndrome/complications/*diagnosis/metabolism/prevention &amp;amp; control; Obesity/complications/metabolism/therapy; Outcome and Process Assessment, Health Care; Predictive Value of Tests; Reference Values; Risk Assessment/methods; Risk Factors; Sex Factors; Treatment Outcome&lt;/_subject_headings&gt;&lt;_tertiary_title&gt;The American journal of medicine&lt;/_tertiary_title&gt;&lt;_type_work&gt;Journal Article; Review&lt;/_type_work&gt;&lt;_url&gt;http://www.ncbi.nlm.nih.gov/entrez/query.fcgi?cmd=Retrieve&amp;amp;db=pubmed&amp;amp;dopt=Abstract&amp;amp;list_uids=17720354&amp;amp;query_hl=1&lt;/_url&gt;&lt;_volume&gt;120&lt;/_volume&gt;&lt;/Details&gt;&lt;Extra&gt;&lt;DBUID&gt;{F96A950B-833F-4880-A151-76DA2D6A2879}&lt;/DBUID&gt;&lt;/Extra&gt;&lt;/Item&gt;&lt;/References&gt;&lt;/Group&gt;&lt;/Citation&gt;_x000a_"/>
    <w:docVar w:name="NE.Ref{9C376420-A406-40CD-8DFB-A56C8C9C8625}" w:val=" ADDIN NE.Ref.{9C376420-A406-40CD-8DFB-A56C8C9C8625}&lt;Citation&gt;&lt;Group&gt;&lt;References&gt;&lt;Item&gt;&lt;ID&gt;539&lt;/ID&gt;&lt;UID&gt;{B50CF6D7-0651-413B-9ACE-6ABA6DF95685}&lt;/UID&gt;&lt;Title&gt;Epidemiology of gestational weight gain and body weight changes after pregnancy&lt;/Title&gt;&lt;Template&gt;Journal Article&lt;/Template&gt;&lt;Star&gt;0&lt;/Star&gt;&lt;Tag&gt;5&lt;/Tag&gt;&lt;Author&gt;Gunderson, E P; Abrams, B&lt;/Author&gt;&lt;Year&gt;1999&lt;/Year&gt;&lt;Details&gt;&lt;_accession_num&gt;10682262&lt;/_accession_num&gt;&lt;_author_adr&gt;Division of Public Health and Epidemiology, School of Public Health, University  of California, Berkeley, USA. epg@dor.kaiser.org&lt;/_author_adr&gt;&lt;_collection_scope&gt;SCI;SCIE&lt;/_collection_scope&gt;&lt;_created&gt;64525278&lt;/_created&gt;&lt;_date&gt;1999-01-19&lt;/_date&gt;&lt;_date_display&gt;1999&lt;/_date_display&gt;&lt;_doi&gt;10.1093/oxfordjournals.epirev.a018001&lt;/_doi&gt;&lt;_impact_factor&gt;   6.222&lt;/_impact_factor&gt;&lt;_isbn&gt;0193-936X (Print); 0193-936X (Linking)&lt;/_isbn&gt;&lt;_issue&gt;2&lt;/_issue&gt;&lt;_journal&gt;Epidemiol Rev&lt;/_journal&gt;&lt;_language&gt;eng&lt;/_language&gt;&lt;_modified&gt;64530067&lt;/_modified&gt;&lt;_pages&gt;261-75&lt;/_pages&gt;&lt;_subject_headings&gt;Adolescent; Adult; Body Height; *Body Weight; Ethnicity; Female; Humans; Parity; Postpartum Period; *Pregnancy; *Weight Gain&lt;/_subject_headings&gt;&lt;_tertiary_title&gt;Epidemiologic reviews&lt;/_tertiary_title&gt;&lt;_type_work&gt;Journal Article; Research Support, Non-U.S. Gov&amp;apos;t; Research Support, U.S. Gov&amp;apos;t, Non-P.H.S.; Review&lt;/_type_work&gt;&lt;_url&gt;http://www.ncbi.nlm.nih.gov/entrez/query.fcgi?cmd=Retrieve&amp;amp;db=pubmed&amp;amp;dopt=Abstract&amp;amp;list_uids=10682262&amp;amp;query_hl=1&lt;/_url&gt;&lt;_volume&gt;21&lt;/_volume&gt;&lt;/Details&gt;&lt;Extra&gt;&lt;DBUID&gt;{F96A950B-833F-4880-A151-76DA2D6A2879}&lt;/DBUID&gt;&lt;/Extra&gt;&lt;/Item&gt;&lt;/References&gt;&lt;/Group&gt;&lt;/Citation&gt;_x000a_"/>
    <w:docVar w:name="NE.Ref{9D041CC7-690A-48AB-875C-399E0636633C}" w:val=" ADDIN NE.Ref.{9D041CC7-690A-48AB-875C-399E0636633C}&lt;Citation&gt;&lt;Group&gt;&lt;References&gt;&lt;Item&gt;&lt;ID&gt;21&lt;/ID&gt;&lt;UID&gt;{9DD28A01-CECF-48E1-9EBD-05179F5DF707}&lt;/UID&gt;&lt;Title&gt;A note on a Stata plugin for estimating group-based trajectory models&lt;/Title&gt;&lt;Template&gt;Journal Article&lt;/Template&gt;&lt;Star&gt;0&lt;/Star&gt;&lt;Tag&gt;0&lt;/Tag&gt;&lt;Author&gt;Jones, Bobby L; Nagin, Daniel S&lt;/Author&gt;&lt;Year&gt;2013&lt;/Year&gt;&lt;Details&gt;&lt;_alternate_title&gt;Sociological Methods &amp;amp; Research&lt;/_alternate_title&gt;&lt;_collection_scope&gt;SSCI&lt;/_collection_scope&gt;&lt;_created&gt;64733400&lt;/_created&gt;&lt;_date&gt;2013-01-01&lt;/_date&gt;&lt;_date_display&gt;2013&lt;/_date_display&gt;&lt;_impact_factor&gt;   6.933&lt;/_impact_factor&gt;&lt;_isbn&gt;0049-1241&lt;/_isbn&gt;&lt;_issue&gt;4&lt;/_issue&gt;&lt;_journal&gt;Sociological Methods &amp;amp; Research&lt;/_journal&gt;&lt;_modified&gt;64734680&lt;/_modified&gt;&lt;_ori_publication&gt;Sage Publications Sage CA: Los Angeles, CA&lt;/_ori_publication&gt;&lt;_pages&gt;608-613&lt;/_pages&gt;&lt;_volume&gt;42&lt;/_volume&gt;&lt;/Details&gt;&lt;Extra&gt;&lt;DBUID&gt;{C818A046-6D8C-4B07-8765-4E05C48B46EA}&lt;/DBUID&gt;&lt;/Extra&gt;&lt;/Item&gt;&lt;/References&gt;&lt;/Group&gt;&lt;/Citation&gt;_x000a_"/>
    <w:docVar w:name="NE.Ref{9EECAF33-A467-4D27-A92A-750609FF4708}" w:val=" ADDIN NE.Ref.{9EECAF33-A467-4D27-A92A-750609FF4708}&lt;Citation&gt;&lt;Group&gt;&lt;References&gt;&lt;Item&gt;&lt;ID&gt;530&lt;/ID&gt;&lt;UID&gt;{27CCE24E-D47A-4866-91AC-3D983B0B7FB5}&lt;/UID&gt;&lt;Title&gt;The role of postpartum weight retention in obesity among women: a review of the  evidence&lt;/Title&gt;&lt;Template&gt;Journal Article&lt;/Template&gt;&lt;Star&gt;1&lt;/Star&gt;&lt;Tag&gt;0&lt;/Tag&gt;&lt;Author&gt;Gore, S A; Brown, D M; West, D S&lt;/Author&gt;&lt;Year&gt;2003&lt;/Year&gt;&lt;Details&gt;&lt;_accessed&gt;64664558&lt;/_accessed&gt;&lt;_accession_num&gt;14534032&lt;/_accession_num&gt;&lt;_author_adr&gt;University of Alabama at Birmingham, USA.&lt;/_author_adr&gt;&lt;_collection_scope&gt;SSCI&lt;/_collection_scope&gt;&lt;_created&gt;64525134&lt;/_created&gt;&lt;_date&gt;2003-10-01&lt;/_date&gt;&lt;_date_display&gt;2003 Oct&lt;/_date_display&gt;&lt;_doi&gt;10.1207/S15324796ABM2602_07&lt;/_doi&gt;&lt;_impact_factor&gt;   4.908&lt;/_impact_factor&gt;&lt;_isbn&gt;0883-6612 (Print); 0883-6612 (Linking)&lt;/_isbn&gt;&lt;_issue&gt;2&lt;/_issue&gt;&lt;_journal&gt;Ann Behav Med&lt;/_journal&gt;&lt;_language&gt;eng&lt;/_language&gt;&lt;_modified&gt;64664558&lt;/_modified&gt;&lt;_pages&gt;149-59&lt;/_pages&gt;&lt;_subject_headings&gt;Adult; Behavior Therapy; Female; Humans; Minority Groups; Obesity/*etiology/prevention &amp;amp; control; Postpartum Period; *Pregnancy; Risk Factors; Smoking; *Weight Gain; Weight Loss&lt;/_subject_headings&gt;&lt;_tertiary_title&gt;Annals of behavioral medicine : a publication of the Society of Behavioral _x000d__x000a_      Medicine&lt;/_tertiary_title&gt;&lt;_type_work&gt;Journal Article; Review&lt;/_type_work&gt;&lt;_url&gt;http://www.ncbi.nlm.nih.gov/entrez/query.fcgi?cmd=Retrieve&amp;amp;db=pubmed&amp;amp;dopt=Abstract&amp;amp;list_uids=14534032&amp;amp;query_hl=1&lt;/_url&gt;&lt;_volume&gt;26&lt;/_volume&gt;&lt;/Details&gt;&lt;Extra&gt;&lt;DBUID&gt;{F96A950B-833F-4880-A151-76DA2D6A2879}&lt;/DBUID&gt;&lt;/Extra&gt;&lt;/Item&gt;&lt;/References&gt;&lt;/Group&gt;&lt;Group&gt;&lt;References&gt;&lt;Item&gt;&lt;ID&gt;534&lt;/ID&gt;&lt;UID&gt;{1975F4DE-37A2-46B1-B14B-034125AC6FFA}&lt;/UID&gt;&lt;Title&gt;A call for intervention in pregnancy to prevent maternal and child obesity&lt;/Title&gt;&lt;Template&gt;Journal Article&lt;/Template&gt;&lt;Star&gt;0&lt;/Star&gt;&lt;Tag&gt;0&lt;/Tag&gt;&lt;Author&gt;Olson, C M&lt;/Author&gt;&lt;Year&gt;2007&lt;/Year&gt;&lt;Details&gt;&lt;_accession_num&gt;17950410&lt;/_accession_num&gt;&lt;_collection_scope&gt;SCI;SCIE&lt;/_collection_scope&gt;&lt;_created&gt;64525246&lt;/_created&gt;&lt;_date&gt;2007-11-01&lt;/_date&gt;&lt;_date_display&gt;2007 Nov&lt;/_date_display&gt;&lt;_doi&gt;10.1016/j.amepre.2007.07.028&lt;/_doi&gt;&lt;_impact_factor&gt;   5.043&lt;/_impact_factor&gt;&lt;_isbn&gt;0749-3797 (Print); 0749-3797 (Linking)&lt;/_isbn&gt;&lt;_issue&gt;5&lt;/_issue&gt;&lt;_journal&gt;Am J Prev Med&lt;/_journal&gt;&lt;_language&gt;eng&lt;/_language&gt;&lt;_modified&gt;64530377&lt;/_modified&gt;&lt;_pages&gt;435-6&lt;/_pages&gt;&lt;_subject_headings&gt;Adult; Child; Female; Humans; Obesity/*prevention &amp;amp; control; Postpartum Period; Pregnancy; Pregnancy Outcome; Weight Gain&lt;/_subject_headings&gt;&lt;_tertiary_title&gt;American journal of preventive medicine&lt;/_tertiary_title&gt;&lt;_type_work&gt;Comment; Letter&lt;/_type_work&gt;&lt;_url&gt;http://www.ncbi.nlm.nih.gov/entrez/query.fcgi?cmd=Retrieve&amp;amp;db=pubmed&amp;amp;dopt=Abstract&amp;amp;list_uids=17950410&amp;amp;query_hl=1&lt;/_url&gt;&lt;_volume&gt;33&lt;/_volume&gt;&lt;/Details&gt;&lt;Extra&gt;&lt;DBUID&gt;{F96A950B-833F-4880-A151-76DA2D6A2879}&lt;/DBUID&gt;&lt;/Extra&gt;&lt;/Item&gt;&lt;/References&gt;&lt;/Group&gt;&lt;Group&gt;&lt;References&gt;&lt;Item&gt;&lt;ID&gt;535&lt;/ID&gt;&lt;UID&gt;{6E61AC54-26DE-465B-BCAF-85F9CB4C9F4D}&lt;/UID&gt;&lt;Title&gt;Postpartum Weight Retention Risk Factors in a Taiwanese Cohort Study&lt;/Title&gt;&lt;Template&gt;Journal Article&lt;/Template&gt;&lt;Star&gt;0&lt;/Star&gt;&lt;Tag&gt;0&lt;/Tag&gt;&lt;Author&gt;Shao, H H; Hwang, L C; Huang, J P; Hsu, H Y&lt;/Author&gt;&lt;Year&gt;2018&lt;/Year&gt;&lt;Details&gt;&lt;_accession_num&gt;29402791&lt;/_accession_num&gt;&lt;_author_adr&gt;MacKay Memorial Hospital, Taipei City, Taiwan.&lt;/_author_adr&gt;&lt;_created&gt;64525252&lt;/_created&gt;&lt;_date&gt;2018-01-20&lt;/_date&gt;&lt;_date_display&gt;2018&lt;/_date_display&gt;&lt;_doi&gt;10.1159/000484934&lt;/_doi&gt;&lt;_impact_factor&gt;   3.942&lt;/_impact_factor&gt;&lt;_isbn&gt;1662-4033 (Electronic); 1662-4025 (Print); 1662-4025 (Linking)&lt;/_isbn&gt;&lt;_issue&gt;1&lt;/_issue&gt;&lt;_journal&gt;Obes Facts&lt;/_journal&gt;&lt;_keywords&gt;Gestational weight gain; Obesity; Postpartum weight retention&lt;/_keywords&gt;&lt;_language&gt;eng&lt;/_language&gt;&lt;_modified&gt;64530391&lt;/_modified&gt;&lt;_ori_publication&gt;© 2018 The Author(s) Published by S. Karger GmbH, Freiburg.&lt;/_ori_publication&gt;&lt;_pages&gt;37-45&lt;/_pages&gt;&lt;_subject_headings&gt;Adult; Asians/statistics &amp;amp; numerical data; Body Mass Index; Breast Feeding/statistics &amp;amp; numerical data; Cesarean Section/statistics &amp;amp; numerical data; Cohort Studies; Female; Gestational Weight Gain/*physiology; Humans; Middle Aged; Obesity/epidemiology/etiology; Overweight/epidemiology/etiology; *Postpartum Period; Pregnancy; Pregnancy Complications/epidemiology; Risk Factors; Taiwan/epidemiology; Thinness/epidemiology/etiology; Weight Gain/*physiology; Young Adult&lt;/_subject_headings&gt;&lt;_tertiary_title&gt;Obesity facts&lt;/_tertiary_title&gt;&lt;_type_work&gt;Journal Article; Research Support, Non-U.S. Gov&amp;apos;t&lt;/_type_work&gt;&lt;_url&gt;http://www.ncbi.nlm.nih.gov/entrez/query.fcgi?cmd=Retrieve&amp;amp;db=pubmed&amp;amp;dopt=Abstract&amp;amp;list_uids=29402791&amp;amp;query_hl=1&lt;/_url&gt;&lt;_volume&gt;11&lt;/_volume&gt;&lt;/Details&gt;&lt;Extra&gt;&lt;DBUID&gt;{F96A950B-833F-4880-A151-76DA2D6A2879}&lt;/DBUID&gt;&lt;/Extra&gt;&lt;/Item&gt;&lt;/References&gt;&lt;/Group&gt;&lt;Group&gt;&lt;References&gt;&lt;Item&gt;&lt;ID&gt;541&lt;/ID&gt;&lt;UID&gt;{6A054FBF-659D-4DE2-BADA-DC582444B95D}&lt;/UID&gt;&lt;Title&gt;The Role of Parity in Gestational Weight Gain and Postpartum Weight Retention&lt;/Title&gt;&lt;Template&gt;Journal Article&lt;/Template&gt;&lt;Star&gt;1&lt;/Star&gt;&lt;Tag&gt;0&lt;/Tag&gt;&lt;Author&gt;Hill, B; McPhie, S; Skouteris, H&lt;/Author&gt;&lt;Year&gt;2016&lt;/Year&gt;&lt;Details&gt;&lt;_accession_num&gt;26542383&lt;/_accession_num&gt;&lt;_author_adr&gt;School of Psychology, Deakin University, Burwood, Victoria, Australia. Electronic  address: briony.hill@deakin.edu.au.; School of Psychology, Deakin University, Burwood, Victoria, Australia.; School of Psychology, Deakin University, Burwood, Victoria, Australia.&lt;/_author_adr&gt;&lt;_collection_scope&gt;SSCI&lt;/_collection_scope&gt;&lt;_created&gt;64525287&lt;/_created&gt;&lt;_date&gt;2016-01-01&lt;/_date&gt;&lt;_date_display&gt;2016 Jan-Feb&lt;/_date_display&gt;&lt;_doi&gt;10.1016/j.whi.2015.09.012&lt;/_doi&gt;&lt;_impact_factor&gt;   3.027&lt;/_impact_factor&gt;&lt;_isbn&gt;1878-4321 (Electronic); 1049-3867 (Linking)&lt;/_isbn&gt;&lt;_issue&gt;1&lt;/_issue&gt;&lt;_journal&gt;Womens Health Issues&lt;/_journal&gt;&lt;_language&gt;eng&lt;/_language&gt;&lt;_modified&gt;64525803&lt;/_modified&gt;&lt;_ori_publication&gt;Copyright © 2016 Jacobs Institute of Women&amp;apos;s Health. Published by Elsevier Inc. _x000d__x000a_      All rights reserved.&lt;/_ori_publication&gt;&lt;_pages&gt;123-9&lt;/_pages&gt;&lt;_subject_headings&gt;Adult; Australia/epidemiology; *Body Mass Index; Body Weight/physiology; Female; Humans; Multivariate Analysis; Overweight/*epidemiology; Parity/*physiology; Postpartum Period; Pregnancy; Pregnancy Outcome; Prospective Studies; Risk Factors; *Weight Gain; Young Adult&lt;/_subject_headings&gt;&lt;_tertiary_title&gt;Women&amp;apos;s health issues : official publication of the Jacobs Institute of Women&amp;apos;s _x000d__x000a_      Health&lt;/_tertiary_title&gt;&lt;_type_work&gt;Journal Article&lt;/_type_work&gt;&lt;_url&gt;http://www.ncbi.nlm.nih.gov/entrez/query.fcgi?cmd=Retrieve&amp;amp;db=pubmed&amp;amp;dopt=Abstract&amp;amp;list_uids=26542383&amp;amp;query_hl=1&lt;/_url&gt;&lt;_volume&gt;26&lt;/_volume&gt;&lt;/Details&gt;&lt;Extra&gt;&lt;DBUID&gt;{F96A950B-833F-4880-A151-76DA2D6A2879}&lt;/DBUID&gt;&lt;/Extra&gt;&lt;/Item&gt;&lt;/References&gt;&lt;/Group&gt;&lt;/Citation&gt;_x000a_"/>
    <w:docVar w:name="NE.Ref{9FA61A5F-633A-402F-BE9B-2B8C240FE846}" w:val=" ADDIN NE.Ref.{9FA61A5F-633A-402F-BE9B-2B8C240FE846}&lt;Citation&gt;&lt;Group&gt;&lt;References&gt;&lt;Item&gt;&lt;ID&gt;554&lt;/ID&gt;&lt;UID&gt;{98CA4F57-A48C-44CC-A754-F9ACEDD0BEBF}&lt;/UID&gt;&lt;Title&gt;A survey of lifestyle risk factors for cardiovascular health among young Hong  Kong Chinese women: implications for long-term cardiovascular health&lt;/Title&gt;&lt;Template&gt;Journal Article&lt;/Template&gt;&lt;Star&gt;1&lt;/Star&gt;&lt;Tag&gt;5&lt;/Tag&gt;&lt;Author&gt;Twinn, S F; Lee, G C; Thompson, D R&lt;/Author&gt;&lt;Year&gt;2010&lt;/Year&gt;&lt;Details&gt;&lt;_accession_num&gt;20092416&lt;/_accession_num&gt;&lt;_author_adr&gt;The Nethersole School of Nursing, The Chinese University of Hong Kong, Hong Kong  SAR, People&amp;apos;s Republic of China. sftwinn@cuhk.edu.hk&lt;/_author_adr&gt;&lt;_created&gt;64526444&lt;/_created&gt;&lt;_date&gt;2010-02-01&lt;/_date&gt;&lt;_date_display&gt;2010 Feb&lt;/_date_display&gt;&lt;_doi&gt;10.1089/jwh.2008.1318&lt;/_doi&gt;&lt;_impact_factor&gt;   2.681&lt;/_impact_factor&gt;&lt;_isbn&gt;1931-843X (Electronic); 1540-9996 (Linking)&lt;/_isbn&gt;&lt;_issue&gt;2&lt;/_issue&gt;&lt;_journal&gt;J Womens Health (Larchmt)&lt;/_journal&gt;&lt;_language&gt;eng&lt;/_language&gt;&lt;_modified&gt;64605367&lt;/_modified&gt;&lt;_pages&gt;289-95&lt;/_pages&gt;&lt;_subject_headings&gt;Adult; Alcohol Drinking/epidemiology; Cardiovascular Diseases/*etiology; Cross-Sectional Studies; Exercise; Female; Health Status; Hong Kong/epidemiology; Humans; *Life Style; Obesity/epidemiology; Risk Factors; Smoking/epidemiology; Surveys and Questionnaires; Thinness/epidemiology; Young Adult&lt;/_subject_headings&gt;&lt;_tertiary_title&gt;Journal of women&amp;apos;s health (2002)&lt;/_tertiary_title&gt;&lt;_type_work&gt;Journal Article&lt;/_type_work&gt;&lt;_url&gt;http://www.ncbi.nlm.nih.gov/entrez/query.fcgi?cmd=Retrieve&amp;amp;db=pubmed&amp;amp;dopt=Abstract&amp;amp;list_uids=20092416&amp;amp;query_hl=1&lt;/_url&gt;&lt;_volume&gt;19&lt;/_volume&gt;&lt;/Details&gt;&lt;Extra&gt;&lt;DBUID&gt;{F96A950B-833F-4880-A151-76DA2D6A2879}&lt;/DBUID&gt;&lt;/Extra&gt;&lt;/Item&gt;&lt;/References&gt;&lt;/Group&gt;&lt;Group&gt;&lt;References&gt;&lt;Item&gt;&lt;ID&gt;552&lt;/ID&gt;&lt;UID&gt;{DCC4C8C4-9526-4C64-B6F4-383BD34555E8}&lt;/UID&gt;&lt;Title&gt;Global, regional, and national comparative risk assessment of 79 behavioural,  environmental and occupational, and metabolic risks or clusters of risks,  1990-2015: a systematic analysis for the Global Burden of Disease Study 2015&lt;/Title&gt;&lt;Template&gt;Journal Article&lt;/Template&gt;&lt;Star&gt;1&lt;/Star&gt;&lt;Tag&gt;5&lt;/Tag&gt;&lt;Author/&gt;&lt;Year&gt;2016&lt;/Year&gt;&lt;Details&gt;&lt;_accession_num&gt;27733284&lt;/_accession_num&gt;&lt;_collection_scope&gt;SCI;SCIE&lt;/_collection_scope&gt;&lt;_created&gt;64525951&lt;/_created&gt;&lt;_date&gt;2016-10-08&lt;/_date&gt;&lt;_date_display&gt;2016 Oct 8&lt;/_date_display&gt;&lt;_doi&gt;10.1016/S0140-6736(16)31679-8&lt;/_doi&gt;&lt;_impact_factor&gt;  79.323&lt;/_impact_factor&gt;&lt;_isbn&gt;1474-547X (Electronic); 0140-6736 (Print); 0140-6736 (Linking)&lt;/_isbn&gt;&lt;_issue&gt;10053&lt;/_issue&gt;&lt;_journal&gt;Lancet&lt;/_journal&gt;&lt;_language&gt;eng&lt;/_language&gt;&lt;_modified&gt;64605365&lt;/_modified&gt;&lt;_ori_publication&gt;Copyright © 2016 The Author(s). Published by Elsevier Ltd. This is an Open Access _x000d__x000a_      article under the CC BY license. Published by Elsevier Ltd.. All rights reserved.&lt;/_ori_publication&gt;&lt;_pages&gt;1659-1724&lt;/_pages&gt;&lt;_subject_headings&gt;Africa South of the Sahara/epidemiology; Africa, Northern/epidemiology; Air Pollution, Indoor/statistics &amp;amp; numerical data; Alcohol Drinking/epidemiology; Biomarkers/blood; Blood Glucose/metabolism; Body Mass Index; Cholesterol/blood; *Cost of Illness; Disabled Persons/*statistics &amp;amp; numerical data; *Environmental Exposure/statistics &amp;amp; numerical data; *Global Health; Humans; Hypertension/epidemiology; *Life Expectancy; Malnutrition/epidemiology; Middle East/epidemiology; *Occupational Exposure/statistics &amp;amp; numerical data; Quality-Adjusted Life Years; Risk Assessment; Risk Factors; *Risk-Taking; Smoking/epidemiology; Sodium, Dietary/administration &amp;amp; dosage; Substance-Related Disorders/epidemiology; Unsafe Sex/statistics &amp;amp; numerical data&lt;/_subject_headings&gt;&lt;_tertiary_title&gt;Lancet (London, England)&lt;/_tertiary_title&gt;&lt;_type_work&gt;Comparative Study; Journal Article; Research Support, N.I.H., Extramural; Research Support, Non-U.S. Gov&amp;apos;t; Research Support, U.S. Gov&amp;apos;t, Non-P.H.S.&lt;/_type_work&gt;&lt;_url&gt;http://www.ncbi.nlm.nih.gov/entrez/query.fcgi?cmd=Retrieve&amp;amp;db=pubmed&amp;amp;dopt=Abstract&amp;amp;list_uids=27733284&amp;amp;query_hl=1&lt;/_url&gt;&lt;_volume&gt;388&lt;/_volume&gt;&lt;/Details&gt;&lt;Extra&gt;&lt;DBUID&gt;{F96A950B-833F-4880-A151-76DA2D6A2879}&lt;/DBUID&gt;&lt;/Extra&gt;&lt;/Item&gt;&lt;/References&gt;&lt;/Group&gt;&lt;Group&gt;&lt;References&gt;&lt;Item&gt;&lt;ID&gt;559&lt;/ID&gt;&lt;UID&gt;{901AA8C7-FF87-4C1F-887E-914B03A64465}&lt;/UID&gt;&lt;Title&gt;Preconceptional and maternal obesity: epidemiology and health consequences&lt;/Title&gt;&lt;Template&gt;Journal Article&lt;/Template&gt;&lt;Star&gt;1&lt;/Star&gt;&lt;Tag&gt;5&lt;/Tag&gt;&lt;Author&gt;Poston, L; Caleyachetty, R; Cnattingius, S; Corvalán, C; Uauy, R; Herring, S; Gillman, M W&lt;/Author&gt;&lt;Year&gt;2016&lt;/Year&gt;&lt;Details&gt;&lt;_accession_num&gt;27743975&lt;/_accession_num&gt;&lt;_author_adr&gt;Division of Women&amp;apos;s Health, Faculty of Life Sciences and Medicine, King&amp;apos;s College  London, London, UK. Electronic address: lucilla.poston@kcl.ac.uk.; Institute of Applied Health Research, University of Birmingham, Birmingham, UK.; Department of Medicine Solna, Karolinska Universitetssjukhuset, Stockholm,  Sweden.; Institute of Nutrition and Food Technology, University of Chile, Santiago, Chile.; Division of Pediatrics, Faculty of Medicine, Pontifical Catholic University of  Chile, Santiago, Chile; Center for Obesity Research and Education, Departments of  Medicine and Public Health, Temple University, Philadelphia, PA, USA.; Center for Obesity Research and Education, Departments of Medicine and Public  Health, Temple University, Philadelphia, PA, USA.; Office of the Director, Environmental Influences on Child Health Outcomes (ECHO),  National Institutes of Health, Rockville, MD, USA.&lt;/_author_adr&gt;&lt;_created&gt;64530196&lt;/_created&gt;&lt;_date&gt;2016-12-01&lt;/_date&gt;&lt;_date_display&gt;2016 Dec&lt;/_date_display&gt;&lt;_doi&gt;10.1016/S2213-8587(16)30217-0&lt;/_doi&gt;&lt;_impact_factor&gt;  32.069&lt;/_impact_factor&gt;&lt;_isbn&gt;2213-8595 (Electronic); 2213-8587 (Linking)&lt;/_isbn&gt;&lt;_issue&gt;12&lt;/_issue&gt;&lt;_journal&gt;Lancet Diabetes Endocrinol&lt;/_journal&gt;&lt;_language&gt;eng&lt;/_language&gt;&lt;_modified&gt;64605366&lt;/_modified&gt;&lt;_ori_publication&gt;Copyright Â© 2016 Elsevier Ltd. All rights reserved.&lt;/_ori_publication&gt;&lt;_pages&gt;1025-1036&lt;/_pages&gt;&lt;_subject_headings&gt;Abortion, Spontaneous/etiology; Delivery, Obstetric; Female; Fertility; Humans; Obesity/complications/*epidemiology; Postpartum Period; Pregnancy; Pregnancy Complications/*epidemiology/etiology; Premature Birth/etiology; Prevalence&lt;/_subject_headings&gt;&lt;_tertiary_title&gt;The lancet. Diabetes &amp;amp; endocrinology&lt;/_tertiary_title&gt;&lt;_type_work&gt;Journal Article; Research Support, Non-U.S. Gov&amp;apos;t; Review&lt;/_type_work&gt;&lt;_url&gt;http://www.ncbi.nlm.nih.gov/entrez/query.fcgi?cmd=Retrieve&amp;amp;db=pubmed&amp;amp;dopt=Abstract&amp;amp;list_uids=27743975&amp;amp;query_hl=1&lt;/_url&gt;&lt;_volume&gt;4&lt;/_volume&gt;&lt;/Details&gt;&lt;Extra&gt;&lt;DBUID&gt;{F96A950B-833F-4880-A151-76DA2D6A2879}&lt;/DBUID&gt;&lt;/Extra&gt;&lt;/Item&gt;&lt;/References&gt;&lt;/Group&gt;&lt;/Citation&gt;_x000a_"/>
    <w:docVar w:name="NE.Ref{A0CFE745-721D-4D90-BACD-9CCAEFE32340}" w:val=" ADDIN NE.Ref.{A0CFE745-721D-4D90-BACD-9CCAEFE32340}&lt;Citation&gt;&lt;Group&gt;&lt;References&gt;&lt;Item&gt;&lt;ID&gt;38&lt;/ID&gt;&lt;UID&gt;{46A0CE6E-6203-4968-8306-410AD9FA803C}&lt;/UID&gt;&lt;Title&gt;High density lipoprotein as a protective factor against coronary heart disease.  The Framingham Study&lt;/Title&gt;&lt;Template&gt;Journal Article&lt;/Template&gt;&lt;Star&gt;0&lt;/Star&gt;&lt;Tag&gt;0&lt;/Tag&gt;&lt;Author&gt;Gordon, T; Castelli, W P; Hjortland, M C; Kannel, W B; Dawber, T R&lt;/Author&gt;&lt;Year&gt;1977&lt;/Year&gt;&lt;Details&gt;&lt;_accession_num&gt;193398&lt;/_accession_num&gt;&lt;_collection_scope&gt;SCI;SCIE&lt;/_collection_scope&gt;&lt;_created&gt;64734733&lt;/_created&gt;&lt;_date&gt;1977-05-01&lt;/_date&gt;&lt;_date_display&gt;1977 May&lt;/_date_display&gt;&lt;_doi&gt;10.1016/0002-9343(77)90874-9&lt;/_doi&gt;&lt;_impact_factor&gt;   4.965&lt;/_impact_factor&gt;&lt;_isbn&gt;0002-9343 (Print); 0002-9343 (Linking)&lt;/_isbn&gt;&lt;_issue&gt;5&lt;/_issue&gt;&lt;_journal&gt;Am J Med&lt;/_journal&gt;&lt;_language&gt;eng&lt;/_language&gt;&lt;_modified&gt;64734733&lt;/_modified&gt;&lt;_pages&gt;707-14&lt;/_pages&gt;&lt;_subject_headings&gt;Age Factors; Aged; Coronary Disease/*epidemiology; Female; Humans; Lipids/blood; Lipoproteins, HDL/*blood; Lipoproteins, LDL/blood; Male; Middle Aged; Risk; Sex Factors&lt;/_subject_headings&gt;&lt;_tertiary_title&gt;The American journal of medicine&lt;/_tertiary_title&gt;&lt;_type_work&gt;Journal Article&lt;/_type_work&gt;&lt;_url&gt;http://www.ncbi.nlm.nih.gov/entrez/query.fcgi?cmd=Retrieve&amp;amp;db=pubmed&amp;amp;dopt=Abstract&amp;amp;list_uids=193398&amp;amp;query_hl=1&lt;/_url&gt;&lt;_volume&gt;62&lt;/_volume&gt;&lt;/Details&gt;&lt;Extra&gt;&lt;DBUID&gt;{C818A046-6D8C-4B07-8765-4E05C48B46EA}&lt;/DBUID&gt;&lt;/Extra&gt;&lt;/Item&gt;&lt;/References&gt;&lt;/Group&gt;&lt;/Citation&gt;_x000a_"/>
    <w:docVar w:name="NE.Ref{A104C7B7-6B4B-4495-B0EA-3D17A5A1CF38}" w:val=" ADDIN NE.Ref.{A104C7B7-6B4B-4495-B0EA-3D17A5A1CF38}&lt;Citation&gt;&lt;Group&gt;&lt;References&gt;&lt;Item&gt;&lt;ID&gt;546&lt;/ID&gt;&lt;UID&gt;{33DBA32B-A1D3-4D57-A4CB-E45415084370}&lt;/UID&gt;&lt;Title&gt;Associations between gestational weight gain and BMI, abdominal adiposity, and  traditional measures of cardiometabolic risk in mothers 8 y postpartum&lt;/Title&gt;&lt;Template&gt;Journal Article&lt;/Template&gt;&lt;Star&gt;0&lt;/Star&gt;&lt;Tag&gt;0&lt;/Tag&gt;&lt;Author&gt;McClure, C K; Catov, J M; Ness, R; Bodnar, L M&lt;/Author&gt;&lt;Year&gt;2013&lt;/Year&gt;&lt;Details&gt;&lt;_accessed&gt;64664557&lt;/_accessed&gt;&lt;_accession_num&gt;24047920&lt;/_accession_num&gt;&lt;_author_adr&gt;Department of Epidemiology, Graduate School of Public Health, University of  Pittsburgh, Pittsburgh, PA (CKM, JMC, and LMB); the Departments of Obstetrics,  Gynecology, and Reproductive Sciences, University of Pittsburgh, Pittsburgh, PA  (JMC and LMB); and the School of Public Health, University of Texas, Houston, TX  (RN).&lt;/_author_adr&gt;&lt;_collection_scope&gt;SCI;SCIE&lt;/_collection_scope&gt;&lt;_created&gt;64525782&lt;/_created&gt;&lt;_date&gt;2013-11-01&lt;/_date&gt;&lt;_date_display&gt;2013 Nov&lt;/_date_display&gt;&lt;_doi&gt;10.3945/ajcn.112.055772&lt;/_doi&gt;&lt;_impact_factor&gt;   7.047&lt;/_impact_factor&gt;&lt;_isbn&gt;1938-3207 (Electronic); 0002-9165 (Print); 0002-9165 (Linking)&lt;/_isbn&gt;&lt;_issue&gt;5&lt;/_issue&gt;&lt;_journal&gt;Am J Clin Nutr&lt;/_journal&gt;&lt;_language&gt;eng&lt;/_language&gt;&lt;_modified&gt;64664557&lt;/_modified&gt;&lt;_pages&gt;1218-25&lt;/_pages&gt;&lt;_subject_headings&gt;*Adiposity; Adult; *Body Mass Index; Cardiovascular Diseases/*epidemiology/etiology/physiopathology; Female; Humans; Life Style; Middle Aged; Multivariate Analysis; Obesity, Abdominal/complications/*epidemiology/physiopathology; *Postpartum Period; Pregnancy; Prevalence; Regression Analysis; Risk Factors; Socioeconomic Factors; Waist Circumference; Weight Gain/*physiology&lt;/_subject_headings&gt;&lt;_tertiary_title&gt;The American journal of clinical nutrition&lt;/_tertiary_title&gt;&lt;_type_work&gt;Journal Article; Research Support, N.I.H., Extramural&lt;/_type_work&gt;&lt;_url&gt;http://www.ncbi.nlm.nih.gov/entrez/query.fcgi?cmd=Retrieve&amp;amp;db=pubmed&amp;amp;dopt=Abstract&amp;amp;list_uids=24047920&amp;amp;query_hl=1&lt;/_url&gt;&lt;_volume&gt;98&lt;/_volume&gt;&lt;/Details&gt;&lt;Extra&gt;&lt;DBUID&gt;{F96A950B-833F-4880-A151-76DA2D6A2879}&lt;/DBUID&gt;&lt;/Extra&gt;&lt;/Item&gt;&lt;/References&gt;&lt;/Group&gt;&lt;Group&gt;&lt;References&gt;&lt;Item&gt;&lt;ID&gt;561&lt;/ID&gt;&lt;UID&gt;{35F445F4-9C4D-4C81-BA83-F3D7B47EC10A}&lt;/UID&gt;&lt;Title&gt;Abdominal adiposity and cardiometabolic risk: do we have all the answers?&lt;/Title&gt;&lt;Template&gt;Journal Article&lt;/Template&gt;&lt;Star&gt;0&lt;/Star&gt;&lt;Tag&gt;0&lt;/Tag&gt;&lt;Author&gt;Haffner, S M&lt;/Author&gt;&lt;Year&gt;2007&lt;/Year&gt;&lt;Details&gt;&lt;_accession_num&gt;17720354&lt;/_accession_num&gt;&lt;_author_adr&gt;Department of Medicine and Clinical Epidemiology, University of Texas Health  Science Center, San Antonio, Texas 78240, USA. haffner@uthscsa.edu&lt;/_author_adr&gt;&lt;_collection_scope&gt;SCI;SCIE&lt;/_collection_scope&gt;&lt;_created&gt;64530360&lt;/_created&gt;&lt;_date&gt;2007-09-01&lt;/_date&gt;&lt;_date_display&gt;2007 Sep&lt;/_date_display&gt;&lt;_doi&gt;10.1016/j.amjmed.2007.06.006&lt;/_doi&gt;&lt;_impact_factor&gt;   4.965&lt;/_impact_factor&gt;&lt;_isbn&gt;1555-7162 (Electronic); 0002-9343 (Linking)&lt;/_isbn&gt;&lt;_issue&gt;9 Suppl 1&lt;/_issue&gt;&lt;_journal&gt;Am J Med&lt;/_journal&gt;&lt;_language&gt;eng&lt;/_language&gt;&lt;_modified&gt;64530360&lt;/_modified&gt;&lt;_pages&gt;S10-6; discussion S16-7&lt;/_pages&gt;&lt;_subject_headings&gt;*Abdominal Fat/metabolism; Cardiovascular Diseases/*diagnosis/etiology/metabolism/prevention &amp;amp; control; Diabetes Mellitus, Type 2/etiology/metabolism; Female; Humans; Male; Metabolic Syndrome/complications/*diagnosis/metabolism/prevention &amp;amp; control; Obesity/complications/metabolism/therapy; Outcome and Process Assessment, Health Care; Predictive Value of Tests; Reference Values; Risk Assessment/methods; Risk Factors; Sex Factors; Treatment Outcome&lt;/_subject_headings&gt;&lt;_tertiary_title&gt;The American journal of medicine&lt;/_tertiary_title&gt;&lt;_type_work&gt;Journal Article; Review&lt;/_type_work&gt;&lt;_url&gt;http://www.ncbi.nlm.nih.gov/entrez/query.fcgi?cmd=Retrieve&amp;amp;db=pubmed&amp;amp;dopt=Abstract&amp;amp;list_uids=17720354&amp;amp;query_hl=1&lt;/_url&gt;&lt;_volume&gt;120&lt;/_volume&gt;&lt;/Details&gt;&lt;Extra&gt;&lt;DBUID&gt;{F96A950B-833F-4880-A151-76DA2D6A2879}&lt;/DBUID&gt;&lt;/Extra&gt;&lt;/Item&gt;&lt;/References&gt;&lt;/Group&gt;&lt;/Citation&gt;_x000a_"/>
    <w:docVar w:name="NE.Ref{A2BEF395-D3E5-4CC5-929E-169D3F103D9F}" w:val=" ADDIN NE.Ref.{A2BEF395-D3E5-4CC5-929E-169D3F103D9F}&lt;Citation&gt;&lt;Group&gt;&lt;References&gt;&lt;Item&gt;&lt;ID&gt;1&lt;/ID&gt;&lt;UID&gt;{BF3D6C26-9E15-4EED-BD04-105C47CEC17E}&lt;/UID&gt;&lt;Title&gt;Trends in adult body-mass index in 200 countries from 1975 to 2014: a pooled  analysis of 1698 population-based measurement studies with 19·2 million  participants&lt;/Title&gt;&lt;Template&gt;Journal Article&lt;/Template&gt;&lt;Star&gt;0&lt;/Star&gt;&lt;Tag&gt;0&lt;/Tag&gt;&lt;Author/&gt;&lt;Year&gt;2016&lt;/Year&gt;&lt;Details&gt;&lt;_accession_num&gt;27115820&lt;/_accession_num&gt;&lt;_collection_scope&gt;SCI;SCIE&lt;/_collection_scope&gt;&lt;_created&gt;64733386&lt;/_created&gt;&lt;_date&gt;2016-04-02&lt;/_date&gt;&lt;_date_display&gt;2016 Apr 2&lt;/_date_display&gt;&lt;_doi&gt;10.1016/S0140-6736(16)30054-X&lt;/_doi&gt;&lt;_impact_factor&gt;  79.323&lt;/_impact_factor&gt;&lt;_isbn&gt;1474-547X (Electronic); 0140-6736 (Linking)&lt;/_isbn&gt;&lt;_issue&gt;10026&lt;/_issue&gt;&lt;_journal&gt;Lancet&lt;/_journal&gt;&lt;_language&gt;eng&lt;/_language&gt;&lt;_modified&gt;64734679&lt;/_modified&gt;&lt;_ori_publication&gt;Copyright © 2016 NCD Risk Factor Collaboration. Open Access article distributed _x000d__x000a_      under the terms of CC BY. Published by Elsevier Ltd.. All rights reserved.&lt;/_ori_publication&gt;&lt;_pages&gt;1377-1396&lt;/_pages&gt;&lt;_subject_headings&gt;Adolescent; Adult; Bayes Theorem; *Body Mass Index; Developed Countries; Developing Countries; Female; Forecasting; *Global Health; Humans; Male; Models, Statistical; Obesity/*epidemiology; Prevalence; Thinness/epidemiology; Young Adult&lt;/_subject_headings&gt;&lt;_tertiary_title&gt;Lancet (London, England)&lt;/_tertiary_title&gt;&lt;_type_work&gt;Journal Article; Meta-Analysis; Research Support, Non-U.S. Gov&amp;apos;t; Review&lt;/_type_work&gt;&lt;_url&gt;http://www.ncbi.nlm.nih.gov/entrez/query.fcgi?cmd=Retrieve&amp;amp;db=pubmed&amp;amp;dopt=Abstract&amp;amp;list_uids=27115820&amp;amp;query_hl=1&lt;/_url&gt;&lt;_volume&gt;387&lt;/_volume&gt;&lt;/Details&gt;&lt;Extra&gt;&lt;DBUID&gt;{C818A046-6D8C-4B07-8765-4E05C48B46EA}&lt;/DBUID&gt;&lt;/Extra&gt;&lt;/Item&gt;&lt;/References&gt;&lt;/Group&gt;&lt;/Citation&gt;_x000a_"/>
    <w:docVar w:name="NE.Ref{A304EC32-5B68-483F-A554-C164AA61EEC7}" w:val=" ADDIN NE.Ref.{A304EC32-5B68-483F-A554-C164AA61EEC7}&lt;Citation&gt;&lt;Group&gt;&lt;References&gt;&lt;Item&gt;&lt;ID&gt;6&lt;/ID&gt;&lt;UID&gt;{CBDE004A-490F-4C23-BB48-DE20CE0A0FB0}&lt;/UID&gt;&lt;Title&gt;The role of postpartum weight retention in obesity among women: a review of the  evidence&lt;/Title&gt;&lt;Template&gt;Journal Article&lt;/Template&gt;&lt;Star&gt;0&lt;/Star&gt;&lt;Tag&gt;0&lt;/Tag&gt;&lt;Author&gt;Gore, S A; Brown, D M; West, D S&lt;/Author&gt;&lt;Year&gt;2003&lt;/Year&gt;&lt;Details&gt;&lt;_accession_num&gt;14534032&lt;/_accession_num&gt;&lt;_author_adr&gt;University of Alabama at Birmingham, USA.&lt;/_author_adr&gt;&lt;_collection_scope&gt;SSCI&lt;/_collection_scope&gt;&lt;_created&gt;64733394&lt;/_created&gt;&lt;_date&gt;2003-10-01&lt;/_date&gt;&lt;_date_display&gt;2003 Oct&lt;/_date_display&gt;&lt;_doi&gt;10.1207/S15324796ABM2602_07&lt;/_doi&gt;&lt;_impact_factor&gt;   4.908&lt;/_impact_factor&gt;&lt;_isbn&gt;0883-6612 (Print); 0883-6612 (Linking)&lt;/_isbn&gt;&lt;_issue&gt;2&lt;/_issue&gt;&lt;_journal&gt;Ann Behav Med&lt;/_journal&gt;&lt;_language&gt;eng&lt;/_language&gt;&lt;_modified&gt;64734679&lt;/_modified&gt;&lt;_pages&gt;149-59&lt;/_pages&gt;&lt;_subject_headings&gt;Adult; Behavior Therapy; Female; Humans; Minority Groups; Obesity/*etiology/prevention &amp;amp; control; Postpartum Period; *Pregnancy; Risk Factors; Smoking; *Weight Gain; Weight Loss&lt;/_subject_headings&gt;&lt;_tertiary_title&gt;Annals of behavioral medicine : a publication of the Society of Behavioral _x000d__x000a_      Medicine&lt;/_tertiary_title&gt;&lt;_type_work&gt;Journal Article; Review&lt;/_type_work&gt;&lt;_url&gt;http://www.ncbi.nlm.nih.gov/entrez/query.fcgi?cmd=Retrieve&amp;amp;db=pubmed&amp;amp;dopt=Abstract&amp;amp;list_uids=14534032&amp;amp;query_hl=1&lt;/_url&gt;&lt;_volume&gt;26&lt;/_volume&gt;&lt;/Details&gt;&lt;Extra&gt;&lt;DBUID&gt;{C818A046-6D8C-4B07-8765-4E05C48B46EA}&lt;/DBUID&gt;&lt;/Extra&gt;&lt;/Item&gt;&lt;/References&gt;&lt;/Group&gt;&lt;Group&gt;&lt;References&gt;&lt;Item&gt;&lt;ID&gt;8&lt;/ID&gt;&lt;UID&gt;{BF10F28D-7E21-4C1D-B272-A8052A64B705}&lt;/UID&gt;&lt;Title&gt;Postpartum Weight Retention Risk Factors in a Taiwanese Cohort Study&lt;/Title&gt;&lt;Template&gt;Journal Article&lt;/Template&gt;&lt;Star&gt;0&lt;/Star&gt;&lt;Tag&gt;0&lt;/Tag&gt;&lt;Author&gt;Shao, H H; Hwang, L C; Huang, J P; Hsu, H Y&lt;/Author&gt;&lt;Year&gt;2018&lt;/Year&gt;&lt;Details&gt;&lt;_accession_num&gt;29402791&lt;/_accession_num&gt;&lt;_author_adr&gt;MacKay Memorial Hospital, Taipei City, Taiwan.&lt;/_author_adr&gt;&lt;_created&gt;64733395&lt;/_created&gt;&lt;_date&gt;2018-01-20&lt;/_date&gt;&lt;_date_display&gt;2018&lt;/_date_display&gt;&lt;_doi&gt;10.1159/000484934&lt;/_doi&gt;&lt;_impact_factor&gt;   3.942&lt;/_impact_factor&gt;&lt;_isbn&gt;1662-4033 (Electronic); 1662-4025 (Print); 1662-4025 (Linking)&lt;/_isbn&gt;&lt;_issue&gt;1&lt;/_issue&gt;&lt;_journal&gt;Obes Facts&lt;/_journal&gt;&lt;_keywords&gt;Gestational weight gain; Obesity; Postpartum weight retention&lt;/_keywords&gt;&lt;_language&gt;eng&lt;/_language&gt;&lt;_modified&gt;64734679&lt;/_modified&gt;&lt;_ori_publication&gt;© 2018 The Author(s) Published by S. Karger GmbH, Freiburg.&lt;/_ori_publication&gt;&lt;_pages&gt;37-45&lt;/_pages&gt;&lt;_subject_headings&gt;Adult; Asian People/statistics &amp;amp; numerical data; Body Mass Index; Breast Feeding/statistics &amp;amp; numerical data; Cesarean Section/statistics &amp;amp; numerical data; Cohort Studies; Female; Gestational Weight Gain/*physiology; Humans; Middle Aged; Obesity/epidemiology/etiology; Overweight/epidemiology/etiology; *Postpartum Period; Pregnancy; Pregnancy Complications/epidemiology; Risk Factors; Taiwan/epidemiology; Thinness/epidemiology/etiology; Weight Gain/*physiology; Young Adult&lt;/_subject_headings&gt;&lt;_tertiary_title&gt;Obesity facts&lt;/_tertiary_title&gt;&lt;_type_work&gt;Journal Article; Research Support, Non-U.S. Gov&amp;apos;t&lt;/_type_work&gt;&lt;_url&gt;http://www.ncbi.nlm.nih.gov/entrez/query.fcgi?cmd=Retrieve&amp;amp;db=pubmed&amp;amp;dopt=Abstract&amp;amp;list_uids=29402791&amp;amp;query_hl=1&lt;/_url&gt;&lt;_volume&gt;11&lt;/_volume&gt;&lt;/Details&gt;&lt;Extra&gt;&lt;DBUID&gt;{C818A046-6D8C-4B07-8765-4E05C48B46EA}&lt;/DBUID&gt;&lt;/Extra&gt;&lt;/Item&gt;&lt;/References&gt;&lt;/Group&gt;&lt;Group&gt;&lt;References&gt;&lt;Item&gt;&lt;ID&gt;9&lt;/ID&gt;&lt;UID&gt;{E241A996-43A5-4FE7-81A5-51D8910AA168}&lt;/UID&gt;&lt;Title&gt;The Role of Parity in Gestational Weight Gain and Postpartum Weight Retention&lt;/Title&gt;&lt;Template&gt;Journal Article&lt;/Template&gt;&lt;Star&gt;0&lt;/Star&gt;&lt;Tag&gt;0&lt;/Tag&gt;&lt;Author&gt;Hill, B; McPhie, S; Skouteris, H&lt;/Author&gt;&lt;Year&gt;2016&lt;/Year&gt;&lt;Details&gt;&lt;_accession_num&gt;26542383&lt;/_accession_num&gt;&lt;_author_adr&gt;School of Psychology, Deakin University, Burwood, Victoria, Australia. Electronic  address: briony.hill@deakin.edu.au.; School of Psychology, Deakin University, Burwood, Victoria, Australia.; School of Psychology, Deakin University, Burwood, Victoria, Australia.&lt;/_author_adr&gt;&lt;_collection_scope&gt;SSCI&lt;/_collection_scope&gt;&lt;_created&gt;64733395&lt;/_created&gt;&lt;_date&gt;2016-01-01&lt;/_date&gt;&lt;_date_display&gt;2016 Jan-Feb&lt;/_date_display&gt;&lt;_doi&gt;10.1016/j.whi.2015.09.012&lt;/_doi&gt;&lt;_impact_factor&gt;   3.027&lt;/_impact_factor&gt;&lt;_isbn&gt;1878-4321 (Electronic); 1049-3867 (Linking)&lt;/_isbn&gt;&lt;_issue&gt;1&lt;/_issue&gt;&lt;_journal&gt;Womens Health Issues&lt;/_journal&gt;&lt;_language&gt;eng&lt;/_language&gt;&lt;_modified&gt;64734679&lt;/_modified&gt;&lt;_ori_publication&gt;Copyright © 2016 Jacobs Institute of Women&amp;apos;s Health. Published by Elsevier Inc. _x000d__x000a_      All rights reserved.&lt;/_ori_publication&gt;&lt;_pages&gt;123-9&lt;/_pages&gt;&lt;_subject_headings&gt;Adult; Australia/epidemiology; *Body Mass Index; Body Weight/physiology; Female; Humans; Multivariate Analysis; Overweight/*epidemiology; Parity/*physiology; Postpartum Period; Pregnancy; Pregnancy Outcome; Prospective Studies; Risk Factors; *Weight Gain; Young Adult&lt;/_subject_headings&gt;&lt;_tertiary_title&gt;Women&amp;apos;s health issues : official publication of the Jacobs Institute of Women&amp;apos;s _x000d__x000a_      Health&lt;/_tertiary_title&gt;&lt;_type_work&gt;Journal Article&lt;/_type_work&gt;&lt;_url&gt;http://www.ncbi.nlm.nih.gov/entrez/query.fcgi?cmd=Retrieve&amp;amp;db=pubmed&amp;amp;dopt=Abstract&amp;amp;list_uids=26542383&amp;amp;query_hl=1&lt;/_url&gt;&lt;_volume&gt;26&lt;/_volume&gt;&lt;/Details&gt;&lt;Extra&gt;&lt;DBUID&gt;{C818A046-6D8C-4B07-8765-4E05C48B46EA}&lt;/DBUID&gt;&lt;/Extra&gt;&lt;/Item&gt;&lt;/References&gt;&lt;/Group&gt;&lt;Group&gt;&lt;References&gt;&lt;Item&gt;&lt;ID&gt;15&lt;/ID&gt;&lt;UID&gt;{C5428FCB-C584-45CE-A283-0188E8044204}&lt;/UID&gt;&lt;Title&gt;Obesity levels in a national cohort of women 9 months after delivery&lt;/Title&gt;&lt;Template&gt;Journal Article&lt;/Template&gt;&lt;Star&gt;0&lt;/Star&gt;&lt;Tag&gt;0&lt;/Tag&gt;&lt;Author&gt;Turner, M J; Layte, R&lt;/Author&gt;&lt;Year&gt;2013&lt;/Year&gt;&lt;Details&gt;&lt;_accession_num&gt;23583210&lt;/_accession_num&gt;&lt;_author_adr&gt;UCD Centre for Human Reproduction, Coombe Women and Infants University Hospital,  Dublin, Ireland. Michael.turner@ucd.ie&lt;/_author_adr&gt;&lt;_collection_scope&gt;SCI;SCIE&lt;/_collection_scope&gt;&lt;_created&gt;64733397&lt;/_created&gt;&lt;_date&gt;2013-08-01&lt;/_date&gt;&lt;_date_display&gt;2013 Aug&lt;/_date_display&gt;&lt;_doi&gt;10.1016/j.ajog.2013.04.020&lt;/_doi&gt;&lt;_impact_factor&gt;   8.661&lt;/_impact_factor&gt;&lt;_isbn&gt;1097-6868 (Electronic); 0002-9378 (Linking)&lt;/_isbn&gt;&lt;_issue&gt;2&lt;/_issue&gt;&lt;_journal&gt;Am J Obstet Gynecol&lt;/_journal&gt;&lt;_keywords&gt;maternal obesity; parity; postpartum weight&lt;/_keywords&gt;&lt;_language&gt;eng&lt;/_language&gt;&lt;_modified&gt;64734679&lt;/_modified&gt;&lt;_ori_publication&gt;Copyright © 2013 Mosby, Inc. All rights reserved.&lt;/_ori_publication&gt;&lt;_pages&gt;124.e1-7&lt;/_pages&gt;&lt;_subject_headings&gt;Adult; Body Mass Index; Cohort Studies; Female; Humans; Ireland; Logistic Models; Obesity/*etiology; Parity; Postpartum Period; Pregnancy; Pregnancy Complications/*etiology; Socioeconomic Factors; Weight Gain&lt;/_subject_headings&gt;&lt;_tertiary_title&gt;American journal of obstetrics and gynecology&lt;/_tertiary_title&gt;&lt;_type_work&gt;Journal Article; Research Support, Non-U.S. Gov&amp;apos;t&lt;/_type_work&gt;&lt;_url&gt;http://www.ncbi.nlm.nih.gov/entrez/query.fcgi?cmd=Retrieve&amp;amp;db=pubmed&amp;amp;dopt=Abstract&amp;amp;list_uids=23583210&amp;amp;query_hl=1&lt;/_url&gt;&lt;_volume&gt;209&lt;/_volume&gt;&lt;/Details&gt;&lt;Extra&gt;&lt;DBUID&gt;{C818A046-6D8C-4B07-8765-4E05C48B46EA}&lt;/DBUID&gt;&lt;/Extra&gt;&lt;/Item&gt;&lt;/References&gt;&lt;/Group&gt;&lt;/Citation&gt;_x000a_"/>
    <w:docVar w:name="NE.Ref{A4B94004-F90F-4876-BC4B-C01E05E8B188}" w:val=" ADDIN NE.Ref.{A4B94004-F90F-4876-BC4B-C01E05E8B188}&lt;Citation&gt;&lt;Group&gt;&lt;References&gt;&lt;Item&gt;&lt;ID&gt;1&lt;/ID&gt;&lt;UID&gt;{BF3D6C26-9E15-4EED-BD04-105C47CEC17E}&lt;/UID&gt;&lt;Title&gt;Trends in adult body-mass index in 200 countries from 1975 to 2014: a pooled  analysis of 1698 population-based measurement studies with 19·2 million  participants&lt;/Title&gt;&lt;Template&gt;Journal Article&lt;/Template&gt;&lt;Star&gt;0&lt;/Star&gt;&lt;Tag&gt;0&lt;/Tag&gt;&lt;Author/&gt;&lt;Year&gt;2016&lt;/Year&gt;&lt;Details&gt;&lt;_accession_num&gt;27115820&lt;/_accession_num&gt;&lt;_collection_scope&gt;SCI;SCIE&lt;/_collection_scope&gt;&lt;_created&gt;64733386&lt;/_created&gt;&lt;_date&gt;2016-04-02&lt;/_date&gt;&lt;_date_display&gt;2016 Apr 2&lt;/_date_display&gt;&lt;_doi&gt;10.1016/S0140-6736(16)30054-X&lt;/_doi&gt;&lt;_impact_factor&gt;  79.323&lt;/_impact_factor&gt;&lt;_isbn&gt;1474-547X (Electronic); 0140-6736 (Linking)&lt;/_isbn&gt;&lt;_issue&gt;10026&lt;/_issue&gt;&lt;_journal&gt;Lancet&lt;/_journal&gt;&lt;_language&gt;eng&lt;/_language&gt;&lt;_modified&gt;64734679&lt;/_modified&gt;&lt;_ori_publication&gt;Copyright © 2016 NCD Risk Factor Collaboration. Open Access article distributed _x000d__x000a_      under the terms of CC BY. Published by Elsevier Ltd.. All rights reserved.&lt;/_ori_publication&gt;&lt;_pages&gt;1377-1396&lt;/_pages&gt;&lt;_subject_headings&gt;Adolescent; Adult; Bayes Theorem; *Body Mass Index; Developed Countries; Developing Countries; Female; Forecasting; *Global Health; Humans; Male; Models, Statistical; Obesity/*epidemiology; Prevalence; Thinness/epidemiology; Young Adult&lt;/_subject_headings&gt;&lt;_tertiary_title&gt;Lancet (London, England)&lt;/_tertiary_title&gt;&lt;_type_work&gt;Journal Article; Meta-Analysis; Research Support, Non-U.S. Gov&amp;apos;t; Review&lt;/_type_work&gt;&lt;_url&gt;http://www.ncbi.nlm.nih.gov/entrez/query.fcgi?cmd=Retrieve&amp;amp;db=pubmed&amp;amp;dopt=Abstract&amp;amp;list_uids=27115820&amp;amp;query_hl=1&lt;/_url&gt;&lt;_volume&gt;387&lt;/_volume&gt;&lt;/Details&gt;&lt;Extra&gt;&lt;DBUID&gt;{C818A046-6D8C-4B07-8765-4E05C48B46EA}&lt;/DBUID&gt;&lt;/Extra&gt;&lt;/Item&gt;&lt;/References&gt;&lt;/Group&gt;&lt;/Citation&gt;_x000a_"/>
    <w:docVar w:name="NE.Ref{A4BF6B51-2F48-46F4-AF9E-CC9245DEC56C}" w:val=" ADDIN NE.Ref.{A4BF6B51-2F48-46F4-AF9E-CC9245DEC56C}&lt;Citation&gt;&lt;Group&gt;&lt;References&gt;&lt;Item&gt;&lt;ID&gt;566&lt;/ID&gt;&lt;UID&gt;{40550546-12C1-4D8F-8646-0F47AFA9619D}&lt;/UID&gt;&lt;Title&gt;Associations of Carotid Intima-Media Thickness and Plaque Heterogeneity With the  Risks of Stroke Subtypes and Coronary Artery Disease in the Japanese General  Population: The Circulatory Risk in Communities Study&lt;/Title&gt;&lt;Template&gt;Journal Article&lt;/Template&gt;&lt;Star&gt;1&lt;/Star&gt;&lt;Tag&gt;0&lt;/Tag&gt;&lt;Author&gt;Shimoda, S; Kitamura, A; Imano, H; Cui, R; Muraki, I; Yamagishi, K; Umesawa, M; Sankai, T; Hayama-Terada, M; Kubota, Y; Shimizu, Y; Okada, T; Kiyama, M; Iso, H&lt;/Author&gt;&lt;Year&gt;2020&lt;/Year&gt;&lt;Details&gt;&lt;_accession_num&gt;32990124&lt;/_accession_num&gt;&lt;_author_adr&gt;Public Health, Department of Social Medicine Osaka University Graduate School of  Medicine Osaka Japan.; Public Health, Department of Social Medicine Osaka University Graduate School of  Medicine Osaka Japan.; Research Team for Social Participation and Community Health Tokyo Metropolitan  Institute of Gerontology Tokyo Japan.; Osaka Center for Cancer and Cardiovascular Disease Prevention Osaka Japan.; Public Health, Department of Social Medicine Osaka University Graduate School of  Medicine Osaka Japan.; Osaka Center for Cancer and Cardiovascular Disease Prevention Osaka Japan.; Public Health, Department of Social Medicine Osaka University Graduate School of  Medicine Osaka Japan.; Public Health, Department of Social Medicine Osaka University Graduate School of  Medicine Osaka Japan.; Osaka Center for Cancer and Cardiovascular Disease Prevention Osaka Japan.; Department of Public Health Medicine, Faculty of Medicine, and Health Services  Research and Development Center University of Tsukuba Ibaraki Japan.; Ibaraki Western Medical Center Ibaraki Japan.; Department of Public Health Medicine, Faculty of Medicine, and Health Services  Research and Development Center University of Tsukuba Ibaraki Japan.; Department of Public Health Dokkyo Medical University Tochigi Japan.; Department of Public Health and Nursing, Faculty of Medicine University of  Tsukuba Ibaraki Japan.; Osaka Center for Cancer and Cardiovascular Disease Prevention Osaka Japan.; Yao Public Health Center, Yao City Office Osaka Japan.; Osaka Center for Cancer and Cardiovascular Disease Prevention Osaka Japan.; Osaka Center for Cancer and Cardiovascular Disease Prevention Osaka Japan.; Osaka Center for Cancer and Cardiovascular Disease Prevention Osaka Japan.; Osaka Center for Cancer and Cardiovascular Disease Prevention Osaka Japan.; Public Health, Department of Social Medicine Osaka University Graduate School of  Medicine Osaka Japan.&lt;/_author_adr&gt;&lt;_collection_scope&gt;SCIE&lt;/_collection_scope&gt;&lt;_created&gt;64551894&lt;/_created&gt;&lt;_date&gt;2020-10-20&lt;/_date&gt;&lt;_date_display&gt;2020 Oct 20&lt;/_date_display&gt;&lt;_doi&gt;10.1161/JAHA.120.017020&lt;/_doi&gt;&lt;_impact_factor&gt;   5.501&lt;/_impact_factor&gt;&lt;_isbn&gt;2047-9980 (Electronic); 2047-9980 (Linking)&lt;/_isbn&gt;&lt;_issue&gt;19&lt;/_issue&gt;&lt;_journal&gt;J Am Heart Assoc&lt;/_journal&gt;&lt;_keywords&gt;carotid intima‐media thickness; coronary artery disease; lacunar infarct; plaque; stroke&lt;/_keywords&gt;&lt;_language&gt;eng&lt;/_language&gt;&lt;_modified&gt;64552181&lt;/_modified&gt;&lt;_pages&gt;e017020&lt;/_pages&gt;&lt;_subject_headings&gt;Adult; Aged; Carotid Intima-Media Thickness/*adverse effects/statistics &amp;amp; numerical data; Carotid Stenosis/*complications/epidemiology; Coronary Artery Disease/epidemiology/*etiology; Female; Hemorrhagic Stroke/epidemiology/etiology; Humans; Ischemic Stroke/epidemiology/etiology; Japan/epidemiology; Male; Middle Aged; Proportional Hazards Models; Prospective Studies; Risk Factors; Stroke/epidemiology/*etiology&lt;/_subject_headings&gt;&lt;_tertiary_title&gt;Journal of the American Heart Association&lt;/_tertiary_title&gt;&lt;_type_work&gt;Journal Article; Research Support, Non-U.S. Gov&amp;apos;t&lt;/_type_work&gt;&lt;_url&gt;http://www.ncbi.nlm.nih.gov/entrez/query.fcgi?cmd=Retrieve&amp;amp;db=pubmed&amp;amp;dopt=Abstract&amp;amp;list_uids=32990124&amp;amp;query_hl=1&lt;/_url&gt;&lt;_volume&gt;9&lt;/_volume&gt;&lt;/Details&gt;&lt;Extra&gt;&lt;DBUID&gt;{F96A950B-833F-4880-A151-76DA2D6A2879}&lt;/DBUID&gt;&lt;/Extra&gt;&lt;/Item&gt;&lt;/References&gt;&lt;/Group&gt;&lt;/Citation&gt;_x000a_"/>
    <w:docVar w:name="NE.Ref{A54BA68E-3BD0-4103-805C-F2210D03C44C}" w:val=" ADDIN NE.Ref.{A54BA68E-3BD0-4103-805C-F2210D03C44C}&lt;Citation&gt;&lt;Group&gt;&lt;References&gt;&lt;Item&gt;&lt;ID&gt;598&lt;/ID&gt;&lt;UID&gt;{353B483A-3545-4A81-A783-C128C2C5949A}&lt;/UID&gt;&lt;Title&gt;High density lipoprotein as a protective factor against coronary heart disease.  The Framingham Study&lt;/Title&gt;&lt;Template&gt;Journal Article&lt;/Template&gt;&lt;Star&gt;0&lt;/Star&gt;&lt;Tag&gt;5&lt;/Tag&gt;&lt;Author&gt;Gordon, T; Castelli, W P; Hjortland, M C; Kannel, W B; Dawber, T R&lt;/Author&gt;&lt;Year&gt;1977&lt;/Year&gt;&lt;Details&gt;&lt;_accession_num&gt;193398&lt;/_accession_num&gt;&lt;_collection_scope&gt;SCI;SCIE&lt;/_collection_scope&gt;&lt;_created&gt;64599410&lt;/_created&gt;&lt;_date&gt;1977-05-01&lt;/_date&gt;&lt;_date_display&gt;1977 May&lt;/_date_display&gt;&lt;_doi&gt;10.1016/0002-9343(77)90874-9&lt;/_doi&gt;&lt;_impact_factor&gt;   4.965&lt;/_impact_factor&gt;&lt;_isbn&gt;0002-9343 (Print); 0002-9343 (Linking)&lt;/_isbn&gt;&lt;_issue&gt;5&lt;/_issue&gt;&lt;_journal&gt;Am J Med&lt;/_journal&gt;&lt;_language&gt;eng&lt;/_language&gt;&lt;_modified&gt;64601568&lt;/_modified&gt;&lt;_pages&gt;707-14&lt;/_pages&gt;&lt;_subject_headings&gt;Age Factors; Aged; Coronary Disease/*epidemiology; Female; Humans; Lipids/blood; Lipoproteins, HDL/*blood; Lipoproteins, LDL/blood; Male; Middle Aged; Risk; Sex Factors&lt;/_subject_headings&gt;&lt;_tertiary_title&gt;The American journal of medicine&lt;/_tertiary_title&gt;&lt;_type_work&gt;Journal Article&lt;/_type_work&gt;&lt;_url&gt;http://www.ncbi.nlm.nih.gov/entrez/query.fcgi?cmd=Retrieve&amp;amp;db=pubmed&amp;amp;dopt=Abstract&amp;amp;list_uids=193398&amp;amp;query_hl=1&lt;/_url&gt;&lt;_volume&gt;62&lt;/_volume&gt;&lt;/Details&gt;&lt;Extra&gt;&lt;DBUID&gt;{F96A950B-833F-4880-A151-76DA2D6A2879}&lt;/DBUID&gt;&lt;/Extra&gt;&lt;/Item&gt;&lt;/References&gt;&lt;/Group&gt;&lt;/Citation&gt;_x000a_"/>
    <w:docVar w:name="NE.Ref{A5563279-A763-40D1-A686-FB6FEFF6ED96}" w:val=" ADDIN NE.Ref.{A5563279-A763-40D1-A686-FB6FEFF6ED96}&lt;Citation&gt;&lt;Group&gt;&lt;References&gt;&lt;Item&gt;&lt;ID&gt;551&lt;/ID&gt;&lt;UID&gt;{3EBE7698-9ED4-4234-BF83-133CF508F7F9}&lt;/UID&gt;&lt;Title&gt;Obesity levels in a national cohort of women 9 months after delivery&lt;/Title&gt;&lt;Template&gt;Journal Article&lt;/Template&gt;&lt;Star&gt;1&lt;/Star&gt;&lt;Tag&gt;0&lt;/Tag&gt;&lt;Author&gt;Turner, M J; Layte, R&lt;/Author&gt;&lt;Year&gt;2013&lt;/Year&gt;&lt;Details&gt;&lt;_accessed&gt;64529076&lt;/_accessed&gt;&lt;_accession_num&gt;23583210&lt;/_accession_num&gt;&lt;_author_adr&gt;UCD Centre for Human Reproduction, Coombe Women and Infants University Hospital,  Dublin, Ireland. Michael.turner@ucd.ie&lt;/_author_adr&gt;&lt;_collection_scope&gt;SCI;SCIE&lt;/_collection_scope&gt;&lt;_created&gt;64525826&lt;/_created&gt;&lt;_date&gt;2013-08-01&lt;/_date&gt;&lt;_date_display&gt;2013 Aug&lt;/_date_display&gt;&lt;_doi&gt;10.1016/j.ajog.2013.04.020&lt;/_doi&gt;&lt;_impact_factor&gt;   8.661&lt;/_impact_factor&gt;&lt;_isbn&gt;1097-6868 (Electronic); 0002-9378 (Linking)&lt;/_isbn&gt;&lt;_issue&gt;2&lt;/_issue&gt;&lt;_journal&gt;Am J Obstet Gynecol&lt;/_journal&gt;&lt;_keywords&gt;maternal obesity; parity; postpartum weight&lt;/_keywords&gt;&lt;_language&gt;eng&lt;/_language&gt;&lt;_modified&gt;64530227&lt;/_modified&gt;&lt;_ori_publication&gt;Copyright © 2013 Mosby, Inc. All rights reserved.&lt;/_ori_publication&gt;&lt;_pages&gt;124.e1-7&lt;/_pages&gt;&lt;_subject_headings&gt;Adult; Body Mass Index; Cohort Studies; Female; Humans; Ireland; Logistic Models; Obesity/*etiology; Parity; Postpartum Period; Pregnancy; Pregnancy Complications/*etiology; Socioeconomic Factors; Weight Gain&lt;/_subject_headings&gt;&lt;_tertiary_title&gt;American journal of obstetrics and gynecology&lt;/_tertiary_title&gt;&lt;_type_work&gt;Journal Article; Research Support, Non-U.S. Gov&amp;apos;t&lt;/_type_work&gt;&lt;_url&gt;http://www.ncbi.nlm.nih.gov/entrez/query.fcgi?cmd=Retrieve&amp;amp;db=pubmed&amp;amp;dopt=Abstract&amp;amp;list_uids=23583210&amp;amp;query_hl=1&lt;/_url&gt;&lt;_volume&gt;209&lt;/_volume&gt;&lt;/Details&gt;&lt;Extra&gt;&lt;DBUID&gt;{F96A950B-833F-4880-A151-76DA2D6A2879}&lt;/DBUID&gt;&lt;/Extra&gt;&lt;/Item&gt;&lt;/References&gt;&lt;/Group&gt;&lt;/Citation&gt;_x000a_"/>
    <w:docVar w:name="NE.Ref{A7765451-D077-426F-AF42-A9FEC808521B}" w:val=" ADDIN NE.Ref.{A7765451-D077-426F-AF42-A9FEC808521B}&lt;Citation&gt;&lt;Group&gt;&lt;References&gt;&lt;Item&gt;&lt;ID&gt;583&lt;/ID&gt;&lt;UID&gt;{DD4159C2-EFCE-4F02-9DAF-5D94F90D2232}&lt;/UID&gt;&lt;Title&gt;Effects of weight loss interventions for adults who are obese on mortality,  cardiovascular disease, and cancer: systematic review and meta-analysis&lt;/Title&gt;&lt;Template&gt;Journal Article&lt;/Template&gt;&lt;Star&gt;0&lt;/Star&gt;&lt;Tag&gt;5&lt;/Tag&gt;&lt;Author&gt;Ma, C; Avenell, A; Bolland, M; Hudson, J; Stewart, F; Robertson, C; Sharma, P; Fraser, C; MacLennan, G&lt;/Author&gt;&lt;Year&gt;2017&lt;/Year&gt;&lt;Details&gt;&lt;_accession_num&gt;29138133&lt;/_accession_num&gt;&lt;_author_adr&gt;Health Services Research Unit, University of Aberdeen, Health Sciences Building,  Foresterhill, Aberdeen AB25 2ZD, Scotland, UK.; Health Services Research Unit, University of Aberdeen, Health Sciences Building,  Foresterhill, Aberdeen AB25 2ZD, Scotland, UK a.avenell@abdn.ac.uk.; Bone and Joint Research Group, Department of Medicine, University of Auckland,  Private Bag 92 019, Auckland 1142, New Zealand.; Health Services Research Unit, University of Aberdeen, Health Sciences Building,  Foresterhill, Aberdeen AB25 2ZD, Scotland, UK.; Health Services Research Unit, University of Aberdeen, Health Sciences Building,  Foresterhill, Aberdeen AB25 2ZD, Scotland, UK.; Health Services Research Unit, University of Aberdeen, Health Sciences Building,  Foresterhill, Aberdeen AB25 2ZD, Scotland, UK.; Health Services Research Unit, University of Aberdeen, Health Sciences Building,  Foresterhill, Aberdeen AB25 2ZD, Scotland, UK.; Health Services Research Unit, University of Aberdeen, Health Sciences Building,  Foresterhill, Aberdeen AB25 2ZD, Scotland, UK.; Centre for Healthcare Randomised Trials, University of Aberdeen, Health Sciences  Building, Foresterhill, Aberdeen AB25 2ZD, Scotland, UK.&lt;/_author_adr&gt;&lt;_created&gt;64587947&lt;/_created&gt;&lt;_date&gt;2017-11-14&lt;/_date&gt;&lt;_date_display&gt;2017 Nov 14&lt;/_date_display&gt;&lt;_doi&gt;10.1136/bmj.j4849&lt;/_doi&gt;&lt;_impact_factor&gt;  39.890&lt;/_impact_factor&gt;&lt;_isbn&gt;1756-1833 (Electronic); 0959-8138 (Print); 0959-8138 (Linking)&lt;/_isbn&gt;&lt;_journal&gt;BMJ&lt;/_journal&gt;&lt;_language&gt;eng&lt;/_language&gt;&lt;_modified&gt;64601631&lt;/_modified&gt;&lt;_ori_publication&gt;Published by the BMJ Publishing Group Limited. For permission to use (where not _x000d__x000a_      already granted under a licence) please go to _x000d__x000a_      http://group.bmj.com/group/rights-licensing/permissions.&lt;/_ori_publication&gt;&lt;_pages&gt;j4849&lt;/_pages&gt;&lt;_subject_headings&gt;Adult; Body Mass Index; Cardiovascular Diseases/mortality/prevention &amp;amp; control; *Diet, Reducing; Exercise/*physiology; Female; Humans; Male; Middle Aged; Neoplasms/mortality/prevention &amp;amp; control; Obesity/diagnosis/*mortality/*therapy; *Quality of Life; Randomized Controlled Trials as Topic; Survival Analysis; United Kingdom; Weight Loss/*physiology&lt;/_subject_headings&gt;&lt;_tertiary_title&gt;BMJ (Clinical research ed.)&lt;/_tertiary_title&gt;&lt;_type_work&gt;Journal Article; Meta-Analysis; Review; Systematic Review&lt;/_type_work&gt;&lt;_url&gt;http://www.ncbi.nlm.nih.gov/entrez/query.fcgi?cmd=Retrieve&amp;amp;db=pubmed&amp;amp;dopt=Abstract&amp;amp;list_uids=29138133&amp;amp;query_hl=1&lt;/_url&gt;&lt;_volume&gt;359&lt;/_volume&gt;&lt;/Details&gt;&lt;Extra&gt;&lt;DBUID&gt;{F96A950B-833F-4880-A151-76DA2D6A2879}&lt;/DBUID&gt;&lt;/Extra&gt;&lt;/Item&gt;&lt;/References&gt;&lt;/Group&gt;&lt;Group&gt;&lt;References&gt;&lt;Item&gt;&lt;ID&gt;584&lt;/ID&gt;&lt;UID&gt;{15380C24-3591-43A7-851D-0C26A4C9A14A}&lt;/UID&gt;&lt;Title&gt;Bariatric surgery and its impact on cardiovascular disease and mortality: a  systematic review and meta-analysis&lt;/Title&gt;&lt;Template&gt;Journal Article&lt;/Template&gt;&lt;Star&gt;0&lt;/Star&gt;&lt;Tag&gt;5&lt;/Tag&gt;&lt;Author&gt;Kwok, C S; Pradhan, A; Khan, M A; Anderson, S G; Keavney, B D; Myint, P K; Mamas, M A; Loke, Y K&lt;/Author&gt;&lt;Year&gt;2014&lt;/Year&gt;&lt;Details&gt;&lt;_accession_num&gt;24636546&lt;/_accession_num&gt;&lt;_author_adr&gt;Cardiovascular Institute, University of Manchester, Manchester, UK. Electronic  address: shingkwok@doctors.org.uk.; Royal Preston Hospital, Fulwood, Preston, UK.; Cardiovascular Institute, University of Manchester, Manchester, UK.; Cardiovascular Institute, University of Manchester, Manchester, UK.; Cardiovascular Institute, University of Manchester, Manchester, UK.; School of Medicine &amp;amp; Dentistry, University of Aberdeen, Foresterhill, Aberdeen,  UK.; Cardiovascular Institute, University of Manchester, Manchester, UK.; Norwich Medical School, University of East Anglia, Norwich, UK.&lt;/_author_adr&gt;&lt;_collection_scope&gt;SCI;SCIE&lt;/_collection_scope&gt;&lt;_created&gt;64588148&lt;/_created&gt;&lt;_date&gt;2014-04-15&lt;/_date&gt;&lt;_date_display&gt;2014 Apr 15&lt;/_date_display&gt;&lt;_doi&gt;10.1016/j.ijcard.2014.02.026&lt;/_doi&gt;&lt;_impact_factor&gt;   4.164&lt;/_impact_factor&gt;&lt;_isbn&gt;1874-1754 (Electronic); 0167-5273 (Linking)&lt;/_isbn&gt;&lt;_issue&gt;1&lt;/_issue&gt;&lt;_journal&gt;Int J Cardiol&lt;/_journal&gt;&lt;_keywords&gt;Bariatric surgery; Cardiovascular disease; Mortality; Myocardial infarction; Obesity; Stroke&lt;/_keywords&gt;&lt;_language&gt;eng&lt;/_language&gt;&lt;_modified&gt;64601631&lt;/_modified&gt;&lt;_ori_publication&gt;Copyright © 2014 Elsevier Ireland Ltd. All rights reserved.&lt;/_ori_publication&gt;&lt;_pages&gt;20-8&lt;/_pages&gt;&lt;_subject_headings&gt;Bariatric Surgery/*mortality; Cardiovascular Diseases/*mortality/*prevention &amp;amp; control; Humans; Mortality/trends; Obesity/mortality/surgery; Observational Studies as Topic/mortality; Prospective Studies; Retrospective Studies; Risk Factors; Stroke/mortality/prevention &amp;amp; control; Weight Loss/physiology&lt;/_subject_headings&gt;&lt;_tertiary_title&gt;International journal of cardiology&lt;/_tertiary_title&gt;&lt;_type_work&gt;Journal Article; Meta-Analysis; Review; Systematic Review&lt;/_type_work&gt;&lt;_url&gt;http://www.ncbi.nlm.nih.gov/entrez/query.fcgi?cmd=Retrieve&amp;amp;db=pubmed&amp;amp;dopt=Abstract&amp;amp;list_uids=24636546&amp;amp;query_hl=1&lt;/_url&gt;&lt;_volume&gt;173&lt;/_volume&gt;&lt;/Details&gt;&lt;Extra&gt;&lt;DBUID&gt;{F96A950B-833F-4880-A151-76DA2D6A2879}&lt;/DBUID&gt;&lt;/Extra&gt;&lt;/Item&gt;&lt;/References&gt;&lt;/Group&gt;&lt;Group&gt;&lt;References&gt;&lt;Item&gt;&lt;ID&gt;585&lt;/ID&gt;&lt;UID&gt;{B6F3CBFB-D26B-42B1-8944-66D6275B46E9}&lt;/UID&gt;&lt;Title&gt;Beneficial health effects of modest weight loss&lt;/Title&gt;&lt;Template&gt;Journal Article&lt;/Template&gt;&lt;Star&gt;0&lt;/Star&gt;&lt;Tag&gt;5&lt;/Tag&gt;&lt;Author&gt;Goldstein, D J&lt;/Author&gt;&lt;Year&gt;1992&lt;/Year&gt;&lt;Details&gt;&lt;_accession_num&gt;1322866&lt;/_accession_num&gt;&lt;_author_adr&gt;Lilly Research Laboratories, Eli Lilly and Company, Department of Pharmacology  and Toxicology, Indiana University School of Medicine, Indianapolis 46285.&lt;/_author_adr&gt;&lt;_created&gt;64588998&lt;/_created&gt;&lt;_date&gt;1992-06-01&lt;/_date&gt;&lt;_date_display&gt;1992 Jun&lt;/_date_display&gt;&lt;_issue&gt;6&lt;/_issue&gt;&lt;_journal&gt;Int J Obes Relat Metab Disord&lt;/_journal&gt;&lt;_language&gt;eng&lt;/_language&gt;&lt;_modified&gt;64601631&lt;/_modified&gt;&lt;_pages&gt;397-415&lt;/_pages&gt;&lt;_subject_headings&gt;Cardiovascular Diseases/*etiology; Diabetes Mellitus, Type 2/*etiology; Diet, Reducing; Humans; Hyperlipidemias/complications/etiology; Hypertension/*etiology; MEDLINE; Obesity/*complications/diet therapy; Risk Factors; *Weight Loss&lt;/_subject_headings&gt;&lt;_tertiary_title&gt;International journal of obesity and related metabolic disorders : journal of the _x000d__x000a_      International Association for the Study of Obesity&lt;/_tertiary_title&gt;&lt;_type_work&gt;Journal Article; Review&lt;/_type_work&gt;&lt;_url&gt;http://www.ncbi.nlm.nih.gov/entrez/query.fcgi?cmd=Retrieve&amp;amp;db=pubmed&amp;amp;dopt=Abstract&amp;amp;list_uids=1322866&amp;amp;query_hl=1&lt;/_url&gt;&lt;_volume&gt;16&lt;/_volume&gt;&lt;/Details&gt;&lt;Extra&gt;&lt;DBUID&gt;{F96A950B-833F-4880-A151-76DA2D6A2879}&lt;/DBUID&gt;&lt;/Extra&gt;&lt;/Item&gt;&lt;/References&gt;&lt;/Group&gt;&lt;Group&gt;&lt;References&gt;&lt;Item&gt;&lt;ID&gt;586&lt;/ID&gt;&lt;UID&gt;{99C45605-B23E-4F02-AE83-D4EEF6AE2307}&lt;/UID&gt;&lt;Title&gt;Is weight loss beneficial for reduction of morbidity and mortality? What is the  controversy about?&lt;/Title&gt;&lt;Template&gt;Journal Article&lt;/Template&gt;&lt;Star&gt;0&lt;/Star&gt;&lt;Tag&gt;5&lt;/Tag&gt;&lt;Author&gt;Nilsson, P M&lt;/Author&gt;&lt;Year&gt;2008&lt;/Year&gt;&lt;Details&gt;&lt;_accession_num&gt;18227497&lt;/_accession_num&gt;&lt;_author_adr&gt;Department of Clinical Sciences, University Hospital, S-205 02 Malmö, Sweden.  peter.nilsson@med.lu.se&lt;/_author_adr&gt;&lt;_collection_scope&gt;SCI;SCIE&lt;/_collection_scope&gt;&lt;_created&gt;64592370&lt;/_created&gt;&lt;_date&gt;2008-02-01&lt;/_date&gt;&lt;_date_display&gt;2008 Feb&lt;/_date_display&gt;&lt;_doi&gt;10.2337/dc08-s268&lt;/_doi&gt;&lt;_impact_factor&gt;  19.112&lt;/_impact_factor&gt;&lt;_isbn&gt;1935-5548 (Electronic); 0149-5992 (Linking)&lt;/_isbn&gt;&lt;_journal&gt;Diabetes Care&lt;/_journal&gt;&lt;_language&gt;eng&lt;/_language&gt;&lt;_modified&gt;64601631&lt;/_modified&gt;&lt;_pages&gt;S278-83&lt;/_pages&gt;&lt;_subject_headings&gt;Bariatric Surgery; Cannabinoids/antagonists &amp;amp; inhibitors; Cardiovascular Diseases/epidemiology/prevention &amp;amp; control; Diabetes Mellitus, Type 2/complications/*epidemiology/prevention &amp;amp; control; Diabetic Angiopathies/epidemiology/prevention &amp;amp; control; Humans; Life Style; Multicenter Studies as Topic; Obesity/epidemiology/mortality/*prevention &amp;amp; control/rehabilitation; Piperidines/therapeutic use; Power, Psychological; Pyrazoles/therapeutic use; Rimonabant; Self Concept; *Weight Loss&lt;/_subject_headings&gt;&lt;_tertiary_title&gt;Diabetes care&lt;/_tertiary_title&gt;&lt;_type_work&gt;Journal Article; Research Support, Non-U.S. Gov&amp;apos;t; Review&lt;/_type_work&gt;&lt;_url&gt;http://www.ncbi.nlm.nih.gov/entrez/query.fcgi?cmd=Retrieve&amp;amp;db=pubmed&amp;amp;dopt=Abstract&amp;amp;list_uids=18227497&amp;amp;query_hl=1&lt;/_url&gt;&lt;_volume&gt;31 Suppl 2&lt;/_volume&gt;&lt;/Details&gt;&lt;Extra&gt;&lt;DBUID&gt;{F96A950B-833F-4880-A151-76DA2D6A2879}&lt;/DBUID&gt;&lt;/Extra&gt;&lt;/Item&gt;&lt;/References&gt;&lt;/Group&gt;&lt;Group&gt;&lt;References&gt;&lt;Item&gt;&lt;ID&gt;587&lt;/ID&gt;&lt;UID&gt;{F910EAE8-E30D-4F42-8668-CF05B42417E1}&lt;/UID&gt;&lt;Title&gt;Differentiated long-term effects of intentional weight loss on diabetes and  hypertension&lt;/Title&gt;&lt;Template&gt;Journal Article&lt;/Template&gt;&lt;Star&gt;0&lt;/Star&gt;&lt;Tag&gt;5&lt;/Tag&gt;&lt;Author&gt;Sjöström, C D; Peltonen, M; Wedel, H; Sjöström, L&lt;/Author&gt;&lt;Year&gt;2000&lt;/Year&gt;&lt;Details&gt;&lt;_accession_num&gt;10904007&lt;/_accession_num&gt;&lt;_author_adr&gt;Departments of Anesthesiology and Intensive Care, University of Göteborg,  Göteborg, Sweden. david.sjostrom@medfak.gu.se&lt;/_author_adr&gt;&lt;_collection_scope&gt;SCI;SCIE&lt;/_collection_scope&gt;&lt;_created&gt;64592372&lt;/_created&gt;&lt;_date&gt;2000-07-01&lt;/_date&gt;&lt;_date_display&gt;2000 Jul&lt;/_date_display&gt;&lt;_doi&gt;10.1161/01.hyp.36.1.20&lt;/_doi&gt;&lt;_impact_factor&gt;  10.190&lt;/_impact_factor&gt;&lt;_isbn&gt;0194-911X (Print); 0194-911X (Linking)&lt;/_isbn&gt;&lt;_issue&gt;1&lt;/_issue&gt;&lt;_journal&gt;Hypertension&lt;/_journal&gt;&lt;_language&gt;eng&lt;/_language&gt;&lt;_modified&gt;64601631&lt;/_modified&gt;&lt;_pages&gt;20-5&lt;/_pages&gt;&lt;_subject_headings&gt;Adult; Diabetes Mellitus/*epidemiology; Female; Humans; Hypertension/*epidemiology; Incidence; Male; Middle Aged; Obesity/*complications; Prevalence; Prospective Studies; *Weight Loss&lt;/_subject_headings&gt;&lt;_tertiary_title&gt;Hypertension (Dallas, Tex. : 1979)&lt;/_tertiary_title&gt;&lt;_type_work&gt;Journal Article; Research Support, Non-U.S. Gov&amp;apos;t&lt;/_type_work&gt;&lt;_url&gt;http://www.ncbi.nlm.nih.gov/entrez/query.fcgi?cmd=Retrieve&amp;amp;db=pubmed&amp;amp;dopt=Abstract&amp;amp;list_uids=10904007&amp;amp;query_hl=1&lt;/_url&gt;&lt;_volume&gt;36&lt;/_volume&gt;&lt;/Details&gt;&lt;Extra&gt;&lt;DBUID&gt;{F96A950B-833F-4880-A151-76DA2D6A2879}&lt;/DBUID&gt;&lt;/Extra&gt;&lt;/Item&gt;&lt;/References&gt;&lt;/Group&gt;&lt;Group&gt;&lt;References&gt;&lt;Item&gt;&lt;ID&gt;603&lt;/ID&gt;&lt;UID&gt;{04012F9D-C859-405F-8A4D-08D6E61039A9}&lt;/UID&gt;&lt;Title&gt;A survey of lifestyle risk factors for cardiovascular health among young Hong  Kong Chinese women: implications for long-term cardiovascular health&lt;/Title&gt;&lt;Template&gt;Journal Article&lt;/Template&gt;&lt;Star&gt;0&lt;/Star&gt;&lt;Tag&gt;5&lt;/Tag&gt;&lt;Author&gt;Twinn, S F; Lee, G C; Thompson, D R&lt;/Author&gt;&lt;Year&gt;2010&lt;/Year&gt;&lt;Details&gt;&lt;_accession_num&gt;20092416&lt;/_accession_num&gt;&lt;_author_adr&gt;The Nethersole School of Nursing, The Chinese University of Hong Kong, Hong Kong  SAR, People&amp;apos;s Republic of China. sftwinn@cuhk.edu.hk&lt;/_author_adr&gt;&lt;_created&gt;64664607&lt;/_created&gt;&lt;_date&gt;2010-02-01&lt;/_date&gt;&lt;_date_display&gt;2010 Feb&lt;/_date_display&gt;&lt;_doi&gt;10.1089/jwh.2008.1318&lt;/_doi&gt;&lt;_impact_factor&gt;   2.681&lt;/_impact_factor&gt;&lt;_isbn&gt;1931-843X (Electronic); 1540-9996 (Linking)&lt;/_isbn&gt;&lt;_issue&gt;2&lt;/_issue&gt;&lt;_journal&gt;J Womens Health (Larchmt)&lt;/_journal&gt;&lt;_language&gt;eng&lt;/_language&gt;&lt;_modified&gt;64664608&lt;/_modified&gt;&lt;_pages&gt;289-95&lt;/_pages&gt;&lt;_subject_headings&gt;Adult; Alcohol Drinking/epidemiology; Cardiovascular Diseases/*etiology; Cross-Sectional Studies; Exercise; Female; Health Status; Hong Kong/epidemiology; Humans; *Life Style; Obesity/epidemiology; Risk Factors; Smoking/epidemiology; Surveys and Questionnaires; Thinness/epidemiology; Young Adult&lt;/_subject_headings&gt;&lt;_tertiary_title&gt;Journal of women&amp;apos;s health (2002)&lt;/_tertiary_title&gt;&lt;_type_work&gt;Journal Article&lt;/_type_work&gt;&lt;_url&gt;http://www.ncbi.nlm.nih.gov/entrez/query.fcgi?cmd=Retrieve&amp;amp;db=pubmed&amp;amp;dopt=Abstract&amp;amp;list_uids=20092416&amp;amp;query_hl=1&lt;/_url&gt;&lt;_volume&gt;19&lt;/_volume&gt;&lt;/Details&gt;&lt;Extra&gt;&lt;DBUID&gt;{F96A950B-833F-4880-A151-76DA2D6A2879}&lt;/DBUID&gt;&lt;/Extra&gt;&lt;/Item&gt;&lt;/References&gt;&lt;/Group&gt;&lt;/Citation&gt;_x000a_"/>
    <w:docVar w:name="NE.Ref{A8CA92BD-E5D8-4DFA-86DE-D5070274DC0B}" w:val=" ADDIN NE.Ref.{A8CA92BD-E5D8-4DFA-86DE-D5070274DC0B}&lt;Citation&gt;&lt;Group&gt;&lt;References&gt;&lt;Item&gt;&lt;ID&gt;1&lt;/ID&gt;&lt;UID&gt;{BF3D6C26-9E15-4EED-BD04-105C47CEC17E}&lt;/UID&gt;&lt;Title&gt;Trends in adult body-mass index in 200 countries from 1975 to 2014: a pooled  analysis of 1698 population-based measurement studies with 19·2 million  participants&lt;/Title&gt;&lt;Template&gt;Journal Article&lt;/Template&gt;&lt;Star&gt;0&lt;/Star&gt;&lt;Tag&gt;0&lt;/Tag&gt;&lt;Author/&gt;&lt;Year&gt;2016&lt;/Year&gt;&lt;Details&gt;&lt;_accession_num&gt;27115820&lt;/_accession_num&gt;&lt;_collection_scope&gt;SCI;SCIE&lt;/_collection_scope&gt;&lt;_created&gt;64733386&lt;/_created&gt;&lt;_date&gt;2016-04-02&lt;/_date&gt;&lt;_date_display&gt;2016 Apr 2&lt;/_date_display&gt;&lt;_doi&gt;10.1016/S0140-6736(16)30054-X&lt;/_doi&gt;&lt;_impact_factor&gt;  79.323&lt;/_impact_factor&gt;&lt;_isbn&gt;1474-547X (Electronic); 0140-6736 (Linking)&lt;/_isbn&gt;&lt;_issue&gt;10026&lt;/_issue&gt;&lt;_journal&gt;Lancet&lt;/_journal&gt;&lt;_language&gt;eng&lt;/_language&gt;&lt;_modified&gt;64734679&lt;/_modified&gt;&lt;_ori_publication&gt;Copyright © 2016 NCD Risk Factor Collaboration. Open Access article distributed _x000d__x000a_      under the terms of CC BY. Published by Elsevier Ltd.. All rights reserved.&lt;/_ori_publication&gt;&lt;_pages&gt;1377-1396&lt;/_pages&gt;&lt;_subject_headings&gt;Adolescent; Adult; Bayes Theorem; *Body Mass Index; Developed Countries; Developing Countries; Female; Forecasting; *Global Health; Humans; Male; Models, Statistical; Obesity/*epidemiology; Prevalence; Thinness/epidemiology; Young Adult&lt;/_subject_headings&gt;&lt;_tertiary_title&gt;Lancet (London, England)&lt;/_tertiary_title&gt;&lt;_type_work&gt;Journal Article; Meta-Analysis; Research Support, Non-U.S. Gov&amp;apos;t; Review&lt;/_type_work&gt;&lt;_url&gt;http://www.ncbi.nlm.nih.gov/entrez/query.fcgi?cmd=Retrieve&amp;amp;db=pubmed&amp;amp;dopt=Abstract&amp;amp;list_uids=27115820&amp;amp;query_hl=1&lt;/_url&gt;&lt;_volume&gt;387&lt;/_volume&gt;&lt;/Details&gt;&lt;Extra&gt;&lt;DBUID&gt;{C818A046-6D8C-4B07-8765-4E05C48B46EA}&lt;/DBUID&gt;&lt;/Extra&gt;&lt;/Item&gt;&lt;/References&gt;&lt;/Group&gt;&lt;/Citation&gt;_x000a_"/>
    <w:docVar w:name="NE.Ref{A93F86FD-AA17-4D9F-9DE6-6D3955918629}" w:val=" ADDIN NE.Ref.{A93F86FD-AA17-4D9F-9DE6-6D3955918629}&lt;Citation&gt;&lt;Group&gt;&lt;References&gt;&lt;Item&gt;&lt;ID&gt;530&lt;/ID&gt;&lt;UID&gt;{27CCE24E-D47A-4866-91AC-3D983B0B7FB5}&lt;/UID&gt;&lt;Title&gt;The role of postpartum weight retention in obesity among women: a review of the  evidence&lt;/Title&gt;&lt;Template&gt;Journal Article&lt;/Template&gt;&lt;Star&gt;1&lt;/Star&gt;&lt;Tag&gt;0&lt;/Tag&gt;&lt;Author&gt;Gore, S A; Brown, D M; West, D S&lt;/Author&gt;&lt;Year&gt;2003&lt;/Year&gt;&lt;Details&gt;&lt;_accessed&gt;64664558&lt;/_accessed&gt;&lt;_accession_num&gt;14534032&lt;/_accession_num&gt;&lt;_author_adr&gt;University of Alabama at Birmingham, USA.&lt;/_author_adr&gt;&lt;_collection_scope&gt;SSCI&lt;/_collection_scope&gt;&lt;_created&gt;64525134&lt;/_created&gt;&lt;_date&gt;2003-10-01&lt;/_date&gt;&lt;_date_display&gt;2003 Oct&lt;/_date_display&gt;&lt;_doi&gt;10.1207/S15324796ABM2602_07&lt;/_doi&gt;&lt;_impact_factor&gt;   4.908&lt;/_impact_factor&gt;&lt;_isbn&gt;0883-6612 (Print); 0883-6612 (Linking)&lt;/_isbn&gt;&lt;_issue&gt;2&lt;/_issue&gt;&lt;_journal&gt;Ann Behav Med&lt;/_journal&gt;&lt;_language&gt;eng&lt;/_language&gt;&lt;_modified&gt;64664558&lt;/_modified&gt;&lt;_pages&gt;149-59&lt;/_pages&gt;&lt;_subject_headings&gt;Adult; Behavior Therapy; Female; Humans; Minority Groups; Obesity/*etiology/prevention &amp;amp; control; Postpartum Period; *Pregnancy; Risk Factors; Smoking; *Weight Gain; Weight Loss&lt;/_subject_headings&gt;&lt;_tertiary_title&gt;Annals of behavioral medicine : a publication of the Society of Behavioral _x000d__x000a_      Medicine&lt;/_tertiary_title&gt;&lt;_type_work&gt;Journal Article; Review&lt;/_type_work&gt;&lt;_url&gt;http://www.ncbi.nlm.nih.gov/entrez/query.fcgi?cmd=Retrieve&amp;amp;db=pubmed&amp;amp;dopt=Abstract&amp;amp;list_uids=14534032&amp;amp;query_hl=1&lt;/_url&gt;&lt;_volume&gt;26&lt;/_volume&gt;&lt;/Details&gt;&lt;Extra&gt;&lt;DBUID&gt;{F96A950B-833F-4880-A151-76DA2D6A2879}&lt;/DBUID&gt;&lt;/Extra&gt;&lt;/Item&gt;&lt;/References&gt;&lt;/Group&gt;&lt;Group&gt;&lt;References&gt;&lt;Item&gt;&lt;ID&gt;535&lt;/ID&gt;&lt;UID&gt;{6E61AC54-26DE-465B-BCAF-85F9CB4C9F4D}&lt;/UID&gt;&lt;Title&gt;Postpartum Weight Retention Risk Factors in a Taiwanese Cohort Study&lt;/Title&gt;&lt;Template&gt;Journal Article&lt;/Template&gt;&lt;Star&gt;0&lt;/Star&gt;&lt;Tag&gt;0&lt;/Tag&gt;&lt;Author&gt;Shao, H H; Hwang, L C; Huang, J P; Hsu, H Y&lt;/Author&gt;&lt;Year&gt;2018&lt;/Year&gt;&lt;Details&gt;&lt;_accession_num&gt;29402791&lt;/_accession_num&gt;&lt;_author_adr&gt;MacKay Memorial Hospital, Taipei City, Taiwan.&lt;/_author_adr&gt;&lt;_created&gt;64525252&lt;/_created&gt;&lt;_date&gt;2018-01-20&lt;/_date&gt;&lt;_date_display&gt;2018&lt;/_date_display&gt;&lt;_doi&gt;10.1159/000484934&lt;/_doi&gt;&lt;_impact_factor&gt;   3.942&lt;/_impact_factor&gt;&lt;_isbn&gt;1662-4033 (Electronic); 1662-4025 (Print); 1662-4025 (Linking)&lt;/_isbn&gt;&lt;_issue&gt;1&lt;/_issue&gt;&lt;_journal&gt;Obes Facts&lt;/_journal&gt;&lt;_keywords&gt;Gestational weight gain; Obesity; Postpartum weight retention&lt;/_keywords&gt;&lt;_language&gt;eng&lt;/_language&gt;&lt;_modified&gt;64530391&lt;/_modified&gt;&lt;_ori_publication&gt;© 2018 The Author(s) Published by S. Karger GmbH, Freiburg.&lt;/_ori_publication&gt;&lt;_pages&gt;37-45&lt;/_pages&gt;&lt;_subject_headings&gt;Adult; Asians/statistics &amp;amp; numerical data; Body Mass Index; Breast Feeding/statistics &amp;amp; numerical data; Cesarean Section/statistics &amp;amp; numerical data; Cohort Studies; Female; Gestational Weight Gain/*physiology; Humans; Middle Aged; Obesity/epidemiology/etiology; Overweight/epidemiology/etiology; *Postpartum Period; Pregnancy; Pregnancy Complications/epidemiology; Risk Factors; Taiwan/epidemiology; Thinness/epidemiology/etiology; Weight Gain/*physiology; Young Adult&lt;/_subject_headings&gt;&lt;_tertiary_title&gt;Obesity facts&lt;/_tertiary_title&gt;&lt;_type_work&gt;Journal Article; Research Support, Non-U.S. Gov&amp;apos;t&lt;/_type_work&gt;&lt;_url&gt;http://www.ncbi.nlm.nih.gov/entrez/query.fcgi?cmd=Retrieve&amp;amp;db=pubmed&amp;amp;dopt=Abstract&amp;amp;list_uids=29402791&amp;amp;query_hl=1&lt;/_url&gt;&lt;_volume&gt;11&lt;/_volume&gt;&lt;/Details&gt;&lt;Extra&gt;&lt;DBUID&gt;{F96A950B-833F-4880-A151-76DA2D6A2879}&lt;/DBUID&gt;&lt;/Extra&gt;&lt;/Item&gt;&lt;/References&gt;&lt;/Group&gt;&lt;Group&gt;&lt;References&gt;&lt;Item&gt;&lt;ID&gt;541&lt;/ID&gt;&lt;UID&gt;{6A054FBF-659D-4DE2-BADA-DC582444B95D}&lt;/UID&gt;&lt;Title&gt;The Role of Parity in Gestational Weight Gain and Postpartum Weight Retention&lt;/Title&gt;&lt;Template&gt;Journal Article&lt;/Template&gt;&lt;Star&gt;1&lt;/Star&gt;&lt;Tag&gt;0&lt;/Tag&gt;&lt;Author&gt;Hill, B; McPhie, S; Skouteris, H&lt;/Author&gt;&lt;Year&gt;2016&lt;/Year&gt;&lt;Details&gt;&lt;_accession_num&gt;26542383&lt;/_accession_num&gt;&lt;_author_adr&gt;School of Psychology, Deakin University, Burwood, Victoria, Australia. Electronic  address: briony.hill@deakin.edu.au.; School of Psychology, Deakin University, Burwood, Victoria, Australia.; School of Psychology, Deakin University, Burwood, Victoria, Australia.&lt;/_author_adr&gt;&lt;_collection_scope&gt;SSCI&lt;/_collection_scope&gt;&lt;_created&gt;64525287&lt;/_created&gt;&lt;_date&gt;2016-01-01&lt;/_date&gt;&lt;_date_display&gt;2016 Jan-Feb&lt;/_date_display&gt;&lt;_doi&gt;10.1016/j.whi.2015.09.012&lt;/_doi&gt;&lt;_impact_factor&gt;   3.027&lt;/_impact_factor&gt;&lt;_isbn&gt;1878-4321 (Electronic); 1049-3867 (Linking)&lt;/_isbn&gt;&lt;_issue&gt;1&lt;/_issue&gt;&lt;_journal&gt;Womens Health Issues&lt;/_journal&gt;&lt;_language&gt;eng&lt;/_language&gt;&lt;_modified&gt;64525803&lt;/_modified&gt;&lt;_ori_publication&gt;Copyright © 2016 Jacobs Institute of Women&amp;apos;s Health. Published by Elsevier Inc. _x000d__x000a_      All rights reserved.&lt;/_ori_publication&gt;&lt;_pages&gt;123-9&lt;/_pages&gt;&lt;_subject_headings&gt;Adult; Australia/epidemiology; *Body Mass Index; Body Weight/physiology; Female; Humans; Multivariate Analysis; Overweight/*epidemiology; Parity/*physiology; Postpartum Period; Pregnancy; Pregnancy Outcome; Prospective Studies; Risk Factors; *Weight Gain; Young Adult&lt;/_subject_headings&gt;&lt;_tertiary_title&gt;Women&amp;apos;s health issues : official publication of the Jacobs Institute of Women&amp;apos;s _x000d__x000a_      Health&lt;/_tertiary_title&gt;&lt;_type_work&gt;Journal Article&lt;/_type_work&gt;&lt;_url&gt;http://www.ncbi.nlm.nih.gov/entrez/query.fcgi?cmd=Retrieve&amp;amp;db=pubmed&amp;amp;dopt=Abstract&amp;amp;list_uids=26542383&amp;amp;query_hl=1&lt;/_url&gt;&lt;_volume&gt;26&lt;/_volume&gt;&lt;/Details&gt;&lt;Extra&gt;&lt;DBUID&gt;{F96A950B-833F-4880-A151-76DA2D6A2879}&lt;/DBUID&gt;&lt;/Extra&gt;&lt;/Item&gt;&lt;/References&gt;&lt;/Group&gt;&lt;Group&gt;&lt;References&gt;&lt;Item&gt;&lt;ID&gt;551&lt;/ID&gt;&lt;UID&gt;{3EBE7698-9ED4-4234-BF83-133CF508F7F9}&lt;/UID&gt;&lt;Title&gt;Obesity levels in a national cohort of women 9 months after delivery&lt;/Title&gt;&lt;Template&gt;Journal Article&lt;/Template&gt;&lt;Star&gt;1&lt;/Star&gt;&lt;Tag&gt;0&lt;/Tag&gt;&lt;Author&gt;Turner, M J; Layte, R&lt;/Author&gt;&lt;Year&gt;2013&lt;/Year&gt;&lt;Details&gt;&lt;_accessed&gt;64529076&lt;/_accessed&gt;&lt;_accession_num&gt;23583210&lt;/_accession_num&gt;&lt;_author_adr&gt;UCD Centre for Human Reproduction, Coombe Women and Infants University Hospital,  Dublin, Ireland. Michael.turner@ucd.ie&lt;/_author_adr&gt;&lt;_collection_scope&gt;SCI;SCIE&lt;/_collection_scope&gt;&lt;_created&gt;64525826&lt;/_created&gt;&lt;_date&gt;2013-08-01&lt;/_date&gt;&lt;_date_display&gt;2013 Aug&lt;/_date_display&gt;&lt;_doi&gt;10.1016/j.ajog.2013.04.020&lt;/_doi&gt;&lt;_impact_factor&gt;   8.661&lt;/_impact_factor&gt;&lt;_isbn&gt;1097-6868 (Electronic); 0002-9378 (Linking)&lt;/_isbn&gt;&lt;_issue&gt;2&lt;/_issue&gt;&lt;_journal&gt;Am J Obstet Gynecol&lt;/_journal&gt;&lt;_keywords&gt;maternal obesity; parity; postpartum weight&lt;/_keywords&gt;&lt;_language&gt;eng&lt;/_language&gt;&lt;_modified&gt;64530227&lt;/_modified&gt;&lt;_ori_publication&gt;Copyright © 2013 Mosby, Inc. All rights reserved.&lt;/_ori_publication&gt;&lt;_pages&gt;124.e1-7&lt;/_pages&gt;&lt;_subject_headings&gt;Adult; Body Mass Index; Cohort Studies; Female; Humans; Ireland; Logistic Models; Obesity/*etiology; Parity; Postpartum Period; Pregnancy; Pregnancy Complications/*etiology; Socioeconomic Factors; Weight Gain&lt;/_subject_headings&gt;&lt;_tertiary_title&gt;American journal of obstetrics and gynecology&lt;/_tertiary_title&gt;&lt;_type_work&gt;Journal Article; Research Support, Non-U.S. Gov&amp;apos;t&lt;/_type_work&gt;&lt;_url&gt;http://www.ncbi.nlm.nih.gov/entrez/query.fcgi?cmd=Retrieve&amp;amp;db=pubmed&amp;amp;dopt=Abstract&amp;amp;list_uids=23583210&amp;amp;query_hl=1&lt;/_url&gt;&lt;_volume&gt;209&lt;/_volume&gt;&lt;/Details&gt;&lt;Extra&gt;&lt;DBUID&gt;{F96A950B-833F-4880-A151-76DA2D6A2879}&lt;/DBUID&gt;&lt;/Extra&gt;&lt;/Item&gt;&lt;/References&gt;&lt;/Group&gt;&lt;/Citation&gt;_x000a_"/>
    <w:docVar w:name="NE.Ref{A945AF9A-71F4-4296-A859-D7CD91A1E248}" w:val=" ADDIN NE.Ref.{A945AF9A-71F4-4296-A859-D7CD91A1E248}"/>
    <w:docVar w:name="NE.Ref{AAE35333-A63B-4B61-87A6-D6486A005AD0}" w:val=" ADDIN NE.Ref.{AAE35333-A63B-4B61-87A6-D6486A005AD0}&lt;Citation&gt;&lt;Group&gt;&lt;References&gt;&lt;Item&gt;&lt;ID&gt;602&lt;/ID&gt;&lt;UID&gt;{B6CC4CD5-F0BF-4902-82D2-1EDDB7165D06}&lt;/UID&gt;&lt;Title&gt;Trends in adult body-mass index in 200 countries from 1975 to 2014: a pooled  analysis of 1698 population-based measurement studies with 19·2 million  participants&lt;/Title&gt;&lt;Template&gt;Journal Article&lt;/Template&gt;&lt;Star&gt;0&lt;/Star&gt;&lt;Tag&gt;0&lt;/Tag&gt;&lt;Author/&gt;&lt;Year&gt;2016&lt;/Year&gt;&lt;Details&gt;&lt;_accessed&gt;64664558&lt;/_accessed&gt;&lt;_accession_num&gt;27115820&lt;/_accession_num&gt;&lt;_collection_scope&gt;SCI;SCIE&lt;/_collection_scope&gt;&lt;_created&gt;64664558&lt;/_created&gt;&lt;_date&gt;2016-04-02&lt;/_date&gt;&lt;_date_display&gt;2016 Apr 2&lt;/_date_display&gt;&lt;_doi&gt;10.1016/S0140-6736(16)30054-X&lt;/_doi&gt;&lt;_impact_factor&gt;  79.323&lt;/_impact_factor&gt;&lt;_isbn&gt;1474-547X (Electronic); 0140-6736 (Linking)&lt;/_isbn&gt;&lt;_issue&gt;10026&lt;/_issue&gt;&lt;_journal&gt;Lancet&lt;/_journal&gt;&lt;_language&gt;eng&lt;/_language&gt;&lt;_modified&gt;64664559&lt;/_modified&gt;&lt;_ori_publication&gt;Copyright © 2016 NCD Risk Factor Collaboration. Open Access article distributed _x000d__x000a_      under the terms of CC BY. Published by Elsevier Ltd.. All rights reserved.&lt;/_ori_publication&gt;&lt;_pages&gt;1377-1396&lt;/_pages&gt;&lt;_subject_headings&gt;Adolescent; Adult; Bayes Theorem; *Body Mass Index; Developed Countries; Developing Countries; Female; Forecasting; *Global Health; Humans; Male; Models, Statistical; Obesity/*epidemiology; Prevalence; Thinness/epidemiology; Young Adult&lt;/_subject_headings&gt;&lt;_tertiary_title&gt;Lancet (London, England)&lt;/_tertiary_title&gt;&lt;_type_work&gt;Journal Article; Meta-Analysis; Research Support, Non-U.S. Gov&amp;apos;t; Review&lt;/_type_work&gt;&lt;_url&gt;http://www.ncbi.nlm.nih.gov/entrez/query.fcgi?cmd=Retrieve&amp;amp;db=pubmed&amp;amp;dopt=Abstract&amp;amp;list_uids=27115820&amp;amp;query_hl=1&lt;/_url&gt;&lt;_volume&gt;387&lt;/_volume&gt;&lt;/Details&gt;&lt;Extra&gt;&lt;DBUID&gt;{F96A950B-833F-4880-A151-76DA2D6A2879}&lt;/DBUID&gt;&lt;/Extra&gt;&lt;/Item&gt;&lt;/References&gt;&lt;/Group&gt;&lt;/Citation&gt;_x000a_"/>
    <w:docVar w:name="NE.Ref{AD678FA4-848D-4C18-B342-D9F1335D2020}" w:val=" ADDIN NE.Ref.{AD678FA4-848D-4C18-B342-D9F1335D2020}&lt;Citation&gt;&lt;Group&gt;&lt;References&gt;&lt;Item&gt;&lt;ID&gt;3&lt;/ID&gt;&lt;UID&gt;{35D4BEDC-ED0A-4652-8B19-ECEC2869F844}&lt;/UID&gt;&lt;Title&gt;Epidemiology of gestational weight gain and body weight changes after pregnancy&lt;/Title&gt;&lt;Template&gt;Journal Article&lt;/Template&gt;&lt;Star&gt;0&lt;/Star&gt;&lt;Tag&gt;0&lt;/Tag&gt;&lt;Author&gt;Gunderson, E P; Abrams, B&lt;/Author&gt;&lt;Year&gt;2000&lt;/Year&gt;&lt;Details&gt;&lt;_accession_num&gt;11218377&lt;/_accession_num&gt;&lt;_author_adr&gt;Division of Public Health and Epidemiology, School of Public Health, University  of California, Berkeley, CA, USA. epg@dor.kaiser.org&lt;/_author_adr&gt;&lt;_collection_scope&gt;SCI;SCIE&lt;/_collection_scope&gt;&lt;_created&gt;64733389&lt;/_created&gt;&lt;_date&gt;2000-01-20&lt;/_date&gt;&lt;_date_display&gt;2000&lt;/_date_display&gt;&lt;_doi&gt;10.1093/oxfordjournals.epirev.a018038&lt;/_doi&gt;&lt;_impact_factor&gt;   6.222&lt;/_impact_factor&gt;&lt;_isbn&gt;0193-936X (Print); 0193-936X (Linking)&lt;/_isbn&gt;&lt;_issue&gt;2&lt;/_issue&gt;&lt;_journal&gt;Epidemiol Rev&lt;/_journal&gt;&lt;_language&gt;eng&lt;/_language&gt;&lt;_modified&gt;64734679&lt;/_modified&gt;&lt;_pages&gt;261-74&lt;/_pages&gt;&lt;_subject_headings&gt;Adolescent; Adult; Ethnicity; Female; Humans; Lactation; Obesity/economics/*epidemiology/etiology; *Postpartum Period; *Pregnancy; Pregnancy in Adolescence; Prevalence; Risk Factors; United States/epidemiology; *Weight Gain&lt;/_subject_headings&gt;&lt;_tertiary_title&gt;Epidemiologic reviews&lt;/_tertiary_title&gt;&lt;_type_work&gt;Journal Article; Research Support, Non-U.S. Gov&amp;apos;t; Research Support, U.S. Gov&amp;apos;t, Non-P.H.S.; Review&lt;/_type_work&gt;&lt;_url&gt;http://www.ncbi.nlm.nih.gov/entrez/query.fcgi?cmd=Retrieve&amp;amp;db=pubmed&amp;amp;dopt=Abstract&amp;amp;list_uids=11218377&amp;amp;query_hl=1&lt;/_url&gt;&lt;_volume&gt;22&lt;/_volume&gt;&lt;/Details&gt;&lt;Extra&gt;&lt;DBUID&gt;{C818A046-6D8C-4B07-8765-4E05C48B46EA}&lt;/DBUID&gt;&lt;/Extra&gt;&lt;/Item&gt;&lt;/References&gt;&lt;/Group&gt;&lt;Group&gt;&lt;References&gt;&lt;Item&gt;&lt;ID&gt;4&lt;/ID&gt;&lt;UID&gt;{97D476FD-6EFA-4030-9767-895E68ECC74A}&lt;/UID&gt;&lt;Title&gt;Pregnancy: a &amp;quot;teachable moment&amp;quot; for weight control and obesity prevention&lt;/Title&gt;&lt;Template&gt;Journal Article&lt;/Template&gt;&lt;Star&gt;0&lt;/Star&gt;&lt;Tag&gt;0&lt;/Tag&gt;&lt;Author&gt;Phelan, S&lt;/Author&gt;&lt;Year&gt;2010&lt;/Year&gt;&lt;Details&gt;&lt;_accession_num&gt;19683692&lt;/_accession_num&gt;&lt;_author_adr&gt;Department of Kinesiology, California Polytechnic State University, San Luis  Obispo, CA 93407-0386, USA. sphelan@calpoly.edu&lt;/_author_adr&gt;&lt;_collection_scope&gt;SCI;SCIE&lt;/_collection_scope&gt;&lt;_created&gt;64733394&lt;/_created&gt;&lt;_date&gt;2010-02-01&lt;/_date&gt;&lt;_date_display&gt;2010 Feb&lt;/_date_display&gt;&lt;_doi&gt;10.1016/j.ajog.2009.06.008&lt;/_doi&gt;&lt;_impact_factor&gt;   8.661&lt;/_impact_factor&gt;&lt;_isbn&gt;1097-6868 (Electronic); 0002-9378 (Print); 0002-9378 (Linking)&lt;/_isbn&gt;&lt;_issue&gt;2&lt;/_issue&gt;&lt;_journal&gt;Am J Obstet Gynecol&lt;/_journal&gt;&lt;_language&gt;eng&lt;/_language&gt;&lt;_modified&gt;64734679&lt;/_modified&gt;&lt;_ori_publication&gt;Copyright 2010 Mosby, Inc. All rights reserved.&lt;/_ori_publication&gt;&lt;_pages&gt;135.e1-8&lt;/_pages&gt;&lt;_subject_headings&gt;Exercise; Female; Humans; Obesity/*prevention &amp;amp; control; Patient Education as Topic; Postpartum Period; Pregnancy; Pregnancy Complications/*prevention &amp;amp; control; Prenatal Care; *Weight Gain&lt;/_subject_headings&gt;&lt;_tertiary_title&gt;American journal of obstetrics and gynecology&lt;/_tertiary_title&gt;&lt;_type_work&gt;Journal Article; Research Support, N.I.H., Extramural&lt;/_type_work&gt;&lt;_url&gt;http://www.ncbi.nlm.nih.gov/entrez/query.fcgi?cmd=Retrieve&amp;amp;db=pubmed&amp;amp;dopt=Abstract&amp;amp;list_uids=19683692&amp;amp;query_hl=1&lt;/_url&gt;&lt;_volume&gt;202&lt;/_volume&gt;&lt;/Details&gt;&lt;Extra&gt;&lt;DBUID&gt;{C818A046-6D8C-4B07-8765-4E05C48B46EA}&lt;/DBUID&gt;&lt;/Extra&gt;&lt;/Item&gt;&lt;/References&gt;&lt;/Group&gt;&lt;Group&gt;&lt;References&gt;&lt;Item&gt;&lt;ID&gt;5&lt;/ID&gt;&lt;UID&gt;{7DFA100E-712F-43A4-BB4F-02482AAA5DA8}&lt;/UID&gt;&lt;Title&gt;Postpartum weight retention risk factors and relationship to obesity at 1 year&lt;/Title&gt;&lt;Template&gt;Journal Article&lt;/Template&gt;&lt;Star&gt;0&lt;/Star&gt;&lt;Tag&gt;0&lt;/Tag&gt;&lt;Author&gt;Endres, L K; Straub, H; McKinney, C; Plunkett, B; Minkovitz, C S; Schetter, C D; Ramey, S; Wang, C; Hobel, C; Raju, T; Shalowitz, M U&lt;/Author&gt;&lt;Year&gt;2015&lt;/Year&gt;&lt;Details&gt;&lt;_accession_num&gt;25560116&lt;/_accession_num&gt;&lt;_author_adr&gt;Department of Obstetrics and Gynecology, NorthShore University HealthSystem,  Evanston, Illinois; the Department of Pediatrics, University of Chicago, Pritzker  School of Medicine, Chicago, Illinois; the Bloomberg School of Public Health,  Johns Hopkins University, Baltimore, Maryland; the Department of Psychology,  University of California-Los Angeles, Los Angeles, California; Virginia  Polytechnical Institute and State University, Roanoke, Virginia; and the Eunice  Kennedy Shriver National Institute of Child Health and Human Development,  Bethesda, Maryland.&lt;/_author_adr&gt;&lt;_collection_scope&gt;SCI;SCIE&lt;/_collection_scope&gt;&lt;_created&gt;64733394&lt;/_created&gt;&lt;_date&gt;2015-01-01&lt;/_date&gt;&lt;_date_display&gt;2015 Jan&lt;/_date_display&gt;&lt;_doi&gt;10.1097/AOG.0000000000000565&lt;/_doi&gt;&lt;_impact_factor&gt;   7.661&lt;/_impact_factor&gt;&lt;_isbn&gt;1873-233X (Electronic); 0029-7844 (Print); 0029-7844 (Linking)&lt;/_isbn&gt;&lt;_issue&gt;1&lt;/_issue&gt;&lt;_journal&gt;Obstet Gynecol&lt;/_journal&gt;&lt;_language&gt;eng&lt;/_language&gt;&lt;_modified&gt;64734679&lt;/_modified&gt;&lt;_pages&gt;144-152&lt;/_pages&gt;&lt;_subject_headings&gt;Adult; Body Mass Index; Breast Feeding; Exercise; Female; Humans; Obesity/*epidemiology/ethnology; *Postpartum Period; Pregnancy/*physiology; Prospective Studies; Socioeconomic Factors; Time Factors; *Weight Gain; *Weight Loss; Young Adult&lt;/_subject_headings&gt;&lt;_tertiary_title&gt;Obstetrics and gynecology&lt;/_tertiary_title&gt;&lt;_type_work&gt;Journal Article; Research Support, N.I.H., Extramural&lt;/_type_work&gt;&lt;_url&gt;http://www.ncbi.nlm.nih.gov/entrez/query.fcgi?cmd=Retrieve&amp;amp;db=pubmed&amp;amp;dopt=Abstract&amp;amp;list_uids=25560116&amp;amp;query_hl=1&lt;/_url&gt;&lt;_volume&gt;125&lt;/_volume&gt;&lt;/Details&gt;&lt;Extra&gt;&lt;DBUID&gt;{C818A046-6D8C-4B07-8765-4E05C48B46EA}&lt;/DBUID&gt;&lt;/Extra&gt;&lt;/Item&gt;&lt;/References&gt;&lt;/Group&gt;&lt;/Citation&gt;_x000a_"/>
    <w:docVar w:name="NE.Ref{AE566D1C-B8D9-4E7E-A4D6-2A59EAAFFCC5}" w:val=" ADDIN NE.Ref.{AE566D1C-B8D9-4E7E-A4D6-2A59EAAFFCC5}&lt;Citation&gt;&lt;Group&gt;&lt;References&gt;&lt;Item&gt;&lt;ID&gt;1&lt;/ID&gt;&lt;UID&gt;{BF3D6C26-9E15-4EED-BD04-105C47CEC17E}&lt;/UID&gt;&lt;Title&gt;Trends in adult body-mass index in 200 countries from 1975 to 2014: a pooled  analysis of 1698 population-based measurement studies with 19·2 million  participants&lt;/Title&gt;&lt;Template&gt;Journal Article&lt;/Template&gt;&lt;Star&gt;0&lt;/Star&gt;&lt;Tag&gt;0&lt;/Tag&gt;&lt;Author/&gt;&lt;Year&gt;2016&lt;/Year&gt;&lt;Details&gt;&lt;_accession_num&gt;27115820&lt;/_accession_num&gt;&lt;_collection_scope&gt;SCI;SCIE&lt;/_collection_scope&gt;&lt;_created&gt;64733386&lt;/_created&gt;&lt;_date&gt;2016-04-02&lt;/_date&gt;&lt;_date_display&gt;2016 Apr 2&lt;/_date_display&gt;&lt;_doi&gt;10.1016/S0140-6736(16)30054-X&lt;/_doi&gt;&lt;_impact_factor&gt;  79.323&lt;/_impact_factor&gt;&lt;_isbn&gt;1474-547X (Electronic); 0140-6736 (Linking)&lt;/_isbn&gt;&lt;_issue&gt;10026&lt;/_issue&gt;&lt;_journal&gt;Lancet&lt;/_journal&gt;&lt;_language&gt;eng&lt;/_language&gt;&lt;_modified&gt;64734679&lt;/_modified&gt;&lt;_ori_publication&gt;Copyright © 2016 NCD Risk Factor Collaboration. Open Access article distributed _x000d__x000a_      under the terms of CC BY. Published by Elsevier Ltd.. All rights reserved.&lt;/_ori_publication&gt;&lt;_pages&gt;1377-1396&lt;/_pages&gt;&lt;_subject_headings&gt;Adolescent; Adult; Bayes Theorem; *Body Mass Index; Developed Countries; Developing Countries; Female; Forecasting; *Global Health; Humans; Male; Models, Statistical; Obesity/*epidemiology; Prevalence; Thinness/epidemiology; Young Adult&lt;/_subject_headings&gt;&lt;_tertiary_title&gt;Lancet (London, England)&lt;/_tertiary_title&gt;&lt;_type_work&gt;Journal Article; Meta-Analysis; Research Support, Non-U.S. Gov&amp;apos;t; Review&lt;/_type_work&gt;&lt;_url&gt;http://www.ncbi.nlm.nih.gov/entrez/query.fcgi?cmd=Retrieve&amp;amp;db=pubmed&amp;amp;dopt=Abstract&amp;amp;list_uids=27115820&amp;amp;query_hl=1&lt;/_url&gt;&lt;_volume&gt;387&lt;/_volume&gt;&lt;/Details&gt;&lt;Extra&gt;&lt;DBUID&gt;{C818A046-6D8C-4B07-8765-4E05C48B46EA}&lt;/DBUID&gt;&lt;/Extra&gt;&lt;/Item&gt;&lt;/References&gt;&lt;/Group&gt;&lt;/Citation&gt;_x000a_"/>
    <w:docVar w:name="NE.Ref{B1C34744-24FD-491C-A58D-8224B6970472}" w:val=" ADDIN NE.Ref.{B1C34744-24FD-491C-A58D-8224B6970472}&lt;Citation&gt;&lt;Group&gt;&lt;References&gt;&lt;Item&gt;&lt;ID&gt;18&lt;/ID&gt;&lt;UID&gt;{4D15F0A7-FF2F-4FAB-9FF6-B6FD0277870D}&lt;/UID&gt;&lt;Title&gt;Carotid intima-media thickness and plaque in cardiovascular risk assessment&lt;/Title&gt;&lt;Template&gt;Journal Article&lt;/Template&gt;&lt;Star&gt;0&lt;/Star&gt;&lt;Tag&gt;0&lt;/Tag&gt;&lt;Author&gt;Naqvi, T Z; Lee, M S&lt;/Author&gt;&lt;Year&gt;2014&lt;/Year&gt;&lt;Details&gt;&lt;_accession_num&gt;25051948&lt;/_accession_num&gt;&lt;_author_adr&gt;Echocardiography Laboratory, Mayo Clinic, Scottsdale, Arizona; Cardiac  Noninvasive Laboratories, Keck School of Medicine, University of Southern  California, Los Angeles, California. Electronic address: naqvi.tasneem@mayo.edu.; Cardiac Noninvasive Laboratories, Keck School of Medicine, University of Southern  California, Los Angeles, California.&lt;/_author_adr&gt;&lt;_created&gt;64733398&lt;/_created&gt;&lt;_date&gt;2014-10-01&lt;/_date&gt;&lt;_date_display&gt;2014 Oct&lt;/_date_display&gt;&lt;_doi&gt;10.1016/j.jcmg.2013.11.014&lt;/_doi&gt;&lt;_isbn&gt;1876-7591 (Electronic); 1876-7591 (Linking)&lt;/_isbn&gt;&lt;_issue&gt;10&lt;/_issue&gt;&lt;_journal&gt;JACC Cardiovasc Imaging&lt;/_journal&gt;&lt;_keywords&gt;cardiovascular risk; carotid artery; intima-media thickness; plaque; ultrasound&lt;/_keywords&gt;&lt;_language&gt;eng&lt;/_language&gt;&lt;_modified&gt;64734680&lt;/_modified&gt;&lt;_ori_publication&gt;Copyright © 2014 American College of Cardiology Foundation. Published by Elsevier _x000d__x000a_      Inc. All rights reserved.&lt;/_ori_publication&gt;&lt;_pages&gt;1025-38&lt;/_pages&gt;&lt;_subject_headings&gt;Cardiovascular Diseases/*epidemiology/*pathology; Carotid Artery, Common/diagnostic imaging/pathology; Carotid Artery, Internal/diagnostic imaging/pathology; *Carotid Intima-Media Thickness; Carotid Stenosis/pathology; Humans; Imaging, Three-Dimensional; Prognosis; Risk Assessment&lt;/_subject_headings&gt;&lt;_tertiary_title&gt;JACC. Cardiovascular imaging&lt;/_tertiary_title&gt;&lt;_type_work&gt;Journal Article; Research Support, Non-U.S. Gov&amp;apos;t; Review&lt;/_type_work&gt;&lt;_url&gt;http://www.ncbi.nlm.nih.gov/entrez/query.fcgi?cmd=Retrieve&amp;amp;db=pubmed&amp;amp;dopt=Abstract&amp;amp;list_uids=25051948&amp;amp;query_hl=1&lt;/_url&gt;&lt;_volume&gt;7&lt;/_volume&gt;&lt;/Details&gt;&lt;Extra&gt;&lt;DBUID&gt;{C818A046-6D8C-4B07-8765-4E05C48B46EA}&lt;/DBUID&gt;&lt;/Extra&gt;&lt;/Item&gt;&lt;/References&gt;&lt;/Group&gt;&lt;/Citation&gt;_x000a_"/>
    <w:docVar w:name="NE.Ref{B3AE8A28-9E9A-4719-9897-9F1B6FC79E7C}" w:val=" ADDIN NE.Ref.{B3AE8A28-9E9A-4719-9897-9F1B6FC79E7C}&lt;Citation&gt;&lt;Group&gt;&lt;References&gt;&lt;Item&gt;&lt;ID&gt;1&lt;/ID&gt;&lt;UID&gt;{BF3D6C26-9E15-4EED-BD04-105C47CEC17E}&lt;/UID&gt;&lt;Title&gt;Trends in adult body-mass index in 200 countries from 1975 to 2014: a pooled  analysis of 1698 population-based measurement studies with 19·2 million  participants&lt;/Title&gt;&lt;Template&gt;Journal Article&lt;/Template&gt;&lt;Star&gt;0&lt;/Star&gt;&lt;Tag&gt;0&lt;/Tag&gt;&lt;Author/&gt;&lt;Year&gt;2016&lt;/Year&gt;&lt;Details&gt;&lt;_accession_num&gt;27115820&lt;/_accession_num&gt;&lt;_collection_scope&gt;SCI;SCIE&lt;/_collection_scope&gt;&lt;_created&gt;64733386&lt;/_created&gt;&lt;_date&gt;2016-04-02&lt;/_date&gt;&lt;_date_display&gt;2016 Apr 2&lt;/_date_display&gt;&lt;_doi&gt;10.1016/S0140-6736(16)30054-X&lt;/_doi&gt;&lt;_impact_factor&gt;  79.323&lt;/_impact_factor&gt;&lt;_isbn&gt;1474-547X (Electronic); 0140-6736 (Linking)&lt;/_isbn&gt;&lt;_issue&gt;10026&lt;/_issue&gt;&lt;_journal&gt;Lancet&lt;/_journal&gt;&lt;_language&gt;eng&lt;/_language&gt;&lt;_modified&gt;64734679&lt;/_modified&gt;&lt;_ori_publication&gt;Copyright © 2016 NCD Risk Factor Collaboration. Open Access article distributed _x000d__x000a_      under the terms of CC BY. Published by Elsevier Ltd.. All rights reserved.&lt;/_ori_publication&gt;&lt;_pages&gt;1377-1396&lt;/_pages&gt;&lt;_subject_headings&gt;Adolescent; Adult; Bayes Theorem; *Body Mass Index; Developed Countries; Developing Countries; Female; Forecasting; *Global Health; Humans; Male; Models, Statistical; Obesity/*epidemiology; Prevalence; Thinness/epidemiology; Young Adult&lt;/_subject_headings&gt;&lt;_tertiary_title&gt;Lancet (London, England)&lt;/_tertiary_title&gt;&lt;_type_work&gt;Journal Article; Meta-Analysis; Research Support, Non-U.S. Gov&amp;apos;t; Review&lt;/_type_work&gt;&lt;_url&gt;http://www.ncbi.nlm.nih.gov/entrez/query.fcgi?cmd=Retrieve&amp;amp;db=pubmed&amp;amp;dopt=Abstract&amp;amp;list_uids=27115820&amp;amp;query_hl=1&lt;/_url&gt;&lt;_volume&gt;387&lt;/_volume&gt;&lt;/Details&gt;&lt;Extra&gt;&lt;DBUID&gt;{C818A046-6D8C-4B07-8765-4E05C48B46EA}&lt;/DBUID&gt;&lt;/Extra&gt;&lt;/Item&gt;&lt;/References&gt;&lt;/Group&gt;&lt;/Citation&gt;_x000a_"/>
    <w:docVar w:name="NE.Ref{B404AE79-C5AF-430F-B8E1-FCFAA8DB485A}" w:val=" ADDIN NE.Ref.{B404AE79-C5AF-430F-B8E1-FCFAA8DB485A}&lt;Citation&gt;&lt;Group&gt;&lt;References&gt;&lt;Item&gt;&lt;ID&gt;12&lt;/ID&gt;&lt;UID&gt;{6EA2AB27-6117-43DA-99AB-63556D60A31A}&lt;/UID&gt;&lt;Title&gt;Health Effects of Overweight and Obesity in 195 Countries over 25 Years&lt;/Title&gt;&lt;Template&gt;Journal Article&lt;/Template&gt;&lt;Star&gt;0&lt;/Star&gt;&lt;Tag&gt;0&lt;/Tag&gt;&lt;Author&gt;Afshin, A; Forouzanfar, M H; Reitsma, M B; Sur, P; Estep, K; Lee, A; Marczak, L; Mokdad, A H; Moradi-Lakeh, M; Naghavi, M; Salama, J S; Vos, T; Abate, K H; Abbafati, C; Ahmed, M B; Al-Aly, Z; Alkerwi, A; Al-Raddadi, R; Amare, A T; Amberbir, A; Amegah, A K; Amini, E; Amrock, S M; Anjana, R M; Ärnlöv, J; Asayesh, H; Banerjee, A; Barac, A; Baye, E; Bennett, D A; Beyene, A S; Biadgilign, S; Biryukov, S; Bjertness, E; Boneya, D J; Campos-Nonato, I; Carrero, J J; Cecilio, P; Cercy, K; Ciobanu, L G; Cornaby, L; Damtew, S A; Dandona, L; Dandona, R; Dharmaratne, S D; Duncan, B B; Eshrati, B; Esteghamati, A; Feigin, V L; Fernandes, J C; Fürst, T; Gebrehiwot, T T; Gold, A; Gona, P N; Goto, A; Habtewold, T D; Hadush, K T; Hafezi-Nejad, N; Hay, S I; Horino, M; Islami, F; Kamal, R; Kasaeian, A; Katikireddi, S V; Kengne, A P; Kesavachandran, C N; Khader, Y S; Khang, Y H; Khubchandani, J; Kim, D; Kim, Y J; Kinfu, Y; Kosen, S; Ku, T; Defo, B K; Kumar, G A; Larson, H J; Leinsalu, M; Liang, X; Lim, S S; Liu, P; Lopez, A D; Lozano, R; Majeed, A; Malekzadeh, R; Malta, D C; Mazidi, M; McAlinden, C; McGarvey, S T; Mengistu, D T; Mensah, G A; Mensink, GBM; Mezgebe, H B; Mirrakhimov, E M; Mueller, U O; Noubiap, J J; Obermeyer, C M; Ogbo, F A; Owolabi, M O; Patton, G C; Pourmalek, F; Qorbani, M; Rafay, A; Rai, R K; Ranabhat, C L; Reinig, N; Safiri, S; Salomon, J A; Sanabria, J R; Santos, I S; Sartorius, B; Sawhney, M; Schmidhuber, J; Schutte, A E; Schmidt, M I; Sepanlou, S G; Shamsizadeh, M; Sheikhbahaei, S; Shin, M J; Shiri, R; Shiue, I; Roba, H S; Silva, DAS; Silverberg, J I; Singh, J A; Stranges, S; Swaminathan, S; Tabarés-Seisdedos, R; Tadese, F; Tedla, B A; Tegegne, B S; Terkawi, A S; Thakur, J S; Tonelli, M; Topor-Madry, R; Tyrovolas, S; Ukwaja, K N; Uthman, O A; Vaezghasemi, M; Vasankari, T; Vlassov, V V; Vollset, S E; Weiderpass, E; Werdecker, A; Wesana, J; Westerman, R; Yano, Y; Yonemoto, N; Yonga, G; Zaidi, Z; Zenebe, Z M; Zipkin, B; Murray, CJL&lt;/Author&gt;&lt;Year&gt;2017&lt;/Year&gt;&lt;Details&gt;&lt;_accession_num&gt;28604169&lt;/_accession_num&gt;&lt;_created&gt;64733396&lt;/_created&gt;&lt;_date&gt;2017-07-06&lt;/_date&gt;&lt;_date_display&gt;2017 Jul 6&lt;/_date_display&gt;&lt;_doi&gt;10.1056/NEJMoa1614362&lt;/_doi&gt;&lt;_impact_factor&gt;  91.253&lt;/_impact_factor&gt;&lt;_isbn&gt;1533-4406 (Electronic); 0028-4793 (Print); 0028-4793 (Linking)&lt;/_isbn&gt;&lt;_issue&gt;1&lt;/_issue&gt;&lt;_journal&gt;N Engl J Med&lt;/_journal&gt;&lt;_language&gt;eng&lt;/_language&gt;&lt;_modified&gt;64734679&lt;/_modified&gt;&lt;_pages&gt;13-27&lt;/_pages&gt;&lt;_subject_headings&gt;Adult; Body Mass Index; Cardiovascular Diseases/complications/mortality; Child; Female; Global Health; Humans; Male; Obesity/complications/*epidemiology; Overweight/complications/epidemiology; Pediatric Obesity/epidemiology; Prevalence&lt;/_subject_headings&gt;&lt;_tertiary_title&gt;The New England journal of medicine&lt;/_tertiary_title&gt;&lt;_type_work&gt;Journal Article&lt;/_type_work&gt;&lt;_url&gt;http://www.ncbi.nlm.nih.gov/entrez/query.fcgi?cmd=Retrieve&amp;amp;db=pubmed&amp;amp;dopt=Abstract&amp;amp;list_uids=28604169&amp;amp;query_hl=1&lt;/_url&gt;&lt;_volume&gt;377&lt;/_volume&gt;&lt;/Details&gt;&lt;Extra&gt;&lt;DBUID&gt;{C818A046-6D8C-4B07-8765-4E05C48B46EA}&lt;/DBUID&gt;&lt;/Extra&gt;&lt;/Item&gt;&lt;/References&gt;&lt;/Group&gt;&lt;/Citation&gt;_x000a_"/>
    <w:docVar w:name="NE.Ref{B8665CB8-D943-40AF-BB21-20EDF048E95D}" w:val=" ADDIN NE.Ref.{B8665CB8-D943-40AF-BB21-20EDF048E95D}&lt;Citation&gt;&lt;Group&gt;&lt;References&gt;&lt;Item&gt;&lt;ID&gt;22&lt;/ID&gt;&lt;UID&gt;{30C9B352-F32B-4FCC-9047-FD8F2C9DA1EA}&lt;/UID&gt;&lt;Title&gt;Parity and Components of the Metabolic Syndrome Among US Hispanic/Latina Women:  Results From the Hispanic Community Health Study/Study of Latinos&lt;/Title&gt;&lt;Template&gt;Journal Article&lt;/Template&gt;&lt;Star&gt;0&lt;/Star&gt;&lt;Tag&gt;0&lt;/Tag&gt;&lt;Author&gt;Vladutiu, C J; Siega-Riz, A M; Sotres-Alvarez, D; Stuebe, A M; Ni, A; Tabb, K M; Gallo, L C; Potter, J E; Heiss, G&lt;/Author&gt;&lt;Year&gt;2016&lt;/Year&gt;&lt;Details&gt;&lt;_accession_num&gt;26908862&lt;/_accession_num&gt;&lt;_author_adr&gt;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catherine_vladutiu@med.unc.edu.;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lt;/_author_adr&gt;&lt;_created&gt;64733433&lt;/_created&gt;&lt;_date&gt;2016-02-01&lt;/_date&gt;&lt;_date_display&gt;2016 Feb&lt;/_date_display&gt;&lt;_doi&gt;10.1161/CIRCOUTCOMES.115.002464&lt;/_doi&gt;&lt;_impact_factor&gt;   5.882&lt;/_impact_factor&gt;&lt;_isbn&gt;1941-7705 (Electronic); 1941-7713 (Print); 1941-7713 (Linking)&lt;/_isbn&gt;&lt;_issue&gt;2 Suppl 1&lt;/_issue&gt;&lt;_journal&gt;Circ Cardiovasc Qual Outcomes&lt;/_journal&gt;&lt;_keywords&gt;Hispanic Americans; cohort studies; metabolic syndrome X; parity; pregnancy&lt;/_keywords&gt;&lt;_language&gt;eng&lt;/_language&gt;&lt;_modified&gt;64734680&lt;/_modified&gt;&lt;_ori_publication&gt;© 2016 American Heart Association, Inc.&lt;/_ori_publication&gt;&lt;_pages&gt;S62-9&lt;/_pages&gt;&lt;_subject_headings&gt;Adult; Cardiovascular Diseases/prevention &amp;amp; control; Cholesterol, HDL/blood; Cohort Studies; Female; *Hispanic or Latino; Humans; Metabolic Syndrome/epidemiology/*ethnology; Middle Aged; *Parity; Pregnancy; Prevalence; Prospective Studies&lt;/_subject_headings&gt;&lt;_tertiary_title&gt;Circulation. Cardiovascular quality and outcomes&lt;/_tertiary_title&gt;&lt;_type_work&gt;Journal Article; Research Support, N.I.H., Extramural; Research Support, U.S. Gov&amp;apos;t, P.H.S.&lt;/_type_work&gt;&lt;_url&gt;http://www.ncbi.nlm.nih.gov/entrez/query.fcgi?cmd=Retrieve&amp;amp;db=pubmed&amp;amp;dopt=Abstract&amp;amp;list_uids=26908862&amp;amp;query_hl=1&lt;/_url&gt;&lt;_volume&gt;9&lt;/_volume&gt;&lt;/Details&gt;&lt;Extra&gt;&lt;DBUID&gt;{C818A046-6D8C-4B07-8765-4E05C48B46EA}&lt;/DBUID&gt;&lt;/Extra&gt;&lt;/Item&gt;&lt;/References&gt;&lt;/Group&gt;&lt;Group&gt;&lt;References&gt;&lt;Item&gt;&lt;ID&gt;23&lt;/ID&gt;&lt;UID&gt;{30E9423B-6829-4D66-82DD-82C5255205AF}&lt;/UID&gt;&lt;Title&gt;Childbearing may increase visceral adipose tissue independent of overall increase  in body fat&lt;/Title&gt;&lt;Template&gt;Journal Article&lt;/Template&gt;&lt;Star&gt;0&lt;/Star&gt;&lt;Tag&gt;0&lt;/Tag&gt;&lt;Author&gt;Gunderson, E P; Sternfeld, B; Wellons, M F; Whitmer, R A; Chiang, V; Quesenberry, CP Jr; Lewis, C E; Sidney, S&lt;/Author&gt;&lt;Year&gt;2008&lt;/Year&gt;&lt;Details&gt;&lt;_accession_num&gt;18356843&lt;/_accession_num&gt;&lt;_author_adr&gt;Division of Research, Epidemiology and Prevention Section, Kaiser Permanente,  Oakland, California, USA. epg@dor.kaiser.org&lt;/_author_adr&gt;&lt;_created&gt;64733438&lt;/_created&gt;&lt;_date&gt;2008-05-01&lt;/_date&gt;&lt;_date_display&gt;2008 May&lt;/_date_display&gt;&lt;_doi&gt;10.1038/oby.2008.40&lt;/_doi&gt;&lt;_impact_factor&gt;   5.002&lt;/_impact_factor&gt;&lt;_isbn&gt;1930-7381 (Print); 1930-7381 (Linking)&lt;/_isbn&gt;&lt;_issue&gt;5&lt;/_issue&gt;&lt;_journal&gt;Obesity (Silver Spring)&lt;/_journal&gt;&lt;_language&gt;eng&lt;/_language&gt;&lt;_modified&gt;64734680&lt;/_modified&gt;&lt;_pages&gt;1078-84&lt;/_pages&gt;&lt;_subject_headings&gt;Absorptiometry, Photon; Adipose Tissue/diagnostic imaging/*physiology; Adolescent; Adult; Body Composition/physiology; *Body Fat Distribution; Cohort Studies; Female; Humans; Intra-Abdominal Fat/diagnostic imaging/*physiology; Linear Models; Longitudinal Studies; Pregnancy/*physiology; Prospective Studies; Subcutaneous Fat, Abdominal/diagnostic imaging/physiology; Tomography, X-Ray Computed&lt;/_subject_headings&gt;&lt;_tertiary_title&gt;Obesity (Silver Spring, Md.)&lt;/_tertiary_title&gt;&lt;_type_work&gt;Journal Article; Multicenter Study; Research Support, N.I.H., Extramural&lt;/_type_work&gt;&lt;_url&gt;http://www.ncbi.nlm.nih.gov/entrez/query.fcgi?cmd=Retrieve&amp;amp;db=pubmed&amp;amp;dopt=Abstract&amp;amp;list_uids=18356843&amp;amp;query_hl=1&lt;/_url&gt;&lt;_volume&gt;16&lt;/_volume&gt;&lt;/Details&gt;&lt;Extra&gt;&lt;DBUID&gt;{C818A046-6D8C-4B07-8765-4E05C48B46EA}&lt;/DBUID&gt;&lt;/Extra&gt;&lt;/Item&gt;&lt;/References&gt;&lt;/Group&gt;&lt;Group&gt;&lt;References&gt;&lt;Item&gt;&lt;ID&gt;24&lt;/ID&gt;&lt;UID&gt;{8E60C611-0C6B-4353-B009-411868C4B2AE}&lt;/UID&gt;&lt;Title&gt;Long-term plasma lipid changes associated with a first birth: the Coronary Artery  Risk Development in Young Adults study&lt;/Title&gt;&lt;Template&gt;Journal Article&lt;/Template&gt;&lt;Star&gt;0&lt;/Star&gt;&lt;Tag&gt;0&lt;/Tag&gt;&lt;Author&gt;Gunderson, E P; Lewis, C E; Murtaugh, M A; Quesenberry, C P; Smith, West D; Sidney, S&lt;/Author&gt;&lt;Year&gt;2004&lt;/Year&gt;&lt;Details&gt;&lt;_accession_num&gt;15155287&lt;/_accession_num&gt;&lt;_author_adr&gt;Division of Research, Kaiser Permanente Medical Care Program, Northern  California, Oakland, CA 94612, USA. epg@dor.kaiser.org&lt;/_author_adr&gt;&lt;_collection_scope&gt;SCI;SCIE&lt;/_collection_scope&gt;&lt;_created&gt;64733439&lt;/_created&gt;&lt;_date&gt;2004-06-01&lt;/_date&gt;&lt;_date_display&gt;2004 Jun 1&lt;/_date_display&gt;&lt;_doi&gt;10.1093/aje/kwh146&lt;/_doi&gt;&lt;_impact_factor&gt;   4.897&lt;/_impact_factor&gt;&lt;_isbn&gt;0002-9262 (Print); 1476-6256 (Electronic); 0002-9262 (Linking)&lt;/_isbn&gt;&lt;_issue&gt;11&lt;/_issue&gt;&lt;_journal&gt;Am J Epidemiol&lt;/_journal&gt;&lt;_language&gt;eng&lt;/_language&gt;&lt;_modified&gt;64734680&lt;/_modified&gt;&lt;_pages&gt;1028-39&lt;/_pages&gt;&lt;_subject_headings&gt;Adolescent; Adult; Black People/statistics &amp;amp; numerical data; Body Mass Index; Cardiovascular Diseases/etiology; Chi-Square Distribution; Female; Humans; Linear Models; Lipids/*blood; Longitudinal Studies; Parity; Pregnancy/*blood; Prospective Studies; Risk Factors; Time Factors; White People/statistics &amp;amp; numerical data&lt;/_subject_headings&gt;&lt;_tertiary_title&gt;American journal of epidemiology&lt;/_tertiary_title&gt;&lt;_type_work&gt;Journal Article; Multicenter Study; Research Support, U.S. Gov&amp;apos;t, P.H.S.&lt;/_type_work&gt;&lt;_url&gt;http://www.ncbi.nlm.nih.gov/entrez/query.fcgi?cmd=Retrieve&amp;amp;db=pubmed&amp;amp;dopt=Abstract&amp;amp;list_uids=15155287&amp;amp;query_hl=1&lt;/_url&gt;&lt;_volume&gt;159&lt;/_volume&gt;&lt;/Details&gt;&lt;Extra&gt;&lt;DBUID&gt;{C818A046-6D8C-4B07-8765-4E05C48B46EA}&lt;/DBUID&gt;&lt;/Extra&gt;&lt;/Item&gt;&lt;/References&gt;&lt;/Group&gt;&lt;Group&gt;&lt;References&gt;&lt;Item&gt;&lt;ID&gt;25&lt;/ID&gt;&lt;UID&gt;{D1283544-CD34-4FEE-9458-0ABE0214E422}&lt;/UID&gt;&lt;Title&gt;The relationship between multiparity and lipoprotein levels in older women&lt;/Title&gt;&lt;Template&gt;Journal Article&lt;/Template&gt;&lt;Star&gt;0&lt;/Star&gt;&lt;Tag&gt;0&lt;/Tag&gt;&lt;Author&gt;Kritz-Silverstein, D; Barrett-Connor, E; Wingard, D L&lt;/Author&gt;&lt;Year&gt;1992&lt;/Year&gt;&lt;Details&gt;&lt;_accession_num&gt;1619455&lt;/_accession_num&gt;&lt;_author_adr&gt;Department of Community and Family Medicine, University of California, San Diego,  La Jolla 92093.&lt;/_author_adr&gt;&lt;_collection_scope&gt;SCI;SCIE&lt;/_collection_scope&gt;&lt;_created&gt;64733447&lt;/_created&gt;&lt;_date&gt;1992-07-01&lt;/_date&gt;&lt;_date_display&gt;1992 Jul&lt;/_date_display&gt;&lt;_doi&gt;10.1016/0895-4356(92)90053-p&lt;/_doi&gt;&lt;_impact_factor&gt;   6.437&lt;/_impact_factor&gt;&lt;_isbn&gt;0895-4356 (Print); 0895-4356 (Linking)&lt;/_isbn&gt;&lt;_issue&gt;7&lt;/_issue&gt;&lt;_journal&gt;J Clin Epidemiol&lt;/_journal&gt;&lt;_language&gt;eng&lt;/_language&gt;&lt;_modified&gt;64734680&lt;/_modified&gt;&lt;_pages&gt;761-7&lt;/_pages&gt;&lt;_subject_headings&gt;Aged; Aged, 80 and over; Analysis of Variance; Anthropometry; California; Cholesterol, HDL/blood; Cholesterol, LDL/blood; Female; Humans; Lipoproteins/*blood; Middle Aged; *Parity; Regression Analysis; Triglycerides/blood&lt;/_subject_headings&gt;&lt;_tertiary_title&gt;Journal of clinical epidemiology&lt;/_tertiary_title&gt;&lt;_type_work&gt;Journal Article; Research Support, U.S. Gov&amp;apos;t, P.H.S.&lt;/_type_work&gt;&lt;_url&gt;http://www.ncbi.nlm.nih.gov/entrez/query.fcgi?cmd=Retrieve&amp;amp;db=pubmed&amp;amp;dopt=Abstract&amp;amp;list_uids=1619455&amp;amp;query_hl=1&lt;/_url&gt;&lt;_volume&gt;45&lt;/_volume&gt;&lt;/Details&gt;&lt;Extra&gt;&lt;DBUID&gt;{C818A046-6D8C-4B07-8765-4E05C48B46EA}&lt;/DBUID&gt;&lt;/Extra&gt;&lt;/Item&gt;&lt;/References&gt;&lt;/Group&gt;&lt;Group&gt;&lt;References&gt;&lt;Item&gt;&lt;ID&gt;26&lt;/ID&gt;&lt;UID&gt;{53D0F8DC-7128-4829-B5D4-75297F730131}&lt;/UID&gt;&lt;Title&gt;Association of maternal short sleep duration with adiposity and cardiometabolic  status at 3 years postpartum&lt;/Title&gt;&lt;Template&gt;Journal Article&lt;/Template&gt;&lt;Star&gt;0&lt;/Star&gt;&lt;Tag&gt;0&lt;/Tag&gt;&lt;Author&gt;Taveras, E M; Rifas-Shiman, S L; Rich-Edwards, J W; Gunderson, E P; Stuebe, A M; Mantzoros, C S&lt;/Author&gt;&lt;Year&gt;2011&lt;/Year&gt;&lt;Details&gt;&lt;_accession_num&gt;20489690&lt;/_accession_num&gt;&lt;_author_adr&gt;Obesity Prevention Program, Department of Population Medicine, Harvard Pilgrim  Health Care Institute and Harvard Medical School, Boston, Massachusetts, USA.  Elsie_Taveras@hphc.org&lt;/_author_adr&gt;&lt;_created&gt;64733450&lt;/_created&gt;&lt;_date&gt;2011-01-01&lt;/_date&gt;&lt;_date_display&gt;2011 Jan&lt;/_date_display&gt;&lt;_doi&gt;10.1038/oby.2010.117&lt;/_doi&gt;&lt;_impact_factor&gt;   5.002&lt;/_impact_factor&gt;&lt;_isbn&gt;1930-739X (Electronic); 1930-7381 (Print); 1930-7381 (Linking)&lt;/_isbn&gt;&lt;_issue&gt;1&lt;/_issue&gt;&lt;_journal&gt;Obesity (Silver Spring)&lt;/_journal&gt;&lt;_language&gt;eng&lt;/_language&gt;&lt;_modified&gt;64734680&lt;/_modified&gt;&lt;_pages&gt;171-8&lt;/_pages&gt;&lt;_subject_headings&gt;Adiposity/*physiology; Adult; Body Mass Index; Body Weight/physiology; Breast Feeding/epidemiology; Cardiovascular System/metabolism/*physiopathology; Cohort Studies; Female; Follow-Up Studies; Humans; Obesity/complications/etiology/metabolism/physiopathology; Overweight/epidemiology; Postpartum Period/metabolism/*physiology; Sleep/physiology; Sleep Deprivation/*complications/*metabolism/*physiopathology; Time Factors&lt;/_subject_headings&gt;&lt;_tertiary_title&gt;Obesity (Silver Spring, Md.)&lt;/_tertiary_title&gt;&lt;_type_work&gt;Journal Article; Research Support, N.I.H., Extramural&lt;/_type_work&gt;&lt;_url&gt;http://www.ncbi.nlm.nih.gov/entrez/query.fcgi?cmd=Retrieve&amp;amp;db=pubmed&amp;amp;dopt=Abstract&amp;amp;list_uids=20489690&amp;amp;query_hl=1&lt;/_url&gt;&lt;_volume&gt;19&lt;/_volume&gt;&lt;/Details&gt;&lt;Extra&gt;&lt;DBUID&gt;{C818A046-6D8C-4B07-8765-4E05C48B46EA}&lt;/DBUID&gt;&lt;/Extra&gt;&lt;/Item&gt;&lt;/References&gt;&lt;/Group&gt;&lt;Group&gt;&lt;References&gt;&lt;Item&gt;&lt;ID&gt;27&lt;/ID&gt;&lt;UID&gt;{A1B99EB9-D37A-42AA-AC66-28B37B58E356}&lt;/UID&gt;&lt;Title&gt;Biological changes in the pregnancy-postpartum period and subsequent  cardiometabolic risk-UPSIDE MOMS: A research protocol&lt;/Title&gt;&lt;Template&gt;Journal Article&lt;/Template&gt;&lt;Star&gt;0&lt;/Star&gt;&lt;Tag&gt;0&lt;/Tag&gt;&lt;Author&gt;Groth, S W; Fernandez, I D; Block, R C; Thurston, S W; Wong, E; Brunner, J; Mayo, N; Kapula, N; Yu, Y; Meng, Y; Yeh, K L; Kinkade, C W; Thornburg, L L; O&amp;apos;Connor, T G; Barrett, E S&lt;/Author&gt;&lt;Year&gt;2021&lt;/Year&gt;&lt;Details&gt;&lt;_accession_num&gt;33993510&lt;/_accession_num&gt;&lt;_author_adr&gt;School of Nursing, University of Rochester, Rochester, New York, USA.; Department of Public Health Sciences, University of Rochester School of Medicine  and Dentistry, Rochester, New York, USA.; Departments of Public Health Sciences, Cardiology, and Medicine, University of  Rochester, Rochester, New York, USA.; Department of Biostatistics and Computational Biology, University of Rochester,  Rochester, New York, USA.; School of Nursing, University of Rochester, Rochester, New York, USA.; Department of Obstetrics and Gynecology, University of Rochester Medical Center,  Rochester, New York, USA.; Department of Public Health Sciences, University of Rochester School of Medicine  and Dentistry, Rochester, New York, USA.; Department of Obstetrics and Gynecology, University of Rochester Medical Center,  Rochester, New York, USA.; School of Nursing, University of Rochester, Rochester, New York, USA.; School of Nursing, University of Rochester, Rochester, New York, USA.; School of Nursing, University of Rochester, Rochester, New York, USA.; Exposure Science and Epidemiology, Environmental and Occupational Health Sciences  Institute, Rutgers University, New Brunswick, New Jersey, USA.; Department of Obstetrics and Gynecology, University of Rochester Medical Center,  Rochester, New York, USA.; Departments of Psychiatry, Psychology, Neuroscience, Obstetrics and Gynecology,  and Wynne Center for Family Research, University of Rochester, Rochester, New  York, USA.; Department of Obstetrics and Gynecology, University of Rochester Medical Center,  Rochester, New York, USA.; Exposure Science and Epidemiology, Environmental and Occupational Health Sciences  Institute, Rutgers University, New Brunswick, New Jersey, USA.; Department of Biostatistics and Epidemiology, Rutgers School of Public Health,  Piscataway, New Jersey, USA.&lt;/_author_adr&gt;&lt;_collection_scope&gt;SCIE;SSCI&lt;/_collection_scope&gt;&lt;_created&gt;64733452&lt;/_created&gt;&lt;_date&gt;2021-08-01&lt;/_date&gt;&lt;_date_display&gt;2021 Aug&lt;/_date_display&gt;&lt;_doi&gt;10.1002/nur.22141&lt;/_doi&gt;&lt;_impact_factor&gt;   2.228&lt;/_impact_factor&gt;&lt;_isbn&gt;1098-240X (Electronic); 0160-6891 (Print); 0160-6891 (Linking)&lt;/_isbn&gt;&lt;_issue&gt;4&lt;/_issue&gt;&lt;_journal&gt;Res Nurs Health&lt;/_journal&gt;&lt;_keywords&gt;biological profile; cardiometabolic risk; childbearing women; maternal weight; postpartum; pregnancy adaptation&lt;/_keywords&gt;&lt;_language&gt;eng&lt;/_language&gt;&lt;_modified&gt;64734680&lt;/_modified&gt;&lt;_ori_publication&gt;© 2021 Wiley Periodicals LLC.&lt;/_ori_publication&gt;&lt;_pages&gt;608-619&lt;/_pages&gt;&lt;_subject_headings&gt;Adult; *Breast Feeding; *Cardiometabolic Risk Factors; Diet; *Exercise; Female; Health Behavior; Humans; Infant; Longitudinal Studies; Mothers/*statistics &amp;amp; numerical data; *Postpartum Period/blood; Pregnancy; Prospective Studies; Sleep/physiology; Weight Gain/*physiology; Young Adult&lt;/_subject_headings&gt;&lt;_tertiary_title&gt;Research in nursing &amp;amp; health&lt;/_tertiary_title&gt;&lt;_type_work&gt;Journal Article; Research Support, N.I.H., Extramural; Research Support, Non-U.S. Gov&amp;apos;t&lt;/_type_work&gt;&lt;_url&gt;http://www.ncbi.nlm.nih.gov/entrez/query.fcgi?cmd=Retrieve&amp;amp;db=pubmed&amp;amp;dopt=Abstract&amp;amp;list_uids=33993510&amp;amp;query_hl=1&lt;/_url&gt;&lt;_volume&gt;44&lt;/_volume&gt;&lt;/Details&gt;&lt;Extra&gt;&lt;DBUID&gt;{C818A046-6D8C-4B07-8765-4E05C48B46EA}&lt;/DBUID&gt;&lt;/Extra&gt;&lt;/Item&gt;&lt;/References&gt;&lt;/Group&gt;&lt;Group&gt;&lt;References&gt;&lt;Item&gt;&lt;ID&gt;28&lt;/ID&gt;&lt;UID&gt;{0C417D57-DD6D-407E-8642-BDDEF151BC46}&lt;/UID&gt;&lt;Title&gt;Development and Modification of a Mobile Health Program to Promote Postpartum  Weight Loss in Women at Elevated Risk for Cardiometabolic Disease: Single-Arm  Pilot Study&lt;/Title&gt;&lt;Template&gt;Journal Article&lt;/Template&gt;&lt;Star&gt;0&lt;/Star&gt;&lt;Tag&gt;0&lt;/Tag&gt;&lt;Author&gt;Nicklas, J M; Leiferman, J A; Lockhart, S; Daly, K M; Bull, S S; Barbour, L A&lt;/Author&gt;&lt;Year&gt;2020&lt;/Year&gt;&lt;Details&gt;&lt;_accession_num&gt;32271149&lt;/_accession_num&gt;&lt;_author_adr&gt;Division of General Internal Medicine, University of Colorado School of Medicine,  Aurora, CO, United States.; Community and Behavioral Health, Colorado School of Public Health, Aurora, CO,  United States.; Adult and Child Consortium for Health Outcomes Research and Delivery Science,  University of Colorado School of Medicine, Aurora, CO, United States.; Community and Behavioral Health, Colorado School of Public Health, Aurora, CO,  United States.; Community and Behavioral Health, Colorado School of Public Health, Aurora, CO,  United States.; Division of Endocrinology, Metabolism and Diabetes, University of Colorado School  of Medicine, Aurora, CO, United States.; Division of Maternal Fetal Medicine, University of Colorado School of Medicine,  Aurora, CO, United States.&lt;/_author_adr&gt;&lt;_created&gt;64733468&lt;/_created&gt;&lt;_date&gt;2020-04-09&lt;/_date&gt;&lt;_date_display&gt;2020 Apr 9&lt;/_date_display&gt;&lt;_doi&gt;10.2196/16151&lt;/_doi&gt;&lt;_isbn&gt;2561-326X (Electronic); 2561-326X (Linking)&lt;/_isbn&gt;&lt;_issue&gt;4&lt;/_issue&gt;&lt;_journal&gt;JMIR Form Res&lt;/_journal&gt;&lt;_keywords&gt;chronic disease; mobile health; postpartum; prevention; weight loss&lt;/_keywords&gt;&lt;_language&gt;eng&lt;/_language&gt;&lt;_modified&gt;64734680&lt;/_modified&gt;&lt;_ori_publication&gt;©Jacinda M Nicklas, Jenn A Leiferman, Steven Lockhart, Kristen M Daly, Sheana S _x000d__x000a_      Bull, Linda A Barbour. Originally published in JMIR Formative Research _x000d__x000a_      (http://formative.jmir.org), 09.04.2020.&lt;/_ori_publication&gt;&lt;_pages&gt;e16151&lt;/_pages&gt;&lt;_tertiary_title&gt;JMIR formative research&lt;/_tertiary_title&gt;&lt;_type_work&gt;Journal Article&lt;/_type_work&gt;&lt;_url&gt;http://www.ncbi.nlm.nih.gov/entrez/query.fcgi?cmd=Retrieve&amp;amp;db=pubmed&amp;amp;dopt=Abstract&amp;amp;list_uids=32271149&amp;amp;query_hl=1&lt;/_url&gt;&lt;_volume&gt;4&lt;/_volume&gt;&lt;/Details&gt;&lt;Extra&gt;&lt;DBUID&gt;{C818A046-6D8C-4B07-8765-4E05C48B46EA}&lt;/DBUID&gt;&lt;/Extra&gt;&lt;/Item&gt;&lt;/References&gt;&lt;/Group&gt;&lt;Group&gt;&lt;References&gt;&lt;Item&gt;&lt;ID&gt;29&lt;/ID&gt;&lt;UID&gt;{67F68D75-7E16-4261-836A-0BE5553F682B}&lt;/UID&gt;&lt;Title&gt;Long-term weight development in women: a 15-year follow-up of the effects of  pregnancy&lt;/Title&gt;&lt;Template&gt;Journal Article&lt;/Template&gt;&lt;Star&gt;0&lt;/Star&gt;&lt;Tag&gt;0&lt;/Tag&gt;&lt;Author&gt;Linné, Y; Dye, L; Barkeling, B; Rössner, S&lt;/Author&gt;&lt;Year&gt;2004&lt;/Year&gt;&lt;Details&gt;&lt;_accession_num&gt;15292482&lt;/_accession_num&gt;&lt;_author_adr&gt;Obesity Unit, Huddinge University Hospital, Stockholm, Sweden.  Yvonne.Linne@medhs.ki.se&lt;/_author_adr&gt;&lt;_created&gt;64734551&lt;/_created&gt;&lt;_date&gt;2004-07-01&lt;/_date&gt;&lt;_date_display&gt;2004 Jul&lt;/_date_display&gt;&lt;_doi&gt;10.1038/oby.2004.146&lt;/_doi&gt;&lt;_isbn&gt;1071-7323 (Print); 1071-7323 (Linking)&lt;/_isbn&gt;&lt;_issue&gt;7&lt;/_issue&gt;&lt;_journal&gt;Obes Res&lt;/_journal&gt;&lt;_language&gt;eng&lt;/_language&gt;&lt;_modified&gt;64734680&lt;/_modified&gt;&lt;_ori_publication&gt;Copyright 2004 NAASO&lt;/_ori_publication&gt;&lt;_pages&gt;1166-78&lt;/_pages&gt;&lt;_subject_headings&gt;Body Mass Index; Eating; Exercise; Feeding Behavior; Female; Follow-Up Studies; Humans; Longitudinal Studies; Male; *Nutritional Physiological Phenomena; Postpartum Period; Pregnancy/*physiology; Regression Analysis; Surveys and Questionnaires; Time Factors; *Weight Gain&lt;/_subject_headings&gt;&lt;_tertiary_title&gt;Obesity research&lt;/_tertiary_title&gt;&lt;_type_work&gt;Journal Article&lt;/_type_work&gt;&lt;_url&gt;http://www.ncbi.nlm.nih.gov/entrez/query.fcgi?cmd=Retrieve&amp;amp;db=pubmed&amp;amp;dopt=Abstract&amp;amp;list_uids=15292482&amp;amp;query_hl=1&lt;/_url&gt;&lt;_volume&gt;12&lt;/_volume&gt;&lt;/Details&gt;&lt;Extra&gt;&lt;DBUID&gt;{C818A046-6D8C-4B07-8765-4E05C48B46EA}&lt;/DBUID&gt;&lt;/Extra&gt;&lt;/Item&gt;&lt;/References&gt;&lt;/Group&gt;&lt;/Citation&gt;_x000a_"/>
    <w:docVar w:name="NE.Ref{B8BF44BC-B858-4386-88ED-48C5572E28AD}" w:val=" ADDIN NE.Ref.{B8BF44BC-B858-4386-88ED-48C5572E28AD}&lt;Citation&gt;&lt;Group&gt;&lt;References&gt;&lt;Item&gt;&lt;ID&gt;602&lt;/ID&gt;&lt;UID&gt;{B6CC4CD5-F0BF-4902-82D2-1EDDB7165D06}&lt;/UID&gt;&lt;Title&gt;Trends in adult body-mass index in 200 countries from 1975 to 2014: a pooled  analysis of 1698 population-based measurement studies with 19·2 million  participants&lt;/Title&gt;&lt;Template&gt;Journal Article&lt;/Template&gt;&lt;Star&gt;0&lt;/Star&gt;&lt;Tag&gt;0&lt;/Tag&gt;&lt;Author/&gt;&lt;Year&gt;2016&lt;/Year&gt;&lt;Details&gt;&lt;_accessed&gt;64664558&lt;/_accessed&gt;&lt;_accession_num&gt;27115820&lt;/_accession_num&gt;&lt;_collection_scope&gt;SCI;SCIE&lt;/_collection_scope&gt;&lt;_created&gt;64664558&lt;/_created&gt;&lt;_date&gt;2016-04-02&lt;/_date&gt;&lt;_date_display&gt;2016 Apr 2&lt;/_date_display&gt;&lt;_doi&gt;10.1016/S0140-6736(16)30054-X&lt;/_doi&gt;&lt;_impact_factor&gt;  79.323&lt;/_impact_factor&gt;&lt;_isbn&gt;1474-547X (Electronic); 0140-6736 (Linking)&lt;/_isbn&gt;&lt;_issue&gt;10026&lt;/_issue&gt;&lt;_journal&gt;Lancet&lt;/_journal&gt;&lt;_language&gt;eng&lt;/_language&gt;&lt;_modified&gt;64664559&lt;/_modified&gt;&lt;_ori_publication&gt;Copyright © 2016 NCD Risk Factor Collaboration. Open Access article distributed _x000d__x000a_      under the terms of CC BY. Published by Elsevier Ltd.. All rights reserved.&lt;/_ori_publication&gt;&lt;_pages&gt;1377-1396&lt;/_pages&gt;&lt;_subject_headings&gt;Adolescent; Adult; Bayes Theorem; *Body Mass Index; Developed Countries; Developing Countries; Female; Forecasting; *Global Health; Humans; Male; Models, Statistical; Obesity/*epidemiology; Prevalence; Thinness/epidemiology; Young Adult&lt;/_subject_headings&gt;&lt;_tertiary_title&gt;Lancet (London, England)&lt;/_tertiary_title&gt;&lt;_type_work&gt;Journal Article; Meta-Analysis; Research Support, Non-U.S. Gov&amp;apos;t; Review&lt;/_type_work&gt;&lt;_url&gt;http://www.ncbi.nlm.nih.gov/entrez/query.fcgi?cmd=Retrieve&amp;amp;db=pubmed&amp;amp;dopt=Abstract&amp;amp;list_uids=27115820&amp;amp;query_hl=1&lt;/_url&gt;&lt;_volume&gt;387&lt;/_volume&gt;&lt;/Details&gt;&lt;Extra&gt;&lt;DBUID&gt;{F96A950B-833F-4880-A151-76DA2D6A2879}&lt;/DBUID&gt;&lt;/Extra&gt;&lt;/Item&gt;&lt;/References&gt;&lt;/Group&gt;&lt;/Citation&gt;_x000a_"/>
    <w:docVar w:name="NE.Ref{B8D07D70-B051-45D8-BB32-B94DD6DA4670}" w:val=" ADDIN NE.Ref.{B8D07D70-B051-45D8-BB32-B94DD6DA4670}&lt;Citation&gt;&lt;Group&gt;&lt;References&gt;&lt;Item&gt;&lt;ID&gt;590&lt;/ID&gt;&lt;UID&gt;{FD3A7481-4007-466A-BED6-C2E71A5C6094}&lt;/UID&gt;&lt;Title&gt;Parity and Components of the Metabolic Syndrome Among US Hispanic/Latina Women:  Results From the Hispanic Community Health Study/Study of Latinos&lt;/Title&gt;&lt;Template&gt;Journal Article&lt;/Template&gt;&lt;Star&gt;0&lt;/Star&gt;&lt;Tag&gt;5&lt;/Tag&gt;&lt;Author&gt;Vladutiu, C J; Siega-Riz, A M; Sotres-Alvarez, D; Stuebe, A M; Ni, A; Tabb, K M; Gallo, L C; Potter, J E; Heiss, G&lt;/Author&gt;&lt;Year&gt;2016&lt;/Year&gt;&lt;Details&gt;&lt;_accession_num&gt;26908862&lt;/_accession_num&gt;&lt;_author_adr&gt;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catherine_vladutiu@med.unc.edu.;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lt;/_author_adr&gt;&lt;_created&gt;64592485&lt;/_created&gt;&lt;_date&gt;2016-02-01&lt;/_date&gt;&lt;_date_display&gt;2016 Feb&lt;/_date_display&gt;&lt;_doi&gt;10.1161/CIRCOUTCOMES.115.002464&lt;/_doi&gt;&lt;_impact_factor&gt;   5.882&lt;/_impact_factor&gt;&lt;_isbn&gt;1941-7705 (Electronic); 1941-7713 (Print); 1941-7713 (Linking)&lt;/_isbn&gt;&lt;_issue&gt;2 Suppl 1&lt;/_issue&gt;&lt;_journal&gt;Circ Cardiovasc Qual Outcomes&lt;/_journal&gt;&lt;_keywords&gt;Hispanic Americans; cohort studies; metabolic syndrome X; parity; pregnancy&lt;/_keywords&gt;&lt;_language&gt;eng&lt;/_language&gt;&lt;_modified&gt;64601490&lt;/_modified&gt;&lt;_ori_publication&gt;© 2016 American Heart Association, Inc.&lt;/_ori_publication&gt;&lt;_pages&gt;S62-9&lt;/_pages&gt;&lt;_subject_headings&gt;Adult; Cardiovascular Diseases/prevention &amp;amp; control; Cholesterol, HDL/blood; Cohort Studies; Female; *Hispanic or Latino; Humans; Metabolic Syndrome/epidemiology/*ethnology; Middle Aged; *Parity; Pregnancy; Prevalence; Prospective Studies&lt;/_subject_headings&gt;&lt;_tertiary_title&gt;Circulation. Cardiovascular quality and outcomes&lt;/_tertiary_title&gt;&lt;_type_work&gt;Journal Article; Research Support, N.I.H., Extramural; Research Support, U.S. Gov&amp;apos;t, P.H.S.&lt;/_type_work&gt;&lt;_url&gt;http://www.ncbi.nlm.nih.gov/entrez/query.fcgi?cmd=Retrieve&amp;amp;db=pubmed&amp;amp;dopt=Abstract&amp;amp;list_uids=26908862&amp;amp;query_hl=1&lt;/_url&gt;&lt;_volume&gt;9&lt;/_volume&gt;&lt;/Details&gt;&lt;Extra&gt;&lt;DBUID&gt;{F96A950B-833F-4880-A151-76DA2D6A2879}&lt;/DBUID&gt;&lt;/Extra&gt;&lt;/Item&gt;&lt;/References&gt;&lt;/Group&gt;&lt;Group&gt;&lt;References&gt;&lt;Item&gt;&lt;ID&gt;592&lt;/ID&gt;&lt;UID&gt;{9E9AA557-9FA1-4C95-9440-B31986B0DF84}&lt;/UID&gt;&lt;Title&gt;Long-term plasma lipid changes associated with a first birth: the Coronary Artery  Risk Development in Young Adults study&lt;/Title&gt;&lt;Template&gt;Journal Article&lt;/Template&gt;&lt;Star&gt;0&lt;/Star&gt;&lt;Tag&gt;5&lt;/Tag&gt;&lt;Author&gt;Gunderson, E P; Lewis, C E; Murtaugh, M A; Quesenberry, C P; Smith, West D; Sidney, S&lt;/Author&gt;&lt;Year&gt;2004&lt;/Year&gt;&lt;Details&gt;&lt;_accession_num&gt;15155287&lt;/_accession_num&gt;&lt;_author_adr&gt;Division of Research, Kaiser Permanente Medical Care Program, Northern  California, Oakland, CA 94612, USA. epg@dor.kaiser.org&lt;/_author_adr&gt;&lt;_collection_scope&gt;SCI;SCIE&lt;/_collection_scope&gt;&lt;_created&gt;64592498&lt;/_created&gt;&lt;_date&gt;2004-06-01&lt;/_date&gt;&lt;_date_display&gt;2004 Jun 1&lt;/_date_display&gt;&lt;_doi&gt;10.1093/aje/kwh146&lt;/_doi&gt;&lt;_impact_factor&gt;   4.897&lt;/_impact_factor&gt;&lt;_isbn&gt;0002-9262 (Print); 1476-6256 (Electronic); 0002-9262 (Linking)&lt;/_isbn&gt;&lt;_issue&gt;11&lt;/_issue&gt;&lt;_journal&gt;Am J Epidemiol&lt;/_journal&gt;&lt;_language&gt;eng&lt;/_language&gt;&lt;_modified&gt;64601490&lt;/_modified&gt;&lt;_pages&gt;1028-39&lt;/_pages&gt;&lt;_subject_headings&gt;Adolescent; Adult; Blacks/statistics &amp;amp; numerical data; Body Mass Index; Cardiovascular Diseases/etiology; Chi-Square Distribution; Female; Humans; Linear Models; Lipids/*blood; Longitudinal Studies; Parity; Pregnancy/*blood; Prospective Studies; Risk Factors; Time Factors; Whites/statistics &amp;amp; numerical data&lt;/_subject_headings&gt;&lt;_tertiary_title&gt;American journal of epidemiology&lt;/_tertiary_title&gt;&lt;_type_work&gt;Journal Article; Multicenter Study; Research Support, U.S. Gov&amp;apos;t, P.H.S.&lt;/_type_work&gt;&lt;_url&gt;http://www.ncbi.nlm.nih.gov/entrez/query.fcgi?cmd=Retrieve&amp;amp;db=pubmed&amp;amp;dopt=Abstract&amp;amp;list_uids=15155287&amp;amp;query_hl=1&lt;/_url&gt;&lt;_volume&gt;159&lt;/_volume&gt;&lt;/Details&gt;&lt;Extra&gt;&lt;DBUID&gt;{F96A950B-833F-4880-A151-76DA2D6A2879}&lt;/DBUID&gt;&lt;/Extra&gt;&lt;/Item&gt;&lt;/References&gt;&lt;/Group&gt;&lt;Group&gt;&lt;References&gt;&lt;Item&gt;&lt;ID&gt;599&lt;/ID&gt;&lt;UID&gt;{2112088E-022D-4A9F-8576-FD29B681E9E5}&lt;/UID&gt;&lt;Title&gt;The relationship between multiparity and lipoprotein levels in older women&lt;/Title&gt;&lt;Template&gt;Journal Article&lt;/Template&gt;&lt;Star&gt;0&lt;/Star&gt;&lt;Tag&gt;5&lt;/Tag&gt;&lt;Author&gt;Kritz-Silverstein, D; Barrett-Connor, E; Wingard, D L&lt;/Author&gt;&lt;Year&gt;1992&lt;/Year&gt;&lt;Details&gt;&lt;_accession_num&gt;1619455&lt;/_accession_num&gt;&lt;_author_adr&gt;Department of Community and Family Medicine, University of California, San Diego,  La Jolla 92093.&lt;/_author_adr&gt;&lt;_collection_scope&gt;SCI;SCIE&lt;/_collection_scope&gt;&lt;_created&gt;64599435&lt;/_created&gt;&lt;_date&gt;1992-07-01&lt;/_date&gt;&lt;_date_display&gt;1992 Jul&lt;/_date_display&gt;&lt;_doi&gt;10.1016/0895-4356(92)90053-p&lt;/_doi&gt;&lt;_impact_factor&gt;   6.437&lt;/_impact_factor&gt;&lt;_isbn&gt;0895-4356 (Print); 0895-4356 (Linking)&lt;/_isbn&gt;&lt;_issue&gt;7&lt;/_issue&gt;&lt;_journal&gt;J Clin Epidemiol&lt;/_journal&gt;&lt;_language&gt;eng&lt;/_language&gt;&lt;_modified&gt;64601490&lt;/_modified&gt;&lt;_pages&gt;761-7&lt;/_pages&gt;&lt;_subject_headings&gt;Aged; Aged, 80 and over; Analysis of Variance; Anthropometry; California; Cholesterol, HDL/blood; Cholesterol, LDL/blood; Female; Humans; Lipoproteins/*blood; Middle Aged; *Parity; Regression Analysis; Triglycerides/blood&lt;/_subject_headings&gt;&lt;_tertiary_title&gt;Journal of clinical epidemiology&lt;/_tertiary_title&gt;&lt;_type_work&gt;Journal Article; Research Support, U.S. Gov&amp;apos;t, P.H.S.&lt;/_type_work&gt;&lt;_url&gt;http://www.ncbi.nlm.nih.gov/entrez/query.fcgi?cmd=Retrieve&amp;amp;db=pubmed&amp;amp;dopt=Abstract&amp;amp;list_uids=1619455&amp;amp;query_hl=1&lt;/_url&gt;&lt;_volume&gt;45&lt;/_volume&gt;&lt;/Details&gt;&lt;Extra&gt;&lt;DBUID&gt;{F96A950B-833F-4880-A151-76DA2D6A2879}&lt;/DBUID&gt;&lt;/Extra&gt;&lt;/Item&gt;&lt;/References&gt;&lt;/Group&gt;&lt;/Citation&gt;_x000a_"/>
    <w:docVar w:name="NE.Ref{B96CDDEA-C668-48A1-ABA4-1A58D0198BDC}" w:val=" ADDIN NE.Ref.{B96CDDEA-C668-48A1-ABA4-1A58D0198BDC}&lt;Citation&gt;&lt;Group&gt;&lt;References&gt;&lt;Item&gt;&lt;ID&gt;6&lt;/ID&gt;&lt;UID&gt;{CBDE004A-490F-4C23-BB48-DE20CE0A0FB0}&lt;/UID&gt;&lt;Title&gt;The role of postpartum weight retention in obesity among women: a review of the  evidence&lt;/Title&gt;&lt;Template&gt;Journal Article&lt;/Template&gt;&lt;Star&gt;0&lt;/Star&gt;&lt;Tag&gt;0&lt;/Tag&gt;&lt;Author&gt;Gore, S A; Brown, D M; West, D S&lt;/Author&gt;&lt;Year&gt;2003&lt;/Year&gt;&lt;Details&gt;&lt;_accession_num&gt;14534032&lt;/_accession_num&gt;&lt;_author_adr&gt;University of Alabama at Birmingham, USA.&lt;/_author_adr&gt;&lt;_collection_scope&gt;SSCI&lt;/_collection_scope&gt;&lt;_created&gt;64733394&lt;/_created&gt;&lt;_date&gt;2003-10-01&lt;/_date&gt;&lt;_date_display&gt;2003 Oct&lt;/_date_display&gt;&lt;_doi&gt;10.1207/S15324796ABM2602_07&lt;/_doi&gt;&lt;_impact_factor&gt;   4.908&lt;/_impact_factor&gt;&lt;_isbn&gt;0883-6612 (Print); 0883-6612 (Linking)&lt;/_isbn&gt;&lt;_issue&gt;2&lt;/_issue&gt;&lt;_journal&gt;Ann Behav Med&lt;/_journal&gt;&lt;_language&gt;eng&lt;/_language&gt;&lt;_modified&gt;64734679&lt;/_modified&gt;&lt;_pages&gt;149-59&lt;/_pages&gt;&lt;_subject_headings&gt;Adult; Behavior Therapy; Female; Humans; Minority Groups; Obesity/*etiology/prevention &amp;amp; control; Postpartum Period; *Pregnancy; Risk Factors; Smoking; *Weight Gain; Weight Loss&lt;/_subject_headings&gt;&lt;_tertiary_title&gt;Annals of behavioral medicine : a publication of the Society of Behavioral _x000d__x000a_      Medicine&lt;/_tertiary_title&gt;&lt;_type_work&gt;Journal Article; Review&lt;/_type_work&gt;&lt;_url&gt;http://www.ncbi.nlm.nih.gov/entrez/query.fcgi?cmd=Retrieve&amp;amp;db=pubmed&amp;amp;dopt=Abstract&amp;amp;list_uids=14534032&amp;amp;query_hl=1&lt;/_url&gt;&lt;_volume&gt;26&lt;/_volume&gt;&lt;/Details&gt;&lt;Extra&gt;&lt;DBUID&gt;{C818A046-6D8C-4B07-8765-4E05C48B46EA}&lt;/DBUID&gt;&lt;/Extra&gt;&lt;/Item&gt;&lt;/References&gt;&lt;/Group&gt;&lt;/Citation&gt;_x000a_"/>
    <w:docVar w:name="NE.Ref{BD7AB87F-B74F-4C0A-BA1C-05C0548F7C41}" w:val=" ADDIN NE.Ref.{BD7AB87F-B74F-4C0A-BA1C-05C0548F7C41}&lt;Citation&gt;&lt;Group&gt;&lt;References&gt;&lt;Item&gt;&lt;ID&gt;15&lt;/ID&gt;&lt;UID&gt;{C5428FCB-C584-45CE-A283-0188E8044204}&lt;/UID&gt;&lt;Title&gt;Obesity levels in a national cohort of women 9 months after delivery&lt;/Title&gt;&lt;Template&gt;Journal Article&lt;/Template&gt;&lt;Star&gt;0&lt;/Star&gt;&lt;Tag&gt;0&lt;/Tag&gt;&lt;Author&gt;Turner, M J; Layte, R&lt;/Author&gt;&lt;Year&gt;2013&lt;/Year&gt;&lt;Details&gt;&lt;_accession_num&gt;23583210&lt;/_accession_num&gt;&lt;_author_adr&gt;UCD Centre for Human Reproduction, Coombe Women and Infants University Hospital,  Dublin, Ireland. Michael.turner@ucd.ie&lt;/_author_adr&gt;&lt;_collection_scope&gt;SCI;SCIE&lt;/_collection_scope&gt;&lt;_created&gt;64733397&lt;/_created&gt;&lt;_date&gt;2013-08-01&lt;/_date&gt;&lt;_date_display&gt;2013 Aug&lt;/_date_display&gt;&lt;_doi&gt;10.1016/j.ajog.2013.04.020&lt;/_doi&gt;&lt;_impact_factor&gt;   8.661&lt;/_impact_factor&gt;&lt;_isbn&gt;1097-6868 (Electronic); 0002-9378 (Linking)&lt;/_isbn&gt;&lt;_issue&gt;2&lt;/_issue&gt;&lt;_journal&gt;Am J Obstet Gynecol&lt;/_journal&gt;&lt;_keywords&gt;maternal obesity; parity; postpartum weight&lt;/_keywords&gt;&lt;_language&gt;eng&lt;/_language&gt;&lt;_modified&gt;64734679&lt;/_modified&gt;&lt;_ori_publication&gt;Copyright © 2013 Mosby, Inc. All rights reserved.&lt;/_ori_publication&gt;&lt;_pages&gt;124.e1-7&lt;/_pages&gt;&lt;_subject_headings&gt;Adult; Body Mass Index; Cohort Studies; Female; Humans; Ireland; Logistic Models; Obesity/*etiology; Parity; Postpartum Period; Pregnancy; Pregnancy Complications/*etiology; Socioeconomic Factors; Weight Gain&lt;/_subject_headings&gt;&lt;_tertiary_title&gt;American journal of obstetrics and gynecology&lt;/_tertiary_title&gt;&lt;_type_work&gt;Journal Article; Research Support, Non-U.S. Gov&amp;apos;t&lt;/_type_work&gt;&lt;_url&gt;http://www.ncbi.nlm.nih.gov/entrez/query.fcgi?cmd=Retrieve&amp;amp;db=pubmed&amp;amp;dopt=Abstract&amp;amp;list_uids=23583210&amp;amp;query_hl=1&lt;/_url&gt;&lt;_volume&gt;209&lt;/_volume&gt;&lt;/Details&gt;&lt;Extra&gt;&lt;DBUID&gt;{C818A046-6D8C-4B07-8765-4E05C48B46EA}&lt;/DBUID&gt;&lt;/Extra&gt;&lt;/Item&gt;&lt;/References&gt;&lt;/Group&gt;&lt;/Citation&gt;_x000a_"/>
    <w:docVar w:name="NE.Ref{BDE0FE7E-383A-4DB7-AFCF-63901F27757A}" w:val=" ADDIN NE.Ref.{BDE0FE7E-383A-4DB7-AFCF-63901F27757A}&lt;Citation&gt;&lt;Group&gt;&lt;References&gt;&lt;Item&gt;&lt;ID&gt;2&lt;/ID&gt;&lt;UID&gt;{A29ED86C-4B2C-4447-BA91-349449A57E1A}&lt;/UID&gt;&lt;Title&gt;Preconceptional and maternal obesity: epidemiology and health consequences&lt;/Title&gt;&lt;Template&gt;Journal Article&lt;/Template&gt;&lt;Star&gt;0&lt;/Star&gt;&lt;Tag&gt;0&lt;/Tag&gt;&lt;Author&gt;Poston, L; Caleyachetty, R; Cnattingius, S; Corvalán, C; Uauy, R; Herring, S; Gillman, M W&lt;/Author&gt;&lt;Year&gt;2016&lt;/Year&gt;&lt;Details&gt;&lt;_accession_num&gt;27743975&lt;/_accession_num&gt;&lt;_author_adr&gt;Division of Women&amp;apos;s Health, Faculty of Life Sciences and Medicine, King&amp;apos;s College  London, London, UK. Electronic address: lucilla.poston@kcl.ac.uk.; Institute of Applied Health Research, University of Birmingham, Birmingham, UK.; Department of Medicine Solna, Karolinska Universitetssjukhuset, Stockholm,  Sweden.; Institute of Nutrition and Food Technology, University of Chile, Santiago, Chile.; Division of Pediatrics, Faculty of Medicine, Pontifical Catholic University of  Chile, Santiago, Chile; Center for Obesity Research and Education, Departments of  Medicine and Public Health, Temple University, Philadelphia, PA, USA.; Center for Obesity Research and Education, Departments of Medicine and Public  Health, Temple University, Philadelphia, PA, USA.; Office of the Director, Environmental Influences on Child Health Outcomes (ECHO),  National Institutes of Health, Rockville, MD, USA.&lt;/_author_adr&gt;&lt;_created&gt;64733386&lt;/_created&gt;&lt;_date&gt;2016-12-01&lt;/_date&gt;&lt;_date_display&gt;2016 Dec&lt;/_date_display&gt;&lt;_doi&gt;10.1016/S2213-8587(16)30217-0&lt;/_doi&gt;&lt;_impact_factor&gt;  32.069&lt;/_impact_factor&gt;&lt;_isbn&gt;2213-8595 (Electronic); 2213-8587 (Linking)&lt;/_isbn&gt;&lt;_issue&gt;12&lt;/_issue&gt;&lt;_journal&gt;Lancet Diabetes Endocrinol&lt;/_journal&gt;&lt;_language&gt;eng&lt;/_language&gt;&lt;_modified&gt;64734679&lt;/_modified&gt;&lt;_ori_publication&gt;Copyright Â© 2016 Elsevier Ltd. All rights reserved.&lt;/_ori_publication&gt;&lt;_pages&gt;1025-1036&lt;/_pages&gt;&lt;_subject_headings&gt;Abortion, Spontaneous/etiology; Delivery, Obstetric; Female; Fertility; Humans; Obesity/complications/*epidemiology; Postpartum Period; Pregnancy; Pregnancy Complications/*epidemiology/etiology; Premature Birth/etiology; Prevalence&lt;/_subject_headings&gt;&lt;_tertiary_title&gt;The lancet. Diabetes &amp;amp; endocrinology&lt;/_tertiary_title&gt;&lt;_type_work&gt;Journal Article; Research Support, Non-U.S. Gov&amp;apos;t; Review&lt;/_type_work&gt;&lt;_url&gt;http://www.ncbi.nlm.nih.gov/entrez/query.fcgi?cmd=Retrieve&amp;amp;db=pubmed&amp;amp;dopt=Abstract&amp;amp;list_uids=27743975&amp;amp;query_hl=1&lt;/_url&gt;&lt;_volume&gt;4&lt;/_volume&gt;&lt;/Details&gt;&lt;Extra&gt;&lt;DBUID&gt;{C818A046-6D8C-4B07-8765-4E05C48B46EA}&lt;/DBUID&gt;&lt;/Extra&gt;&lt;/Item&gt;&lt;/References&gt;&lt;/Group&gt;&lt;/Citation&gt;_x000a_"/>
    <w:docVar w:name="NE.Ref{C062C2D7-37AE-4F60-A655-B43D30372CAE}" w:val=" ADDIN NE.Ref.{C062C2D7-37AE-4F60-A655-B43D30372CAE}&lt;Citation&gt;&lt;Group&gt;&lt;References&gt;&lt;Item&gt;&lt;ID&gt;560&lt;/ID&gt;&lt;UID&gt;{66526E20-2D19-4B97-A6C4-0CFDF2223FAD}&lt;/UID&gt;&lt;Title&gt;Maternal weight change from prepregnancy to 18 months postpartum and subsequent  risk of hypertension and cardiovascular disease in Danish women: A cohort study&lt;/Title&gt;&lt;Template&gt;Journal Article&lt;/Template&gt;&lt;Star&gt;0&lt;/Star&gt;&lt;Tag&gt;0&lt;/Tag&gt;&lt;Author&gt;Kirkegaard, H; Bliddal, M; Støvring, H; Rasmussen, K M; Gunderson, E P; Køber, L; Sørensen, TIA; Nøhr, E A&lt;/Author&gt;&lt;Year&gt;2021&lt;/Year&gt;&lt;Details&gt;&lt;_accession_num&gt;33798198&lt;/_accession_num&gt;&lt;_author_adr&gt;Research Unit of Obstetrics and Gynecology, Department of Clinical Research,  University of Southern Denmark, Odense, Denmark.; Open Patient Data Explorative Network (OPEN), Department of Clinical Research,  University of Southern Denmark and Odense University Hospital, Odense, Denmark.; Open Patient Data Explorative Network (OPEN), Department of Clinical Research,  University of Southern Denmark and Odense University Hospital, Odense, Denmark.; Department of Public Health, Biostatistics, Aarhus University, Aarhus, Denmark.; Division of Nutritional Sciences, Cornell University, Ithaca, New York, United  States of America.; Division of Research, Cardiovascular and Metabolic Conditions Section, Kaiser  Permanente Northern California, Oakland, California, United States of America.; Department of Cardiology, Rigshospitalet, University Hospital, Copenhagen,  Denmark.; Novo Nordisk Foundation Center for Basic Metabolic Research and Department of  Public Health, Faculty of Health and Medical Sciences, University of Copenhagen,  Copenhagen, Denmark.; Research Unit of Obstetrics and Gynecology, Department of Clinical Research,  University of Southern Denmark, Odense, Denmark.; Department of Gynecology and Obstetrics, Odense University Hospital, Odense,  Denmark.&lt;/_author_adr&gt;&lt;_collection_scope&gt;SCIE&lt;/_collection_scope&gt;&lt;_created&gt;64530234&lt;/_created&gt;&lt;_date&gt;2021-04-01&lt;/_date&gt;&lt;_date_display&gt;2021 Apr&lt;/_date_display&gt;&lt;_doi&gt;10.1371/journal.pmed.1003486&lt;/_doi&gt;&lt;_impact_factor&gt;  11.069&lt;/_impact_factor&gt;&lt;_isbn&gt;1549-1676 (Electronic); 1549-1277 (Print); 1549-1277 (Linking)&lt;/_isbn&gt;&lt;_issue&gt;4&lt;/_issue&gt;&lt;_journal&gt;PLoS Med&lt;/_journal&gt;&lt;_language&gt;eng&lt;/_language&gt;&lt;_modified&gt;64530234&lt;/_modified&gt;&lt;_pages&gt;e1003486&lt;/_pages&gt;&lt;_subject_headings&gt;Adult; Cardiovascular Diseases/*epidemiology/etiology; Cohort Studies; Denmark/epidemiology; Female; Humans; Hypertension/epidemiology/etiology; Middle Aged; Obesity/epidemiology/etiology; Overweight/*epidemiology/etiology; Postpartum Period/*physiology; Pregnancy; Pregnancy Complications/*epidemiology/etiology; Risk Factors; Thinness/*epidemiology/etiology; *Weight Gain; Young Adult&lt;/_subject_headings&gt;&lt;_tertiary_title&gt;PLoS medicine&lt;/_tertiary_title&gt;&lt;_type_work&gt;Journal Article; Research Support, Non-U.S. Gov&amp;apos;t&lt;/_type_work&gt;&lt;_url&gt;http://www.ncbi.nlm.nih.gov/entrez/query.fcgi?cmd=Retrieve&amp;amp;db=pubmed&amp;amp;dopt=Abstract&amp;amp;list_uids=33798198&amp;amp;query_hl=1&lt;/_url&gt;&lt;_volume&gt;18&lt;/_volume&gt;&lt;/Details&gt;&lt;Extra&gt;&lt;DBUID&gt;{F96A950B-833F-4880-A151-76DA2D6A2879}&lt;/DBUID&gt;&lt;/Extra&gt;&lt;/Item&gt;&lt;/References&gt;&lt;/Group&gt;&lt;/Citation&gt;_x000a_"/>
    <w:docVar w:name="NE.Ref{C0733DEF-182C-492C-B298-BD770CA8E48A}" w:val=" ADDIN NE.Ref.{C0733DEF-182C-492C-B298-BD770CA8E48A}&lt;Citation&gt;&lt;Group&gt;&lt;References&gt;&lt;Item&gt;&lt;ID&gt;3&lt;/ID&gt;&lt;UID&gt;{35D4BEDC-ED0A-4652-8B19-ECEC2869F844}&lt;/UID&gt;&lt;Title&gt;Epidemiology of gestational weight gain and body weight changes after pregnancy&lt;/Title&gt;&lt;Template&gt;Journal Article&lt;/Template&gt;&lt;Star&gt;0&lt;/Star&gt;&lt;Tag&gt;0&lt;/Tag&gt;&lt;Author&gt;Gunderson, E P; Abrams, B&lt;/Author&gt;&lt;Year&gt;2000&lt;/Year&gt;&lt;Details&gt;&lt;_accession_num&gt;11218377&lt;/_accession_num&gt;&lt;_author_adr&gt;Division of Public Health and Epidemiology, School of Public Health, University  of California, Berkeley, CA, USA. epg@dor.kaiser.org&lt;/_author_adr&gt;&lt;_collection_scope&gt;SCI;SCIE&lt;/_collection_scope&gt;&lt;_created&gt;64733389&lt;/_created&gt;&lt;_date&gt;2000-01-20&lt;/_date&gt;&lt;_date_display&gt;2000&lt;/_date_display&gt;&lt;_doi&gt;10.1093/oxfordjournals.epirev.a018038&lt;/_doi&gt;&lt;_impact_factor&gt;   6.222&lt;/_impact_factor&gt;&lt;_isbn&gt;0193-936X (Print); 0193-936X (Linking)&lt;/_isbn&gt;&lt;_issue&gt;2&lt;/_issue&gt;&lt;_journal&gt;Epidemiol Rev&lt;/_journal&gt;&lt;_language&gt;eng&lt;/_language&gt;&lt;_modified&gt;64734679&lt;/_modified&gt;&lt;_pages&gt;261-74&lt;/_pages&gt;&lt;_subject_headings&gt;Adolescent; Adult; Ethnicity; Female; Humans; Lactation; Obesity/economics/*epidemiology/etiology; *Postpartum Period; *Pregnancy; Pregnancy in Adolescence; Prevalence; Risk Factors; United States/epidemiology; *Weight Gain&lt;/_subject_headings&gt;&lt;_tertiary_title&gt;Epidemiologic reviews&lt;/_tertiary_title&gt;&lt;_type_work&gt;Journal Article; Research Support, Non-U.S. Gov&amp;apos;t; Research Support, U.S. Gov&amp;apos;t, Non-P.H.S.; Review&lt;/_type_work&gt;&lt;_url&gt;http://www.ncbi.nlm.nih.gov/entrez/query.fcgi?cmd=Retrieve&amp;amp;db=pubmed&amp;amp;dopt=Abstract&amp;amp;list_uids=11218377&amp;amp;query_hl=1&lt;/_url&gt;&lt;_volume&gt;22&lt;/_volume&gt;&lt;/Details&gt;&lt;Extra&gt;&lt;DBUID&gt;{C818A046-6D8C-4B07-8765-4E05C48B46EA}&lt;/DBUID&gt;&lt;/Extra&gt;&lt;/Item&gt;&lt;/References&gt;&lt;/Group&gt;&lt;Group&gt;&lt;References&gt;&lt;Item&gt;&lt;ID&gt;4&lt;/ID&gt;&lt;UID&gt;{97D476FD-6EFA-4030-9767-895E68ECC74A}&lt;/UID&gt;&lt;Title&gt;Pregnancy: a &amp;quot;teachable moment&amp;quot; for weight control and obesity prevention&lt;/Title&gt;&lt;Template&gt;Journal Article&lt;/Template&gt;&lt;Star&gt;0&lt;/Star&gt;&lt;Tag&gt;0&lt;/Tag&gt;&lt;Author&gt;Phelan, S&lt;/Author&gt;&lt;Year&gt;2010&lt;/Year&gt;&lt;Details&gt;&lt;_accession_num&gt;19683692&lt;/_accession_num&gt;&lt;_author_adr&gt;Department of Kinesiology, California Polytechnic State University, San Luis  Obispo, CA 93407-0386, USA. sphelan@calpoly.edu&lt;/_author_adr&gt;&lt;_collection_scope&gt;SCI;SCIE&lt;/_collection_scope&gt;&lt;_created&gt;64733394&lt;/_created&gt;&lt;_date&gt;2010-02-01&lt;/_date&gt;&lt;_date_display&gt;2010 Feb&lt;/_date_display&gt;&lt;_doi&gt;10.1016/j.ajog.2009.06.008&lt;/_doi&gt;&lt;_impact_factor&gt;   8.661&lt;/_impact_factor&gt;&lt;_isbn&gt;1097-6868 (Electronic); 0002-9378 (Print); 0002-9378 (Linking)&lt;/_isbn&gt;&lt;_issue&gt;2&lt;/_issue&gt;&lt;_journal&gt;Am J Obstet Gynecol&lt;/_journal&gt;&lt;_language&gt;eng&lt;/_language&gt;&lt;_modified&gt;64734679&lt;/_modified&gt;&lt;_ori_publication&gt;Copyright 2010 Mosby, Inc. All rights reserved.&lt;/_ori_publication&gt;&lt;_pages&gt;135.e1-8&lt;/_pages&gt;&lt;_subject_headings&gt;Exercise; Female; Humans; Obesity/*prevention &amp;amp; control; Patient Education as Topic; Postpartum Period; Pregnancy; Pregnancy Complications/*prevention &amp;amp; control; Prenatal Care; *Weight Gain&lt;/_subject_headings&gt;&lt;_tertiary_title&gt;American journal of obstetrics and gynecology&lt;/_tertiary_title&gt;&lt;_type_work&gt;Journal Article; Research Support, N.I.H., Extramural&lt;/_type_work&gt;&lt;_url&gt;http://www.ncbi.nlm.nih.gov/entrez/query.fcgi?cmd=Retrieve&amp;amp;db=pubmed&amp;amp;dopt=Abstract&amp;amp;list_uids=19683692&amp;amp;query_hl=1&lt;/_url&gt;&lt;_volume&gt;202&lt;/_volume&gt;&lt;/Details&gt;&lt;Extra&gt;&lt;DBUID&gt;{C818A046-6D8C-4B07-8765-4E05C48B46EA}&lt;/DBUID&gt;&lt;/Extra&gt;&lt;/Item&gt;&lt;/References&gt;&lt;/Group&gt;&lt;/Citation&gt;_x000a_"/>
    <w:docVar w:name="NE.Ref{C125465D-0AE0-4E7F-A623-494816BE902B}" w:val=" ADDIN NE.Ref.{C125465D-0AE0-4E7F-A623-494816BE902B}&lt;Citation&gt;&lt;Group&gt;&lt;References&gt;&lt;Item&gt;&lt;ID&gt;36&lt;/ID&gt;&lt;UID&gt;{2166C091-9391-45F8-9F1B-F34BE9F10965}&lt;/UID&gt;&lt;Title&gt;Impact of perinatal weight change on long-term obesity and obesity-related  illnesses&lt;/Title&gt;&lt;Template&gt;Journal Article&lt;/Template&gt;&lt;Star&gt;0&lt;/Star&gt;&lt;Tag&gt;0&lt;/Tag&gt;&lt;Author&gt;Rooney, B L; Schauberger, C W; Mathiason, M A&lt;/Author&gt;&lt;Year&gt;2005&lt;/Year&gt;&lt;Details&gt;&lt;_accession_num&gt;16319262&lt;/_accession_num&gt;&lt;_author_adr&gt;Gundersen Lutheran Medical Center, La Crosse, Wisconsin 54601, USA.  blrooney@gundluth.org&lt;/_author_adr&gt;&lt;_collection_scope&gt;SCI;SCIE&lt;/_collection_scope&gt;&lt;_created&gt;64734729&lt;/_created&gt;&lt;_date&gt;2005-12-01&lt;/_date&gt;&lt;_date_display&gt;2005 Dec&lt;/_date_display&gt;&lt;_doi&gt;10.1097/01.AOG.0000185480.09068.4a&lt;/_doi&gt;&lt;_impact_factor&gt;   7.661&lt;/_impact_factor&gt;&lt;_isbn&gt;0029-7844 (Print); 0029-7844 (Linking)&lt;/_isbn&gt;&lt;_issue&gt;6&lt;/_issue&gt;&lt;_journal&gt;Obstet Gynecol&lt;/_journal&gt;&lt;_language&gt;eng&lt;/_language&gt;&lt;_modified&gt;64734729&lt;/_modified&gt;&lt;_pages&gt;1349-56&lt;/_pages&gt;&lt;_subject_headings&gt;Adult; Age Distribution; Aged; Body Mass Index; Cohort Studies; Confidence Intervals; Diabetes Mellitus, Type 2/diagnosis/*epidemiology; Female; Follow-Up Studies; Humans; Hypertension/diagnosis/*epidemiology; Incidence; Linear Models; Middle Aged; Multivariate Analysis; Obesity/*diagnosis/*epidemiology; Parity; Perinatal Care; Postpartum Period; Pregnancy/*physiology; Probability; Retrospective Studies; Risk Assessment; Time Factors&lt;/_subject_headings&gt;&lt;_tertiary_title&gt;Obstetrics and gynecology&lt;/_tertiary_title&gt;&lt;_type_work&gt;Journal Article; Research Support, Non-U.S. Gov&amp;apos;t&lt;/_type_work&gt;&lt;_url&gt;http://www.ncbi.nlm.nih.gov/entrez/query.fcgi?cmd=Retrieve&amp;amp;db=pubmed&amp;amp;dopt=Abstract&amp;amp;list_uids=16319262&amp;amp;query_hl=1&lt;/_url&gt;&lt;_volume&gt;106&lt;/_volume&gt;&lt;/Details&gt;&lt;Extra&gt;&lt;DBUID&gt;{C818A046-6D8C-4B07-8765-4E05C48B46EA}&lt;/DBUID&gt;&lt;/Extra&gt;&lt;/Item&gt;&lt;/References&gt;&lt;/Group&gt;&lt;/Citation&gt;_x000a_"/>
    <w:docVar w:name="NE.Ref{C2137261-16F3-477B-9427-CA16048FAE08}" w:val=" ADDIN NE.Ref.{C2137261-16F3-477B-9427-CA16048FAE08}"/>
    <w:docVar w:name="NE.Ref{C5DD0E56-13E1-4827-B9DC-55A9F676E23E}" w:val=" ADDIN NE.Ref.{C5DD0E56-13E1-4827-B9DC-55A9F676E23E}&lt;Citation&gt;&lt;Group&gt;&lt;References&gt;&lt;Item&gt;&lt;ID&gt;552&lt;/ID&gt;&lt;UID&gt;{DCC4C8C4-9526-4C64-B6F4-383BD34555E8}&lt;/UID&gt;&lt;Title&gt;Global, regional, and national comparative risk assessment of 79 behavioural,  environmental and occupational, and metabolic risks or clusters of risks,  1990-2015: a systematic analysis for the Global Burden of Disease Study 2015&lt;/Title&gt;&lt;Template&gt;Journal Article&lt;/Template&gt;&lt;Star&gt;1&lt;/Star&gt;&lt;Tag&gt;5&lt;/Tag&gt;&lt;Author/&gt;&lt;Year&gt;2016&lt;/Year&gt;&lt;Details&gt;&lt;_accession_num&gt;27733284&lt;/_accession_num&gt;&lt;_collection_scope&gt;SCI;SCIE&lt;/_collection_scope&gt;&lt;_created&gt;64525951&lt;/_created&gt;&lt;_date&gt;2016-10-08&lt;/_date&gt;&lt;_date_display&gt;2016 Oct 8&lt;/_date_display&gt;&lt;_doi&gt;10.1016/S0140-6736(16)31679-8&lt;/_doi&gt;&lt;_impact_factor&gt;  79.323&lt;/_impact_factor&gt;&lt;_isbn&gt;1474-547X (Electronic); 0140-6736 (Print); 0140-6736 (Linking)&lt;/_isbn&gt;&lt;_issue&gt;10053&lt;/_issue&gt;&lt;_journal&gt;Lancet&lt;/_journal&gt;&lt;_language&gt;eng&lt;/_language&gt;&lt;_modified&gt;64605365&lt;/_modified&gt;&lt;_ori_publication&gt;Copyright © 2016 The Author(s). Published by Elsevier Ltd. This is an Open Access _x000d__x000a_      article under the CC BY license. Published by Elsevier Ltd.. All rights reserved.&lt;/_ori_publication&gt;&lt;_pages&gt;1659-1724&lt;/_pages&gt;&lt;_subject_headings&gt;Africa South of the Sahara/epidemiology; Africa, Northern/epidemiology; Air Pollution, Indoor/statistics &amp;amp; numerical data; Alcohol Drinking/epidemiology; Biomarkers/blood; Blood Glucose/metabolism; Body Mass Index; Cholesterol/blood; *Cost of Illness; Disabled Persons/*statistics &amp;amp; numerical data; *Environmental Exposure/statistics &amp;amp; numerical data; *Global Health; Humans; Hypertension/epidemiology; *Life Expectancy; Malnutrition/epidemiology; Middle East/epidemiology; *Occupational Exposure/statistics &amp;amp; numerical data; Quality-Adjusted Life Years; Risk Assessment; Risk Factors; *Risk-Taking; Smoking/epidemiology; Sodium, Dietary/administration &amp;amp; dosage; Substance-Related Disorders/epidemiology; Unsafe Sex/statistics &amp;amp; numerical data&lt;/_subject_headings&gt;&lt;_tertiary_title&gt;Lancet (London, England)&lt;/_tertiary_title&gt;&lt;_type_work&gt;Comparative Study; Journal Article; Research Support, N.I.H., Extramural; Research Support, Non-U.S. Gov&amp;apos;t; Research Support, U.S. Gov&amp;apos;t, Non-P.H.S.&lt;/_type_work&gt;&lt;_url&gt;http://www.ncbi.nlm.nih.gov/entrez/query.fcgi?cmd=Retrieve&amp;amp;db=pubmed&amp;amp;dopt=Abstract&amp;amp;list_uids=27733284&amp;amp;query_hl=1&lt;/_url&gt;&lt;_volume&gt;388&lt;/_volume&gt;&lt;/Details&gt;&lt;Extra&gt;&lt;DBUID&gt;{F96A950B-833F-4880-A151-76DA2D6A2879}&lt;/DBUID&gt;&lt;/Extra&gt;&lt;/Item&gt;&lt;/References&gt;&lt;/Group&gt;&lt;/Citation&gt;_x000a_"/>
    <w:docVar w:name="NE.Ref{C6EA4804-2E69-45A1-8D20-35605CA1BCF6}" w:val=" ADDIN NE.Ref.{C6EA4804-2E69-45A1-8D20-35605CA1BCF6}&lt;Citation&gt;&lt;Group&gt;&lt;References&gt;&lt;Item&gt;&lt;ID&gt;30&lt;/ID&gt;&lt;UID&gt;{0AB6B808-C360-4F6A-B93A-74B394D22856}&lt;/UID&gt;&lt;Title&gt;Postpartum Weight Retention and Cardiometabolic Risk among Saudi Women: A  Follow-Up Study of RAHMA Subcohort&lt;/Title&gt;&lt;Template&gt;Journal Article&lt;/Template&gt;&lt;Star&gt;0&lt;/Star&gt;&lt;Tag&gt;0&lt;/Tag&gt;&lt;Author&gt;Wahabi, H A; Fayed, A A; Tharkar, S; Esmaeil, S A; Bakhsh, H&lt;/Author&gt;&lt;Year&gt;2019&lt;/Year&gt;&lt;Details&gt;&lt;_accession_num&gt;31355253&lt;/_accession_num&gt;&lt;_author_adr&gt;Chair of Evidence-Based Healthcare and Knowledge Translation, College of  Medicine, King Saud University, Riyadh, Saudi Arabia.; Department of Family and Community Medicine, College of Medicine, King Saud  University, Riyadh, Saudi Arabia.; College of Medicine, Princess Nourah Bint Abdulrahman University, Riyadh, Saudi  Arabia.; Department of Biostatistics, High Institute of Public Health, Alexandria  University, Alexandria, Egypt.; Prince Sattam Chair for Epidemiology and Public Health Research, College of  Medicine, King Saud University, Saudi Arabia.; Chair of Evidence-Based Healthcare and Knowledge Translation, College of  Medicine, King Saud University, Riyadh, Saudi Arabia.; College of Medicine, Princess Nourah Bint Abdulrahman University, Riyadh, Saudi  Arabia.&lt;/_author_adr&gt;&lt;_collection_scope&gt;SCIE&lt;/_collection_scope&gt;&lt;_created&gt;64734599&lt;/_created&gt;&lt;_date&gt;2019-01-20&lt;/_date&gt;&lt;_date_display&gt;2019&lt;/_date_display&gt;&lt;_doi&gt;10.1155/2019/2957429&lt;/_doi&gt;&lt;_impact_factor&gt;   3.411&lt;/_impact_factor&gt;&lt;_isbn&gt;2314-6141 (Electronic); 2314-6133 (Print)&lt;/_isbn&gt;&lt;_journal&gt;Biomed Res Int&lt;/_journal&gt;&lt;_language&gt;eng&lt;/_language&gt;&lt;_modified&gt;64734680&lt;/_modified&gt;&lt;_pages&gt;2957429&lt;/_pages&gt;&lt;_subject_headings&gt;Adult; Female; Follow-Up Studies; *Gestational Weight Gain; Humans; Postpartum Period; Pregnancy; *Pregnancy Complications, Cardiovascular/epidemiology/pathology/physiopathology; Risk Factors; Saudi Arabia/epidemiology&lt;/_subject_headings&gt;&lt;_tertiary_title&gt;BioMed research international&lt;/_tertiary_title&gt;&lt;_type_work&gt;Clinical Trial; Journal Article; Multicenter Study&lt;/_type_work&gt;&lt;_url&gt;http://www.ncbi.nlm.nih.gov/entrez/query.fcgi?cmd=Retrieve&amp;amp;db=pubmed&amp;amp;dopt=Abstract&amp;amp;list_uids=31355253&amp;amp;query_hl=1&lt;/_url&gt;&lt;_volume&gt;2019&lt;/_volume&gt;&lt;/Details&gt;&lt;Extra&gt;&lt;DBUID&gt;{C818A046-6D8C-4B07-8765-4E05C48B46EA}&lt;/DBUID&gt;&lt;/Extra&gt;&lt;/Item&gt;&lt;/References&gt;&lt;/Group&gt;&lt;/Citation&gt;_x000a_"/>
    <w:docVar w:name="NE.Ref{C7B2F422-863D-4AC9-8E76-81914F296D66}" w:val=" ADDIN NE.Ref.{C7B2F422-863D-4AC9-8E76-81914F296D66}&lt;Citation&gt;&lt;Group&gt;&lt;References&gt;&lt;Item&gt;&lt;ID&gt;17&lt;/ID&gt;&lt;UID&gt;{DD6B72E4-DA0C-40E2-AE8C-699E2DF839D3}&lt;/UID&gt;&lt;Title&gt;Weight Trajectories After Delivery are Associated with Adiposity and  Cardiometabolic Markers at 3 Years Postpartum Among Women in Project Viva&lt;/Title&gt;&lt;Template&gt;Journal Article&lt;/Template&gt;&lt;Star&gt;0&lt;/Star&gt;&lt;Tag&gt;0&lt;/Tag&gt;&lt;Author&gt;Soria-Contreras, D C; Rifas-Shiman, S L; Aris, I M; Perng, W; Switkowski, K M; Téllez-Rojo, M M; Trejo-Valdivia, B; López-Ridaura, R; Oken, E&lt;/Author&gt;&lt;Year&gt;2020&lt;/Year&gt;&lt;Details&gt;&lt;_accession_num&gt;32321175&lt;/_accession_num&gt;&lt;_author_adr&gt;Center for Nutrition and Health Research, National Institute of Public Health,  Cuernavaca, Morelos, Mexico.; Division of Chronic Disease Research Across the Lifecourse, Department of  Population Medicine, Harvard Medical School, and Harvard Pilgrim Health Care  Institute, Boston, MA, USA.; Division of Chronic Disease Research Across the Lifecourse, Department of  Population Medicine, Harvard Medical School, and Harvard Pilgrim Health Care  Institute, Boston, MA, USA.; Department of Obstetrics and Gynecology, Yong Loo Lin School of Medicine,  National University of Singapore, Singapore.; Agency for Science, Technology and Research, Singapore Institute for Clinical  Sciences, Singapore.; Department of Epidemiology, Colorado School of Public Health, University of  Colorado Denver, Anschutz Medical Campus, Aurora, CO, USA.; Lifecourse Epidemiology of Adiposity and Diabetes (LEAD) Center, Colorado School  of Public Health, University of Colorado Denver, Anschutz Medical Campus, Aurora,  CO, USA.; Division of Chronic Disease Research Across the Lifecourse, Department of  Population Medicine, Harvard Medical School, and Harvard Pilgrim Health Care  Institute, Boston, MA, USA.; Center for Nutrition and Health Research, National Institute of Public Health,  Cuernavaca, Morelos, Mexico.; Center for Nutrition and Health Research, National Institute of Public Health,  Cuernavaca, Morelos, Mexico.; Center for Population Health Research, National Institute of Public Health,  Cuernavaca, Morelos, Mexico.; Division of Chronic Disease Research Across the Lifecourse, Department of  Population Medicine, Harvard Medical School, and Harvard Pilgrim Health Care  Institute, Boston, MA, USA.; Department of Nutrition, Harvard T.H. Chan School of Public Health, Boston, MA,  USA.&lt;/_author_adr&gt;&lt;_collection_scope&gt;SCI;SCIE&lt;/_collection_scope&gt;&lt;_created&gt;64733397&lt;/_created&gt;&lt;_date&gt;2020-07-01&lt;/_date&gt;&lt;_date_display&gt;2020 Jul 1&lt;/_date_display&gt;&lt;_doi&gt;10.1093/jn/nxaa104&lt;/_doi&gt;&lt;_impact_factor&gt;   4.798&lt;/_impact_factor&gt;&lt;_isbn&gt;1541-6100 (Electronic); 0022-3166 (Print); 0022-3166 (Linking)&lt;/_isbn&gt;&lt;_issue&gt;7&lt;/_issue&gt;&lt;_journal&gt;J Nutr&lt;/_journal&gt;&lt;_keywords&gt;Project Viva; adiposity; cardiovascular risk factors; diet; gestational weight gain; postpartum weight change; postpartum weight trajectories; pre-pregnancy BMI&lt;/_keywords&gt;&lt;_language&gt;eng&lt;/_language&gt;&lt;_modified&gt;64734679&lt;/_modified&gt;&lt;_ori_publication&gt;Copyright © The Author(s) on behalf of the American Society for Nutrition 2020.&lt;/_ori_publication&gt;&lt;_pages&gt;1889-1898&lt;/_pages&gt;&lt;_subject_headings&gt;*Adiposity; Adult; Biomarkers/blood; Cardiovascular Diseases/*blood; Diet; Female; Humans; Metabolic Diseases/*blood; *Postpartum Period; Pregnancy; Weight Gain; Weight Loss&lt;/_subject_headings&gt;&lt;_tertiary_title&gt;The Journal of nutrition&lt;/_tertiary_title&gt;&lt;_type_work&gt;Journal Article; Research Support, N.I.H., Extramural&lt;/_type_work&gt;&lt;_url&gt;http://www.ncbi.nlm.nih.gov/entrez/query.fcgi?cmd=Retrieve&amp;amp;db=pubmed&amp;amp;dopt=Abstract&amp;amp;list_uids=32321175&amp;amp;query_hl=1&lt;/_url&gt;&lt;_volume&gt;150&lt;/_volume&gt;&lt;/Details&gt;&lt;Extra&gt;&lt;DBUID&gt;{C818A046-6D8C-4B07-8765-4E05C48B46EA}&lt;/DBUID&gt;&lt;/Extra&gt;&lt;/Item&gt;&lt;/References&gt;&lt;/Group&gt;&lt;/Citation&gt;_x000a_"/>
    <w:docVar w:name="NE.Ref{C856B35A-D202-4AA0-BE00-6C6921313FD7}" w:val=" ADDIN NE.Ref.{C856B35A-D202-4AA0-BE00-6C6921313FD7}&lt;Citation&gt;&lt;Group&gt;&lt;References&gt;&lt;Item&gt;&lt;ID&gt;545&lt;/ID&gt;&lt;UID&gt;{51840757-0C87-44F9-ADA7-7ABE3FA3DBC6}&lt;/UID&gt;&lt;Title&gt;Patterns of Weight Change One Year after Delivery Are Associated with  Cardiometabolic Risk Factors at Six Years Postpartum in Mexican Women&lt;/Title&gt;&lt;Template&gt;Journal Article&lt;/Template&gt;&lt;Star&gt;1&lt;/Star&gt;&lt;Tag&gt;5&lt;/Tag&gt;&lt;Author&gt;Soria-Contreras, D C; Trejo-Valdivia, B; Cantoral, A; Pizano-Zárate, M L; Baccarelli, A A; Just, A C; Colicino, E; Deierlein, A L; Wright, R O; Oken, E; Téllez-Rojo, M M; López-Ridaura, R&lt;/Author&gt;&lt;Year&gt;2020&lt;/Year&gt;&lt;Details&gt;&lt;_accession_num&gt;31936138&lt;/_accession_num&gt;&lt;_author_adr&gt;Center for Nutrition and Health Research, National Institute of Public Health,  Avenida Universidad no. 655, Santa María Ahuacatitlán, Cuernavaca, Morelos 62100,  Mexico.; Center for Nutrition and Health Research, National Institute of Public Health,  Avenida Universidad no. 655, Santa María Ahuacatitlán, Cuernavaca, Morelos 62100,  Mexico.; Center for Nutrition and Health Research, National Institute of Public Health,  Avenida Universidad no. 655, Santa María Ahuacatitlán, Cuernavaca, Morelos 62100,  Mexico.; National Council on Science and Technology, Avenida Insurgentes Sur no. 1582, San  José Insurgentes, Benito Juárez, Ciudad de México 08400, Mexico.; Division of Community Interventions Research, National Institute of Perinatology,  Montes Urales no. 800, Lomas de Virreyes, Miguel Hidalgo, Ciudad de México 11000,  Mexico.; Department of Environmental Health Sciences, Mailman School of Public Health,  Columbia University Medical Center, 722 West 168th Street, Suite 1105E, New York,  NY 10032, USA.; Department of Environmental Medicine and Public Health, Icahn School of Medicine  at Mount Sinai, 17 East 102 Street Floor 3, New York, NY 10029, USA.; Department of Environmental Medicine and Public Health, Icahn School of Medicine  at Mount Sinai, 17 East 102 Street Floor 3, New York, NY 10029, USA.; College of Global Public Health, New York University, 715 Broadway, New York, NY  10003, USA.; Department of Environmental Medicine and Public Health, Icahn School of Medicine  at Mount Sinai, 17 East 102 Street Floor 3, New York, NY 10029, USA.; Division of Chronic Disease Research Across the Lifecourse, Department of  Population Medicine, Harvard Medical School and Harvard Pilgrim Health Care  Institute, Landmark Center, 401 Park Drive, Suite 401 East Boston, MA 02215, USA.; Center for Nutrition and Health Research, National Institute of Public Health,  Avenida Universidad no. 655, Santa María Ahuacatitlán, Cuernavaca, Morelos 62100,  Mexico.; National Center for Prevention Programs and Disease Control, Benjamín Franklin  no.132, Escandón, Miguel Hidalgo, Ciudad de México 11800, Mexico.&lt;/_author_adr&gt;&lt;_collection_scope&gt;SCIE&lt;/_collection_scope&gt;&lt;_created&gt;64525652&lt;/_created&gt;&lt;_date&gt;2020-01-07&lt;/_date&gt;&lt;_date_display&gt;2020 Jan 7&lt;/_date_display&gt;&lt;_doi&gt;10.3390/nu12010170&lt;/_doi&gt;&lt;_impact_factor&gt;   5.719&lt;/_impact_factor&gt;&lt;_isbn&gt;2072-6643 (Electronic); 2072-6643 (Linking)&lt;/_isbn&gt;&lt;_issue&gt;1&lt;/_issue&gt;&lt;_journal&gt;Nutrients&lt;/_journal&gt;&lt;_keywords&gt;PROGRESS cohort; Postpartum weight change; adiposity; cardiovascular risk; postpartum weight gain; postpartum weight retention&lt;/_keywords&gt;&lt;_language&gt;eng&lt;/_language&gt;&lt;_modified&gt;64599346&lt;/_modified&gt;&lt;_subject_headings&gt;Adult; *Cardiovascular Diseases; Female; Humans; *Metabolic Diseases; Mexico; Obesity; *Postpartum Period; Risk Factors; Time Factors; *Weight Gain; Young Adult&lt;/_subject_headings&gt;&lt;_tertiary_title&gt;Nutrients&lt;/_tertiary_title&gt;&lt;_type_work&gt;Journal Article&lt;/_type_work&gt;&lt;_url&gt;http://www.ncbi.nlm.nih.gov/entrez/query.fcgi?cmd=Retrieve&amp;amp;db=pubmed&amp;amp;dopt=Abstract&amp;amp;list_uids=31936138&amp;amp;query_hl=1&lt;/_url&gt;&lt;_volume&gt;12&lt;/_volume&gt;&lt;/Details&gt;&lt;Extra&gt;&lt;DBUID&gt;{F96A950B-833F-4880-A151-76DA2D6A2879}&lt;/DBUID&gt;&lt;/Extra&gt;&lt;/Item&gt;&lt;/References&gt;&lt;/Group&gt;&lt;Group&gt;&lt;References&gt;&lt;Item&gt;&lt;ID&gt;579&lt;/ID&gt;&lt;UID&gt;{370E55E6-9742-4E5A-9FCB-18DE71BA654F}&lt;/UID&gt;&lt;Title&gt;Cardiometabolic implications of postpartum weight changes in the first year after  delivery&lt;/Title&gt;&lt;Template&gt;Journal Article&lt;/Template&gt;&lt;Star&gt;1&lt;/Star&gt;&lt;Tag&gt;5&lt;/Tag&gt;&lt;Author&gt;Kew, S; Ye, C; Hanley, A J; Connelly, P W; Sermer, M; Zinman, B; Retnakaran, R&lt;/Author&gt;&lt;Year&gt;2014&lt;/Year&gt;&lt;Details&gt;&lt;_accession_num&gt;24667457&lt;/_accession_num&gt;&lt;_author_adr&gt;Leadership Sinai Centre for Diabetes, Mount Sinai Hospital, Toronto, Ontario,  Canada.; Leadership Sinai Centre for Diabetes, Mount Sinai Hospital, Toronto, Ontario,  Canada.; Leadership Sinai Centre for Diabetes, Mount Sinai Hospital, Toronto, Ontario,  CanadaDivision of Endocrinology, University of Toronto, Toronto, Ontario,  CanadaDepartment of Nutritional Sciences, University of Toronto, Toronto,  Ontario, Canada.; Division of Endocrinology, University of Toronto, Toronto, Ontario, CanadaKeenan  Research Centre, Li Ka Shing Knowledge Institute, St. Michael&amp;apos;s Hospital,  Toronto, Canada.; Division of Obstetrics and Gynecology, Mount Sinai Hospital, Toronto, Canada.; Leadership Sinai Centre for Diabetes, Mount Sinai Hospital, Toronto, Ontario,  CanadaDivision of Endocrinology, University of Toronto, Toronto, Ontario,  CanadaLunenfeld-Tanenbaum Research Institute, Mount Sinai Hospital, Toronto,  Canada.; Leadership Sinai Centre for Diabetes, Mount Sinai Hospital, Toronto, Ontario,  CanadaDivision of Endocrinology, University of Toronto, Toronto, Ontario,  CanadaLunenfeld-Tanenbaum Research Institute, Mount Sinai Hospital, Toronto,  Canada rretnakaran@mtsinai.on.ca.&lt;/_author_adr&gt;&lt;_collection_scope&gt;SCI;SCIE&lt;/_collection_scope&gt;&lt;_created&gt;64585225&lt;/_created&gt;&lt;_date&gt;2014-07-01&lt;/_date&gt;&lt;_date_display&gt;2014 Jul&lt;/_date_display&gt;&lt;_doi&gt;10.2337/dc14-0087&lt;/_doi&gt;&lt;_impact_factor&gt;  19.112&lt;/_impact_factor&gt;&lt;_isbn&gt;1935-5548 (Electronic); 0149-5992 (Linking)&lt;/_isbn&gt;&lt;_issue&gt;7&lt;/_issue&gt;&lt;_journal&gt;Diabetes Care&lt;/_journal&gt;&lt;_language&gt;eng&lt;/_language&gt;&lt;_modified&gt;64599344&lt;/_modified&gt;&lt;_ori_publication&gt;© 2014 by the American Diabetes Association.&lt;/_ori_publication&gt;&lt;_pages&gt;1998-2006&lt;/_pages&gt;&lt;_subject_headings&gt;Adiponectin/metabolism; Adult; Apolipoproteins B/metabolism; Body Weight/*physiology; C-Reactive Protein/metabolism; Cardiovascular Diseases/etiology; Cholesterol, LDL/blood; Female; Humans; Insulin Resistance/physiology; *Postpartum Period; Pregnancy; Risk Factors; Time Factors; Triglycerides/blood; Weight Gain/*physiology; Weight Loss/*physiology&lt;/_subject_headings&gt;&lt;_tertiary_title&gt;Diabetes care&lt;/_tertiary_title&gt;&lt;_type_work&gt;Journal Article; Observational Study; Research Support, Non-U.S. Gov&amp;apos;t&lt;/_type_work&gt;&lt;_url&gt;http://www.ncbi.nlm.nih.gov/entrez/query.fcgi?cmd=Retrieve&amp;amp;db=pubmed&amp;amp;dopt=Abstract&amp;amp;list_uids=24667457&amp;amp;query_hl=1&lt;/_url&gt;&lt;_volume&gt;37&lt;/_volume&gt;&lt;/Details&gt;&lt;Extra&gt;&lt;DBUID&gt;{F96A950B-833F-4880-A151-76DA2D6A2879}&lt;/DBUID&gt;&lt;/Extra&gt;&lt;/Item&gt;&lt;/References&gt;&lt;/Group&gt;&lt;/Citation&gt;_x000a_"/>
    <w:docVar w:name="NE.Ref{C8A72A83-1014-439B-8D95-4E26EA21A606}" w:val=" ADDIN NE.Ref.{C8A72A83-1014-439B-8D95-4E26EA21A606}&lt;Citation&gt;&lt;Group&gt;&lt;References&gt;&lt;Item&gt;&lt;ID&gt;40&lt;/ID&gt;&lt;UID&gt;{82E477FB-BC3E-4939-AA3E-A8EB5FC15471}&lt;/UID&gt;&lt;Title&gt;Effect of lifestyle intervention on cardiometabolic risk factors: results of the  POWER-UP trial&lt;/Title&gt;&lt;Template&gt;Journal Article&lt;/Template&gt;&lt;Star&gt;0&lt;/Star&gt;&lt;Tag&gt;0&lt;/Tag&gt;&lt;Author&gt;Vetter, M L; Wadden, T A; Chittams, J; Diewald, L K; Panigrahi, E; Volger, S; Sarwer, D B; Moore, R H&lt;/Author&gt;&lt;Year&gt;2013&lt;/Year&gt;&lt;Details&gt;&lt;_accession_num&gt;23921777&lt;/_accession_num&gt;&lt;_author_adr&gt;Division of Endocrinology, Diabetes and Metabolism, Department of Medicine,  Perelman School of Medicine at the University of Pennsylvania, Philadelphia, PA  19104, USA. marion.vetter@uphs.upenn.edu&lt;/_author_adr&gt;&lt;_created&gt;64734739&lt;/_created&gt;&lt;_date&gt;2013-08-01&lt;/_date&gt;&lt;_date_display&gt;2013 Aug&lt;/_date_display&gt;&lt;_doi&gt;10.1038/ijo.2013.92&lt;/_doi&gt;&lt;_impact_factor&gt;   5.095&lt;/_impact_factor&gt;&lt;_isbn&gt;1476-5497 (Electronic); 0307-0565 (Print); 0307-0565 (Linking)&lt;/_isbn&gt;&lt;_issue&gt;0 1&lt;/_issue&gt;&lt;_journal&gt;Int J Obes (Lond)&lt;/_journal&gt;&lt;_language&gt;eng&lt;/_language&gt;&lt;_modified&gt;64734744&lt;/_modified&gt;&lt;_pages&gt;S19-24&lt;/_pages&gt;&lt;_subject_headings&gt;*Behavior Therapy; Blood Glucose/metabolism; Blood Pressure; Body Mass Index; Cardiovascular Diseases/blood/epidemiology/*prevention &amp;amp; control; Cholesterol, HDL/blood; Cholesterol, LDL/blood; Diet, Reducing; *Directive Counseling; Female; Humans; Insulin Resistance; Lipids/blood; Male; Middle Aged; Obesity/blood/epidemiology/*therapy; Pennsylvania/epidemiology; *Primary Health Care; Risk Factors; *Risk Reduction Behavior; Treatment Outcome; Triglycerides/blood; *Weight Loss&lt;/_subject_headings&gt;&lt;_tertiary_title&gt;International journal of obesity (2005)&lt;/_tertiary_title&gt;&lt;_type_work&gt;Journal Article; Multicenter Study; Randomized Controlled Trial; Research Support, N.I.H., Extramural&lt;/_type_work&gt;&lt;_url&gt;http://www.ncbi.nlm.nih.gov/entrez/query.fcgi?cmd=Retrieve&amp;amp;db=pubmed&amp;amp;dopt=Abstract&amp;amp;list_uids=23921777&amp;amp;query_hl=1&lt;/_url&gt;&lt;_volume&gt;37 Suppl 1&lt;/_volume&gt;&lt;/Details&gt;&lt;Extra&gt;&lt;DBUID&gt;{C818A046-6D8C-4B07-8765-4E05C48B46EA}&lt;/DBUID&gt;&lt;/Extra&gt;&lt;/Item&gt;&lt;/References&gt;&lt;/Group&gt;&lt;/Citation&gt;_x000a_"/>
    <w:docVar w:name="NE.Ref{CB40B11F-8EB1-44C5-A910-AE961A4E8145}" w:val=" ADDIN NE.Ref.{CB40B11F-8EB1-44C5-A910-AE961A4E8145}&lt;Citation&gt;&lt;Group&gt;&lt;References&gt;&lt;Item&gt;&lt;ID&gt;37&lt;/ID&gt;&lt;UID&gt;{2A79A2D0-5C86-45FD-B15B-BAA5B78906B2}&lt;/UID&gt;&lt;Title&gt;Prediction of clinical cardiovascular events with carotid intima-media thickness:  a systematic review and meta-analysis&lt;/Title&gt;&lt;Template&gt;Journal Article&lt;/Template&gt;&lt;Star&gt;0&lt;/Star&gt;&lt;Tag&gt;0&lt;/Tag&gt;&lt;Author&gt;Lorenz, M W; Markus, H S; Bots, M L; Rosvall, M; Sitzer, M&lt;/Author&gt;&lt;Year&gt;2007&lt;/Year&gt;&lt;Details&gt;&lt;_accession_num&gt;17242284&lt;/_accession_num&gt;&lt;_author_adr&gt;Johann Wolfgang Goethe-University, Department for Neurology, Schleusenweg 2-16,  D-60528 Frankfurt/Main, Germany. matthias.lorenz@em.uni-frankfurt.de&lt;/_author_adr&gt;&lt;_collection_scope&gt;SCI;SCIE&lt;/_collection_scope&gt;&lt;_created&gt;64734731&lt;/_created&gt;&lt;_date&gt;2007-01-30&lt;/_date&gt;&lt;_date_display&gt;2007 Jan 30&lt;/_date_display&gt;&lt;_doi&gt;10.1161/CIRCULATIONAHA.106.628875&lt;/_doi&gt;&lt;_impact_factor&gt;  29.690&lt;/_impact_factor&gt;&lt;_isbn&gt;1524-4539 (Electronic); 0009-7322 (Linking)&lt;/_isbn&gt;&lt;_issue&gt;4&lt;/_issue&gt;&lt;_journal&gt;Circulation&lt;/_journal&gt;&lt;_language&gt;eng&lt;/_language&gt;&lt;_modified&gt;64734731&lt;/_modified&gt;&lt;_pages&gt;459-67&lt;/_pages&gt;&lt;_subject_headings&gt;Carotid Arteries/*pathology; Carotid Artery Diseases/*epidemiology/*pathology; Humans; Myocardial Infarction/*epidemiology; Predictive Value of Tests; Risk Factors; Stroke/*epidemiology; Tunica Intima/pathology; Tunica Media/pathology&lt;/_subject_headings&gt;&lt;_tertiary_title&gt;Circulation&lt;/_tertiary_title&gt;&lt;_type_work&gt;Journal Article; Meta-Analysis; Research Support, N.I.H., Extramural; Research Support, Non-U.S. Gov&amp;apos;t; Review; Systematic Review&lt;/_type_work&gt;&lt;_url&gt;http://www.ncbi.nlm.nih.gov/entrez/query.fcgi?cmd=Retrieve&amp;amp;db=pubmed&amp;amp;dopt=Abstract&amp;amp;list_uids=17242284&amp;amp;query_hl=1&lt;/_url&gt;&lt;_volume&gt;115&lt;/_volume&gt;&lt;/Details&gt;&lt;Extra&gt;&lt;DBUID&gt;{C818A046-6D8C-4B07-8765-4E05C48B46EA}&lt;/DBUID&gt;&lt;/Extra&gt;&lt;/Item&gt;&lt;/References&gt;&lt;/Group&gt;&lt;/Citation&gt;_x000a_"/>
    <w:docVar w:name="NE.Ref{CCB28671-E659-4084-A79F-41835281842B}" w:val=" ADDIN NE.Ref.{CCB28671-E659-4084-A79F-41835281842B}&lt;Citation&gt;&lt;Group&gt;&lt;References&gt;&lt;Item&gt;&lt;ID&gt;551&lt;/ID&gt;&lt;UID&gt;{3EBE7698-9ED4-4234-BF83-133CF508F7F9}&lt;/UID&gt;&lt;Title&gt;Obesity levels in a national cohort of women 9 months after delivery&lt;/Title&gt;&lt;Template&gt;Journal Article&lt;/Template&gt;&lt;Star&gt;1&lt;/Star&gt;&lt;Tag&gt;0&lt;/Tag&gt;&lt;Author&gt;Turner, M J; Layte, R&lt;/Author&gt;&lt;Year&gt;2013&lt;/Year&gt;&lt;Details&gt;&lt;_accessed&gt;64529076&lt;/_accessed&gt;&lt;_accession_num&gt;23583210&lt;/_accession_num&gt;&lt;_author_adr&gt;UCD Centre for Human Reproduction, Coombe Women and Infants University Hospital,  Dublin, Ireland. Michael.turner@ucd.ie&lt;/_author_adr&gt;&lt;_collection_scope&gt;SCI;SCIE&lt;/_collection_scope&gt;&lt;_created&gt;64525826&lt;/_created&gt;&lt;_date&gt;2013-08-01&lt;/_date&gt;&lt;_date_display&gt;2013 Aug&lt;/_date_display&gt;&lt;_doi&gt;10.1016/j.ajog.2013.04.020&lt;/_doi&gt;&lt;_impact_factor&gt;   8.661&lt;/_impact_factor&gt;&lt;_isbn&gt;1097-6868 (Electronic); 0002-9378 (Linking)&lt;/_isbn&gt;&lt;_issue&gt;2&lt;/_issue&gt;&lt;_journal&gt;Am J Obstet Gynecol&lt;/_journal&gt;&lt;_keywords&gt;maternal obesity; parity; postpartum weight&lt;/_keywords&gt;&lt;_language&gt;eng&lt;/_language&gt;&lt;_modified&gt;64530227&lt;/_modified&gt;&lt;_ori_publication&gt;Copyright © 2013 Mosby, Inc. All rights reserved.&lt;/_ori_publication&gt;&lt;_pages&gt;124.e1-7&lt;/_pages&gt;&lt;_subject_headings&gt;Adult; Body Mass Index; Cohort Studies; Female; Humans; Ireland; Logistic Models; Obesity/*etiology; Parity; Postpartum Period; Pregnancy; Pregnancy Complications/*etiology; Socioeconomic Factors; Weight Gain&lt;/_subject_headings&gt;&lt;_tertiary_title&gt;American journal of obstetrics and gynecology&lt;/_tertiary_title&gt;&lt;_type_work&gt;Journal Article; Research Support, Non-U.S. Gov&amp;apos;t&lt;/_type_work&gt;&lt;_url&gt;http://www.ncbi.nlm.nih.gov/entrez/query.fcgi?cmd=Retrieve&amp;amp;db=pubmed&amp;amp;dopt=Abstract&amp;amp;list_uids=23583210&amp;amp;query_hl=1&lt;/_url&gt;&lt;_volume&gt;209&lt;/_volume&gt;&lt;/Details&gt;&lt;Extra&gt;&lt;DBUID&gt;{F96A950B-833F-4880-A151-76DA2D6A2879}&lt;/DBUID&gt;&lt;/Extra&gt;&lt;/Item&gt;&lt;/References&gt;&lt;/Group&gt;&lt;/Citation&gt;_x000a_"/>
    <w:docVar w:name="NE.Ref{CE2EC943-90A5-44FE-B384-AF787876388E}" w:val=" ADDIN NE.Ref.{CE2EC943-90A5-44FE-B384-AF787876388E}&lt;Citation&gt;&lt;Group&gt;&lt;References&gt;&lt;Item&gt;&lt;ID&gt;602&lt;/ID&gt;&lt;UID&gt;{B6CC4CD5-F0BF-4902-82D2-1EDDB7165D06}&lt;/UID&gt;&lt;Title&gt;Trends in adult body-mass index in 200 countries from 1975 to 2014: a pooled  analysis of 1698 population-based measurement studies with 19·2 million  participants&lt;/Title&gt;&lt;Template&gt;Journal Article&lt;/Template&gt;&lt;Star&gt;0&lt;/Star&gt;&lt;Tag&gt;0&lt;/Tag&gt;&lt;Author/&gt;&lt;Year&gt;2016&lt;/Year&gt;&lt;Details&gt;&lt;_accessed&gt;64664558&lt;/_accessed&gt;&lt;_accession_num&gt;27115820&lt;/_accession_num&gt;&lt;_collection_scope&gt;SCI;SCIE&lt;/_collection_scope&gt;&lt;_created&gt;64664558&lt;/_created&gt;&lt;_date&gt;2016-04-02&lt;/_date&gt;&lt;_date_display&gt;2016 Apr 2&lt;/_date_display&gt;&lt;_doi&gt;10.1016/S0140-6736(16)30054-X&lt;/_doi&gt;&lt;_impact_factor&gt;  79.323&lt;/_impact_factor&gt;&lt;_isbn&gt;1474-547X (Electronic); 0140-6736 (Linking)&lt;/_isbn&gt;&lt;_issue&gt;10026&lt;/_issue&gt;&lt;_journal&gt;Lancet&lt;/_journal&gt;&lt;_language&gt;eng&lt;/_language&gt;&lt;_modified&gt;64664559&lt;/_modified&gt;&lt;_ori_publication&gt;Copyright © 2016 NCD Risk Factor Collaboration. Open Access article distributed _x000d__x000a_      under the terms of CC BY. Published by Elsevier Ltd.. All rights reserved.&lt;/_ori_publication&gt;&lt;_pages&gt;1377-1396&lt;/_pages&gt;&lt;_subject_headings&gt;Adolescent; Adult; Bayes Theorem; *Body Mass Index; Developed Countries; Developing Countries; Female; Forecasting; *Global Health; Humans; Male; Models, Statistical; Obesity/*epidemiology; Prevalence; Thinness/epidemiology; Young Adult&lt;/_subject_headings&gt;&lt;_tertiary_title&gt;Lancet (London, England)&lt;/_tertiary_title&gt;&lt;_type_work&gt;Journal Article; Meta-Analysis; Research Support, Non-U.S. Gov&amp;apos;t; Review&lt;/_type_work&gt;&lt;_url&gt;http://www.ncbi.nlm.nih.gov/entrez/query.fcgi?cmd=Retrieve&amp;amp;db=pubmed&amp;amp;dopt=Abstract&amp;amp;list_uids=27115820&amp;amp;query_hl=1&lt;/_url&gt;&lt;_volume&gt;387&lt;/_volume&gt;&lt;/Details&gt;&lt;Extra&gt;&lt;DBUID&gt;{F96A950B-833F-4880-A151-76DA2D6A2879}&lt;/DBUID&gt;&lt;/Extra&gt;&lt;/Item&gt;&lt;/References&gt;&lt;/Group&gt;&lt;/Citation&gt;_x000a_"/>
    <w:docVar w:name="NE.Ref{CEF378AC-068B-4B42-B399-B2D1E339547A}" w:val=" ADDIN NE.Ref.{CEF378AC-068B-4B42-B399-B2D1E339547A}&lt;Citation&gt;&lt;Group&gt;&lt;References&gt;&lt;Item&gt;&lt;ID&gt;590&lt;/ID&gt;&lt;UID&gt;{FD3A7481-4007-466A-BED6-C2E71A5C6094}&lt;/UID&gt;&lt;Title&gt;Parity and Components of the Metabolic Syndrome Among US Hispanic/Latina Women:  Results From the Hispanic Community Health Study/Study of Latinos&lt;/Title&gt;&lt;Template&gt;Journal Article&lt;/Template&gt;&lt;Star&gt;0&lt;/Star&gt;&lt;Tag&gt;5&lt;/Tag&gt;&lt;Author&gt;Vladutiu, C J; Siega-Riz, A M; Sotres-Alvarez, D; Stuebe, A M; Ni, A; Tabb, K M; Gallo, L C; Potter, J E; Heiss, G&lt;/Author&gt;&lt;Year&gt;2016&lt;/Year&gt;&lt;Details&gt;&lt;_accession_num&gt;26908862&lt;/_accession_num&gt;&lt;_author_adr&gt;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catherine_vladutiu@med.unc.edu.;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lt;/_author_adr&gt;&lt;_created&gt;64592485&lt;/_created&gt;&lt;_date&gt;2016-02-01&lt;/_date&gt;&lt;_date_display&gt;2016 Feb&lt;/_date_display&gt;&lt;_doi&gt;10.1161/CIRCOUTCOMES.115.002464&lt;/_doi&gt;&lt;_impact_factor&gt;   5.882&lt;/_impact_factor&gt;&lt;_isbn&gt;1941-7705 (Electronic); 1941-7713 (Print); 1941-7713 (Linking)&lt;/_isbn&gt;&lt;_issue&gt;2 Suppl 1&lt;/_issue&gt;&lt;_journal&gt;Circ Cardiovasc Qual Outcomes&lt;/_journal&gt;&lt;_keywords&gt;Hispanic Americans; cohort studies; metabolic syndrome X; parity; pregnancy&lt;/_keywords&gt;&lt;_language&gt;eng&lt;/_language&gt;&lt;_modified&gt;64601490&lt;/_modified&gt;&lt;_ori_publication&gt;© 2016 American Heart Association, Inc.&lt;/_ori_publication&gt;&lt;_pages&gt;S62-9&lt;/_pages&gt;&lt;_subject_headings&gt;Adult; Cardiovascular Diseases/prevention &amp;amp; control; Cholesterol, HDL/blood; Cohort Studies; Female; *Hispanic or Latino; Humans; Metabolic Syndrome/epidemiology/*ethnology; Middle Aged; *Parity; Pregnancy; Prevalence; Prospective Studies&lt;/_subject_headings&gt;&lt;_tertiary_title&gt;Circulation. Cardiovascular quality and outcomes&lt;/_tertiary_title&gt;&lt;_type_work&gt;Journal Article; Research Support, N.I.H., Extramural; Research Support, U.S. Gov&amp;apos;t, P.H.S.&lt;/_type_work&gt;&lt;_url&gt;http://www.ncbi.nlm.nih.gov/entrez/query.fcgi?cmd=Retrieve&amp;amp;db=pubmed&amp;amp;dopt=Abstract&amp;amp;list_uids=26908862&amp;amp;query_hl=1&lt;/_url&gt;&lt;_volume&gt;9&lt;/_volume&gt;&lt;/Details&gt;&lt;Extra&gt;&lt;DBUID&gt;{F96A950B-833F-4880-A151-76DA2D6A2879}&lt;/DBUID&gt;&lt;/Extra&gt;&lt;/Item&gt;&lt;/References&gt;&lt;/Group&gt;&lt;Group&gt;&lt;References&gt;&lt;Item&gt;&lt;ID&gt;591&lt;/ID&gt;&lt;UID&gt;{C977948B-1E0E-4A35-B933-5DCE6E8BA75C}&lt;/UID&gt;&lt;Title&gt;Childbearing may increase visceral adipose tissue independent of overall increase  in body fat&lt;/Title&gt;&lt;Template&gt;Journal Article&lt;/Template&gt;&lt;Star&gt;0&lt;/Star&gt;&lt;Tag&gt;5&lt;/Tag&gt;&lt;Author&gt;Gunderson, E P; Sternfeld, B; Wellons, M F; Whitmer, R A; Chiang, V; Quesenberry, CP Jr; Lewis, C E; Sidney, S&lt;/Author&gt;&lt;Year&gt;2008&lt;/Year&gt;&lt;Details&gt;&lt;_accession_num&gt;18356843&lt;/_accession_num&gt;&lt;_author_adr&gt;Division of Research, Epidemiology and Prevention Section, Kaiser Permanente,  Oakland, California, USA. epg@dor.kaiser.org&lt;/_author_adr&gt;&lt;_created&gt;64592490&lt;/_created&gt;&lt;_date&gt;2008-05-01&lt;/_date&gt;&lt;_date_display&gt;2008 May&lt;/_date_display&gt;&lt;_doi&gt;10.1038/oby.2008.40&lt;/_doi&gt;&lt;_impact_factor&gt;   5.002&lt;/_impact_factor&gt;&lt;_isbn&gt;1930-7381 (Print); 1930-7381 (Linking)&lt;/_isbn&gt;&lt;_issue&gt;5&lt;/_issue&gt;&lt;_journal&gt;Obesity (Silver Spring)&lt;/_journal&gt;&lt;_language&gt;eng&lt;/_language&gt;&lt;_modified&gt;64601490&lt;/_modified&gt;&lt;_pages&gt;1078-84&lt;/_pages&gt;&lt;_subject_headings&gt;Absorptiometry, Photon; Adipose Tissue/diagnostic imaging/*physiology; Adolescent; Adult; Body Composition/physiology; *Body Fat Distribution; Cohort Studies; Female; Humans; Intra-Abdominal Fat/diagnostic imaging/*physiology; Linear Models; Longitudinal Studies; Pregnancy/*physiology; Prospective Studies; Subcutaneous Fat, Abdominal/diagnostic imaging/physiology; Tomography, X-Ray Computed&lt;/_subject_headings&gt;&lt;_tertiary_title&gt;Obesity (Silver Spring, Md.)&lt;/_tertiary_title&gt;&lt;_type_work&gt;Journal Article; Multicenter Study; Research Support, N.I.H., Extramural&lt;/_type_work&gt;&lt;_url&gt;http://www.ncbi.nlm.nih.gov/entrez/query.fcgi?cmd=Retrieve&amp;amp;db=pubmed&amp;amp;dopt=Abstract&amp;amp;list_uids=18356843&amp;amp;query_hl=1&lt;/_url&gt;&lt;_volume&gt;16&lt;/_volume&gt;&lt;/Details&gt;&lt;Extra&gt;&lt;DBUID&gt;{F96A950B-833F-4880-A151-76DA2D6A2879}&lt;/DBUID&gt;&lt;/Extra&gt;&lt;/Item&gt;&lt;/References&gt;&lt;/Group&gt;&lt;Group&gt;&lt;References&gt;&lt;Item&gt;&lt;ID&gt;592&lt;/ID&gt;&lt;UID&gt;{9E9AA557-9FA1-4C95-9440-B31986B0DF84}&lt;/UID&gt;&lt;Title&gt;Long-term plasma lipid changes associated with a first birth: the Coronary Artery  Risk Development in Young Adults study&lt;/Title&gt;&lt;Template&gt;Journal Article&lt;/Template&gt;&lt;Star&gt;0&lt;/Star&gt;&lt;Tag&gt;5&lt;/Tag&gt;&lt;Author&gt;Gunderson, E P; Lewis, C E; Murtaugh, M A; Quesenberry, C P; Smith, West D; Sidney, S&lt;/Author&gt;&lt;Year&gt;2004&lt;/Year&gt;&lt;Details&gt;&lt;_accession_num&gt;15155287&lt;/_accession_num&gt;&lt;_author_adr&gt;Division of Research, Kaiser Permanente Medical Care Program, Northern  California, Oakland, CA 94612, USA. epg@dor.kaiser.org&lt;/_author_adr&gt;&lt;_collection_scope&gt;SCI;SCIE&lt;/_collection_scope&gt;&lt;_created&gt;64592498&lt;/_created&gt;&lt;_date&gt;2004-06-01&lt;/_date&gt;&lt;_date_display&gt;2004 Jun 1&lt;/_date_display&gt;&lt;_doi&gt;10.1093/aje/kwh146&lt;/_doi&gt;&lt;_impact_factor&gt;   4.897&lt;/_impact_factor&gt;&lt;_isbn&gt;0002-9262 (Print); 1476-6256 (Electronic); 0002-9262 (Linking)&lt;/_isbn&gt;&lt;_issue&gt;11&lt;/_issue&gt;&lt;_journal&gt;Am J Epidemiol&lt;/_journal&gt;&lt;_language&gt;eng&lt;/_language&gt;&lt;_modified&gt;64601490&lt;/_modified&gt;&lt;_pages&gt;1028-39&lt;/_pages&gt;&lt;_subject_headings&gt;Adolescent; Adult; Blacks/statistics &amp;amp; numerical data; Body Mass Index; Cardiovascular Diseases/etiology; Chi-Square Distribution; Female; Humans; Linear Models; Lipids/*blood; Longitudinal Studies; Parity; Pregnancy/*blood; Prospective Studies; Risk Factors; Time Factors; Whites/statistics &amp;amp; numerical data&lt;/_subject_headings&gt;&lt;_tertiary_title&gt;American journal of epidemiology&lt;/_tertiary_title&gt;&lt;_type_work&gt;Journal Article; Multicenter Study; Research Support, U.S. Gov&amp;apos;t, P.H.S.&lt;/_type_work&gt;&lt;_url&gt;http://www.ncbi.nlm.nih.gov/entrez/query.fcgi?cmd=Retrieve&amp;amp;db=pubmed&amp;amp;dopt=Abstract&amp;amp;list_uids=15155287&amp;amp;query_hl=1&lt;/_url&gt;&lt;_volume&gt;159&lt;/_volume&gt;&lt;/Details&gt;&lt;Extra&gt;&lt;DBUID&gt;{F96A950B-833F-4880-A151-76DA2D6A2879}&lt;/DBUID&gt;&lt;/Extra&gt;&lt;/Item&gt;&lt;/References&gt;&lt;/Group&gt;&lt;Group&gt;&lt;References&gt;&lt;Item&gt;&lt;ID&gt;599&lt;/ID&gt;&lt;UID&gt;{2112088E-022D-4A9F-8576-FD29B681E9E5}&lt;/UID&gt;&lt;Title&gt;The relationship between multiparity and lipoprotein levels in older women&lt;/Title&gt;&lt;Template&gt;Journal Article&lt;/Template&gt;&lt;Star&gt;0&lt;/Star&gt;&lt;Tag&gt;5&lt;/Tag&gt;&lt;Author&gt;Kritz-Silverstein, D; Barrett-Connor, E; Wingard, D L&lt;/Author&gt;&lt;Year&gt;1992&lt;/Year&gt;&lt;Details&gt;&lt;_accession_num&gt;1619455&lt;/_accession_num&gt;&lt;_author_adr&gt;Department of Community and Family Medicine, University of California, San Diego,  La Jolla 92093.&lt;/_author_adr&gt;&lt;_collection_scope&gt;SCI;SCIE&lt;/_collection_scope&gt;&lt;_created&gt;64599435&lt;/_created&gt;&lt;_date&gt;1992-07-01&lt;/_date&gt;&lt;_date_display&gt;1992 Jul&lt;/_date_display&gt;&lt;_doi&gt;10.1016/0895-4356(92)90053-p&lt;/_doi&gt;&lt;_impact_factor&gt;   6.437&lt;/_impact_factor&gt;&lt;_isbn&gt;0895-4356 (Print); 0895-4356 (Linking)&lt;/_isbn&gt;&lt;_issue&gt;7&lt;/_issue&gt;&lt;_journal&gt;J Clin Epidemiol&lt;/_journal&gt;&lt;_language&gt;eng&lt;/_language&gt;&lt;_modified&gt;64601490&lt;/_modified&gt;&lt;_pages&gt;761-7&lt;/_pages&gt;&lt;_subject_headings&gt;Aged; Aged, 80 and over; Analysis of Variance; Anthropometry; California; Cholesterol, HDL/blood; Cholesterol, LDL/blood; Female; Humans; Lipoproteins/*blood; Middle Aged; *Parity; Regression Analysis; Triglycerides/blood&lt;/_subject_headings&gt;&lt;_tertiary_title&gt;Journal of clinical epidemiology&lt;/_tertiary_title&gt;&lt;_type_work&gt;Journal Article; Research Support, U.S. Gov&amp;apos;t, P.H.S.&lt;/_type_work&gt;&lt;_url&gt;http://www.ncbi.nlm.nih.gov/entrez/query.fcgi?cmd=Retrieve&amp;amp;db=pubmed&amp;amp;dopt=Abstract&amp;amp;list_uids=1619455&amp;amp;query_hl=1&lt;/_url&gt;&lt;_volume&gt;45&lt;/_volume&gt;&lt;/Details&gt;&lt;Extra&gt;&lt;DBUID&gt;{F96A950B-833F-4880-A151-76DA2D6A2879}&lt;/DBUID&gt;&lt;/Extra&gt;&lt;/Item&gt;&lt;/References&gt;&lt;/Group&gt;&lt;Group&gt;&lt;References&gt;&lt;Item&gt;&lt;ID&gt;593&lt;/ID&gt;&lt;UID&gt;{9FA819DA-52C4-4C54-964A-A1712DC94E8A}&lt;/UID&gt;&lt;Title&gt;Association of maternal short sleep duration with adiposity and cardiometabolic  status at 3 years postpartum&lt;/Title&gt;&lt;Template&gt;Journal Article&lt;/Template&gt;&lt;Star&gt;0&lt;/Star&gt;&lt;Tag&gt;5&lt;/Tag&gt;&lt;Author&gt;Taveras, E M; Rifas-Shiman, S L; Rich-Edwards, J W; Gunderson, E P; Stuebe, A M; Mantzoros, C S&lt;/Author&gt;&lt;Year&gt;2011&lt;/Year&gt;&lt;Details&gt;&lt;_accession_num&gt;20489690&lt;/_accession_num&gt;&lt;_author_adr&gt;Obesity Prevention Program, Department of Population Medicine, Harvard Pilgrim  Health Care Institute and Harvard Medical School, Boston, Massachusetts, USA.  Elsie_Taveras@hphc.org&lt;/_author_adr&gt;&lt;_created&gt;64592504&lt;/_created&gt;&lt;_date&gt;2011-01-01&lt;/_date&gt;&lt;_date_display&gt;2011 Jan&lt;/_date_display&gt;&lt;_doi&gt;10.1038/oby.2010.117&lt;/_doi&gt;&lt;_impact_factor&gt;   5.002&lt;/_impact_factor&gt;&lt;_isbn&gt;1930-739X (Electronic); 1930-7381 (Print); 1930-7381 (Linking)&lt;/_isbn&gt;&lt;_issue&gt;1&lt;/_issue&gt;&lt;_journal&gt;Obesity (Silver Spring)&lt;/_journal&gt;&lt;_language&gt;eng&lt;/_language&gt;&lt;_modified&gt;64601490&lt;/_modified&gt;&lt;_pages&gt;171-8&lt;/_pages&gt;&lt;_subject_headings&gt;Adiposity/*physiology; Adult; Body Mass Index; Body Weight/physiology; Breast Feeding/epidemiology; Cardiovascular System/metabolism/*physiopathology; Cohort Studies; Female; Follow-Up Studies; Humans; Obesity/complications/etiology/metabolism/physiopathology; Overweight/epidemiology; Postpartum Period/metabolism/*physiology; Sleep/physiology; Sleep Deprivation/*complications/*metabolism/*physiopathology; Time Factors&lt;/_subject_headings&gt;&lt;_tertiary_title&gt;Obesity (Silver Spring, Md.)&lt;/_tertiary_title&gt;&lt;_type_work&gt;Journal Article; Research Support, N.I.H., Extramural&lt;/_type_work&gt;&lt;_url&gt;http://www.ncbi.nlm.nih.gov/entrez/query.fcgi?cmd=Retrieve&amp;amp;db=pubmed&amp;amp;dopt=Abstract&amp;amp;list_uids=20489690&amp;amp;query_hl=1&lt;/_url&gt;&lt;_volume&gt;19&lt;/_volume&gt;&lt;/Details&gt;&lt;Extra&gt;&lt;DBUID&gt;{F96A950B-833F-4880-A151-76DA2D6A2879}&lt;/DBUID&gt;&lt;/Extra&gt;&lt;/Item&gt;&lt;/References&gt;&lt;/Group&gt;&lt;Group&gt;&lt;References&gt;&lt;Item&gt;&lt;ID&gt;595&lt;/ID&gt;&lt;UID&gt;{EF8414AE-2C92-4FEF-AEAF-B15A7F11B3CD}&lt;/UID&gt;&lt;Title&gt;Biological changes in the pregnancy-postpartum period and subsequent  cardiometabolic risk-UPSIDE MOMS: A research protocol&lt;/Title&gt;&lt;Template&gt;Journal Article&lt;/Template&gt;&lt;Star&gt;0&lt;/Star&gt;&lt;Tag&gt;5&lt;/Tag&gt;&lt;Author&gt;Groth, S W; Fernandez, I D; Block, R C; Thurston, S W; Wong, E; Brunner, J; Mayo, N; Kapula, N; Yu, Y; Meng, Y; Yeh, K L; Kinkade, C W; Thornburg, L L; O&amp;apos;Connor, T G; Barrett, E S&lt;/Author&gt;&lt;Year&gt;2021&lt;/Year&gt;&lt;Details&gt;&lt;_accession_num&gt;33993510&lt;/_accession_num&gt;&lt;_author_adr&gt;School of Nursing, University of Rochester, Rochester, New York, USA.; Department of Public Health Sciences, University of Rochester School of Medicine  and Dentistry, Rochester, New York, USA.; Departments of Public Health Sciences, Cardiology, and Medicine, University of  Rochester, Rochester, New York, USA.; Department of Biostatistics and Computational Biology, University of Rochester,  Rochester, New York, USA.; School of Nursing, University of Rochester, Rochester, New York, USA.; Department of Obstetrics and Gynecology, University of Rochester Medical Center,  Rochester, New York, USA.; Department of Public Health Sciences, University of Rochester School of Medicine  and Dentistry, Rochester, New York, USA.; Department of Obstetrics and Gynecology, University of Rochester Medical Center,  Rochester, New York, USA.; School of Nursing, University of Rochester, Rochester, New York, USA.; School of Nursing, University of Rochester, Rochester, New York, USA.; School of Nursing, University of Rochester, Rochester, New York, USA.; Exposure Science and Epidemiology, Environmental and Occupational Health Sciences  Institute, Rutgers University, New Brunswick, New Jersey, USA.; Department of Obstetrics and Gynecology, University of Rochester Medical Center,  Rochester, New York, USA.; Departments of Psychiatry, Psychology, Neuroscience, Obstetrics and Gynecology,  and Wynne Center for Family Research, University of Rochester, Rochester, New  York, USA.; Department of Obstetrics and Gynecology, University of Rochester Medical Center,  Rochester, New York, USA.; Exposure Science and Epidemiology, Environmental and Occupational Health Sciences  Institute, Rutgers University, New Brunswick, New Jersey, USA.; Department of Biostatistics and Epidemiology, Rutgers School of Public Health,  Piscataway, New Jersey, USA.&lt;/_author_adr&gt;&lt;_collection_scope&gt;SCIE;SSCI&lt;/_collection_scope&gt;&lt;_created&gt;64595043&lt;/_created&gt;&lt;_date&gt;2021-08-01&lt;/_date&gt;&lt;_date_display&gt;2021 Aug&lt;/_date_display&gt;&lt;_doi&gt;10.1002/nur.22141&lt;/_doi&gt;&lt;_impact_factor&gt;   2.228&lt;/_impact_factor&gt;&lt;_isbn&gt;1098-240X (Electronic); 0160-6891 (Print); 0160-6891 (Linking)&lt;/_isbn&gt;&lt;_issue&gt;4&lt;/_issue&gt;&lt;_journal&gt;Res Nurs Health&lt;/_journal&gt;&lt;_keywords&gt;biological profile; cardiometabolic risk; childbearing women; maternal weight; postpartum; pregnancy adaptation&lt;/_keywords&gt;&lt;_language&gt;eng&lt;/_language&gt;&lt;_modified&gt;64601490&lt;/_modified&gt;&lt;_ori_publication&gt;© 2021 Wiley Periodicals LLC.&lt;/_ori_publication&gt;&lt;_pages&gt;608-619&lt;/_pages&gt;&lt;_subject_headings&gt;Adult; *Breast Feeding; *Cardiometabolic Risk Factors; Diet; *Exercise; Female; Health Behavior; Humans; Infant; Longitudinal Studies; Mothers/*statistics &amp;amp; numerical data; *Postpartum Period/blood; Pregnancy; Prospective Studies; Sleep/physiology; Weight Gain/*physiology; Young Adult&lt;/_subject_headings&gt;&lt;_tertiary_title&gt;Research in nursing &amp;amp; health&lt;/_tertiary_title&gt;&lt;_type_work&gt;Journal Article; Research Support, N.I.H., Extramural; Research Support, Non-U.S. Gov&amp;apos;t&lt;/_type_work&gt;&lt;_url&gt;http://www.ncbi.nlm.nih.gov/entrez/query.fcgi?cmd=Retrieve&amp;amp;db=pubmed&amp;amp;dopt=Abstract&amp;amp;list_uids=33993510&amp;amp;query_hl=1&lt;/_url&gt;&lt;_volume&gt;44&lt;/_volume&gt;&lt;/Details&gt;&lt;Extra&gt;&lt;DBUID&gt;{F96A950B-833F-4880-A151-76DA2D6A2879}&lt;/DBUID&gt;&lt;/Extra&gt;&lt;/Item&gt;&lt;/References&gt;&lt;/Group&gt;&lt;Group&gt;&lt;References&gt;&lt;Item&gt;&lt;ID&gt;596&lt;/ID&gt;&lt;UID&gt;{A2C872D8-52C2-4F40-8F58-6616AD7FAB69}&lt;/UID&gt;&lt;Title&gt;Development and Modification of a Mobile Health Program to Promote Postpartum  Weight Loss in Women at Elevated Risk for Cardiometabolic Disease: Single-Arm  Pilot Study&lt;/Title&gt;&lt;Template&gt;Journal Article&lt;/Template&gt;&lt;Star&gt;0&lt;/Star&gt;&lt;Tag&gt;5&lt;/Tag&gt;&lt;Author&gt;Nicklas, J M; Leiferman, J A; Lockhart, S; Daly, K M; Bull, S S; Barbour, L A&lt;/Author&gt;&lt;Year&gt;2020&lt;/Year&gt;&lt;Details&gt;&lt;_accession_num&gt;32271149&lt;/_accession_num&gt;&lt;_author_adr&gt;Division of General Internal Medicine, University of Colorado School of Medicine,  Aurora, CO, United States.; Community and Behavioral Health, Colorado School of Public Health, Aurora, CO,  United States.; Adult and Child Consortium for Health Outcomes Research and Delivery Science,  University of Colorado School of Medicine, Aurora, CO, United States.; Community and Behavioral Health, Colorado School of Public Health, Aurora, CO,  United States.; Community and Behavioral Health, Colorado School of Public Health, Aurora, CO,  United States.; Division of Endocrinology, Metabolism and Diabetes, University of Colorado School  of Medicine, Aurora, CO, United States.; Division of Maternal Fetal Medicine, University of Colorado School of Medicine,  Aurora, CO, United States.&lt;/_author_adr&gt;&lt;_created&gt;64596222&lt;/_created&gt;&lt;_date&gt;2020-04-09&lt;/_date&gt;&lt;_date_display&gt;2020 Apr 9&lt;/_date_display&gt;&lt;_doi&gt;10.2196/16151&lt;/_doi&gt;&lt;_isbn&gt;2561-326X (Electronic); 2561-326X (Linking)&lt;/_isbn&gt;&lt;_issue&gt;4&lt;/_issue&gt;&lt;_journal&gt;JMIR Form Res&lt;/_journal&gt;&lt;_keywords&gt;chronic disease; mobile health; postpartum; prevention; weight loss&lt;/_keywords&gt;&lt;_language&gt;eng&lt;/_language&gt;&lt;_modified&gt;64601490&lt;/_modified&gt;&lt;_ori_publication&gt;©Jacinda M Nicklas, Jenn A Leiferman, Steven Lockhart, Kristen M Daly, Sheana S _x000d__x000a_      Bull, Linda A Barbour. Originally published in JMIR Formative Research _x000d__x000a_      (http://formative.jmir.org), 09.04.2020.&lt;/_ori_publication&gt;&lt;_pages&gt;e16151&lt;/_pages&gt;&lt;_tertiary_title&gt;JMIR formative research&lt;/_tertiary_title&gt;&lt;_type_work&gt;Journal Article&lt;/_type_work&gt;&lt;_url&gt;http://www.ncbi.nlm.nih.gov/entrez/query.fcgi?cmd=Retrieve&amp;amp;db=pubmed&amp;amp;dopt=Abstract&amp;amp;list_uids=32271149&amp;amp;query_hl=1&lt;/_url&gt;&lt;_volume&gt;4&lt;/_volume&gt;&lt;/Details&gt;&lt;Extra&gt;&lt;DBUID&gt;{F96A950B-833F-4880-A151-76DA2D6A2879}&lt;/DBUID&gt;&lt;/Extra&gt;&lt;/Item&gt;&lt;/References&gt;&lt;/Group&gt;&lt;Group&gt;&lt;References&gt;&lt;Item&gt;&lt;ID&gt;597&lt;/ID&gt;&lt;UID&gt;{12C47D16-7201-4045-9BCE-E10E005F640C}&lt;/UID&gt;&lt;Title&gt;Long-term weight development in women: a 15-year follow-up of the effects of  pregnancy&lt;/Title&gt;&lt;Template&gt;Journal Article&lt;/Template&gt;&lt;Star&gt;0&lt;/Star&gt;&lt;Tag&gt;5&lt;/Tag&gt;&lt;Author&gt;Linné, Y; Dye, L; Barkeling, B; Rössner, S&lt;/Author&gt;&lt;Year&gt;2004&lt;/Year&gt;&lt;Details&gt;&lt;_accession_num&gt;15292482&lt;/_accession_num&gt;&lt;_author_adr&gt;Obesity Unit, Huddinge University Hospital, Stockholm, Sweden.  Yvonne.Linne@medhs.ki.se&lt;/_author_adr&gt;&lt;_created&gt;64597604&lt;/_created&gt;&lt;_date&gt;2004-07-01&lt;/_date&gt;&lt;_date_display&gt;2004 Jul&lt;/_date_display&gt;&lt;_doi&gt;10.1038/oby.2004.146&lt;/_doi&gt;&lt;_isbn&gt;1071-7323 (Print); 1071-7323 (Linking)&lt;/_isbn&gt;&lt;_issue&gt;7&lt;/_issue&gt;&lt;_journal&gt;Obes Res&lt;/_journal&gt;&lt;_language&gt;eng&lt;/_language&gt;&lt;_modified&gt;64601490&lt;/_modified&gt;&lt;_ori_publication&gt;Copyright 2004 NAASO&lt;/_ori_publication&gt;&lt;_pages&gt;1166-78&lt;/_pages&gt;&lt;_subject_headings&gt;Body Mass Index; Eating; Exercise; Feeding Behavior; Female; Follow-Up Studies; Humans; Longitudinal Studies; Male; *Nutritional Physiological Phenomena; Postpartum Period; Pregnancy/*physiology; Regression Analysis; Surveys and Questionnaires; Time Factors; *Weight Gain&lt;/_subject_headings&gt;&lt;_tertiary_title&gt;Obesity research&lt;/_tertiary_title&gt;&lt;_type_work&gt;Journal Article&lt;/_type_work&gt;&lt;_url&gt;http://www.ncbi.nlm.nih.gov/entrez/query.fcgi?cmd=Retrieve&amp;amp;db=pubmed&amp;amp;dopt=Abstract&amp;amp;list_uids=15292482&amp;amp;query_hl=1&lt;/_url&gt;&lt;_volume&gt;12&lt;/_volume&gt;&lt;/Details&gt;&lt;Extra&gt;&lt;DBUID&gt;{F96A950B-833F-4880-A151-76DA2D6A2879}&lt;/DBUID&gt;&lt;/Extra&gt;&lt;/Item&gt;&lt;/References&gt;&lt;/Group&gt;&lt;/Citation&gt;_x000a_"/>
    <w:docVar w:name="NE.Ref{CF9E1342-E78C-41A0-B369-3F98EBB23F36}" w:val=" ADDIN NE.Ref.{CF9E1342-E78C-41A0-B369-3F98EBB23F36}&lt;Citation&gt;&lt;Group&gt;&lt;References&gt;&lt;Item&gt;&lt;ID&gt;552&lt;/ID&gt;&lt;UID&gt;{DCC4C8C4-9526-4C64-B6F4-383BD34555E8}&lt;/UID&gt;&lt;Title&gt;Global, regional, and national comparative risk assessment of 79 behavioural,  environmental and occupational, and metabolic risks or clusters of risks,  1990-2015: a systematic analysis for the Global Burden of Disease Study 2015&lt;/Title&gt;&lt;Template&gt;Journal Article&lt;/Template&gt;&lt;Star&gt;1&lt;/Star&gt;&lt;Tag&gt;5&lt;/Tag&gt;&lt;Author/&gt;&lt;Year&gt;2016&lt;/Year&gt;&lt;Details&gt;&lt;_accession_num&gt;27733284&lt;/_accession_num&gt;&lt;_collection_scope&gt;SCI;SCIE&lt;/_collection_scope&gt;&lt;_created&gt;64525951&lt;/_created&gt;&lt;_date&gt;2016-10-08&lt;/_date&gt;&lt;_date_display&gt;2016 Oct 8&lt;/_date_display&gt;&lt;_doi&gt;10.1016/S0140-6736(16)31679-8&lt;/_doi&gt;&lt;_impact_factor&gt;  79.323&lt;/_impact_factor&gt;&lt;_isbn&gt;1474-547X (Electronic); 0140-6736 (Print); 0140-6736 (Linking)&lt;/_isbn&gt;&lt;_issue&gt;10053&lt;/_issue&gt;&lt;_journal&gt;Lancet&lt;/_journal&gt;&lt;_language&gt;eng&lt;/_language&gt;&lt;_modified&gt;64605365&lt;/_modified&gt;&lt;_ori_publication&gt;Copyright © 2016 The Author(s). Published by Elsevier Ltd. This is an Open Access _x000d__x000a_      article under the CC BY license. Published by Elsevier Ltd.. All rights reserved.&lt;/_ori_publication&gt;&lt;_pages&gt;1659-1724&lt;/_pages&gt;&lt;_subject_headings&gt;Africa South of the Sahara/epidemiology; Africa, Northern/epidemiology; Air Pollution, Indoor/statistics &amp;amp; numerical data; Alcohol Drinking/epidemiology; Biomarkers/blood; Blood Glucose/metabolism; Body Mass Index; Cholesterol/blood; *Cost of Illness; Disabled Persons/*statistics &amp;amp; numerical data; *Environmental Exposure/statistics &amp;amp; numerical data; *Global Health; Humans; Hypertension/epidemiology; *Life Expectancy; Malnutrition/epidemiology; Middle East/epidemiology; *Occupational Exposure/statistics &amp;amp; numerical data; Quality-Adjusted Life Years; Risk Assessment; Risk Factors; *Risk-Taking; Smoking/epidemiology; Sodium, Dietary/administration &amp;amp; dosage; Substance-Related Disorders/epidemiology; Unsafe Sex/statistics &amp;amp; numerical data&lt;/_subject_headings&gt;&lt;_tertiary_title&gt;Lancet (London, England)&lt;/_tertiary_title&gt;&lt;_type_work&gt;Comparative Study; Journal Article; Research Support, N.I.H., Extramural; Research Support, Non-U.S. Gov&amp;apos;t; Research Support, U.S. Gov&amp;apos;t, Non-P.H.S.&lt;/_type_work&gt;&lt;_url&gt;http://www.ncbi.nlm.nih.gov/entrez/query.fcgi?cmd=Retrieve&amp;amp;db=pubmed&amp;amp;dopt=Abstract&amp;amp;list_uids=27733284&amp;amp;query_hl=1&lt;/_url&gt;&lt;_volume&gt;388&lt;/_volume&gt;&lt;/Details&gt;&lt;Extra&gt;&lt;DBUID&gt;{F96A950B-833F-4880-A151-76DA2D6A2879}&lt;/DBUID&gt;&lt;/Extra&gt;&lt;/Item&gt;&lt;/References&gt;&lt;/Group&gt;&lt;/Citation&gt;_x000a_"/>
    <w:docVar w:name="NE.Ref{D1A53357-159D-4AC7-A22F-A7D51F927F68}" w:val=" ADDIN NE.Ref.{D1A53357-159D-4AC7-A22F-A7D51F927F68}&lt;Citation&gt;&lt;Group&gt;&lt;References&gt;&lt;Item&gt;&lt;ID&gt;560&lt;/ID&gt;&lt;UID&gt;{66526E20-2D19-4B97-A6C4-0CFDF2223FAD}&lt;/UID&gt;&lt;Title&gt;Maternal weight change from prepregnancy to 18 months postpartum and subsequent  risk of hypertension and cardiovascular disease in Danish women: A cohort study&lt;/Title&gt;&lt;Template&gt;Journal Article&lt;/Template&gt;&lt;Star&gt;0&lt;/Star&gt;&lt;Tag&gt;0&lt;/Tag&gt;&lt;Author&gt;Kirkegaard, H; Bliddal, M; Støvring, H; Rasmussen, K M; Gunderson, E P; Køber, L; Sørensen, TIA; Nøhr, E A&lt;/Author&gt;&lt;Year&gt;2021&lt;/Year&gt;&lt;Details&gt;&lt;_accession_num&gt;33798198&lt;/_accession_num&gt;&lt;_author_adr&gt;Research Unit of Obstetrics and Gynecology, Department of Clinical Research,  University of Southern Denmark, Odense, Denmark.; Open Patient Data Explorative Network (OPEN), Department of Clinical Research,  University of Southern Denmark and Odense University Hospital, Odense, Denmark.; Open Patient Data Explorative Network (OPEN), Department of Clinical Research,  University of Southern Denmark and Odense University Hospital, Odense, Denmark.; Department of Public Health, Biostatistics, Aarhus University, Aarhus, Denmark.; Division of Nutritional Sciences, Cornell University, Ithaca, New York, United  States of America.; Division of Research, Cardiovascular and Metabolic Conditions Section, Kaiser  Permanente Northern California, Oakland, California, United States of America.; Department of Cardiology, Rigshospitalet, University Hospital, Copenhagen,  Denmark.; Novo Nordisk Foundation Center for Basic Metabolic Research and Department of  Public Health, Faculty of Health and Medical Sciences, University of Copenhagen,  Copenhagen, Denmark.; Research Unit of Obstetrics and Gynecology, Department of Clinical Research,  University of Southern Denmark, Odense, Denmark.; Department of Gynecology and Obstetrics, Odense University Hospital, Odense,  Denmark.&lt;/_author_adr&gt;&lt;_collection_scope&gt;SCIE&lt;/_collection_scope&gt;&lt;_created&gt;64530234&lt;/_created&gt;&lt;_date&gt;2021-04-01&lt;/_date&gt;&lt;_date_display&gt;2021 Apr&lt;/_date_display&gt;&lt;_doi&gt;10.1371/journal.pmed.1003486&lt;/_doi&gt;&lt;_impact_factor&gt;  11.069&lt;/_impact_factor&gt;&lt;_isbn&gt;1549-1676 (Electronic); 1549-1277 (Print); 1549-1277 (Linking)&lt;/_isbn&gt;&lt;_issue&gt;4&lt;/_issue&gt;&lt;_journal&gt;PLoS Med&lt;/_journal&gt;&lt;_language&gt;eng&lt;/_language&gt;&lt;_modified&gt;64530234&lt;/_modified&gt;&lt;_pages&gt;e1003486&lt;/_pages&gt;&lt;_subject_headings&gt;Adult; Cardiovascular Diseases/*epidemiology/etiology; Cohort Studies; Denmark/epidemiology; Female; Humans; Hypertension/epidemiology/etiology; Middle Aged; Obesity/epidemiology/etiology; Overweight/*epidemiology/etiology; Postpartum Period/*physiology; Pregnancy; Pregnancy Complications/*epidemiology/etiology; Risk Factors; Thinness/*epidemiology/etiology; *Weight Gain; Young Adult&lt;/_subject_headings&gt;&lt;_tertiary_title&gt;PLoS medicine&lt;/_tertiary_title&gt;&lt;_type_work&gt;Journal Article; Research Support, Non-U.S. Gov&amp;apos;t&lt;/_type_work&gt;&lt;_url&gt;http://www.ncbi.nlm.nih.gov/entrez/query.fcgi?cmd=Retrieve&amp;amp;db=pubmed&amp;amp;dopt=Abstract&amp;amp;list_uids=33798198&amp;amp;query_hl=1&lt;/_url&gt;&lt;_volume&gt;18&lt;/_volume&gt;&lt;/Details&gt;&lt;Extra&gt;&lt;DBUID&gt;{F96A950B-833F-4880-A151-76DA2D6A2879}&lt;/DBUID&gt;&lt;/Extra&gt;&lt;/Item&gt;&lt;/References&gt;&lt;/Group&gt;&lt;/Citation&gt;_x000a_"/>
    <w:docVar w:name="NE.Ref{D36876B5-F85E-4EEA-89B1-CA14DE50B52E}" w:val=" ADDIN NE.Ref.{D36876B5-F85E-4EEA-89B1-CA14DE50B52E}&lt;Citation&gt;&lt;Group&gt;&lt;References&gt;&lt;Item&gt;&lt;ID&gt;22&lt;/ID&gt;&lt;UID&gt;{30C9B352-F32B-4FCC-9047-FD8F2C9DA1EA}&lt;/UID&gt;&lt;Title&gt;Parity and Components of the Metabolic Syndrome Among US Hispanic/Latina Women:  Results From the Hispanic Community Health Study/Study of Latinos&lt;/Title&gt;&lt;Template&gt;Journal Article&lt;/Template&gt;&lt;Star&gt;0&lt;/Star&gt;&lt;Tag&gt;0&lt;/Tag&gt;&lt;Author&gt;Vladutiu, C J; Siega-Riz, A M; Sotres-Alvarez, D; Stuebe, A M; Ni, A; Tabb, K M; Gallo, L C; Potter, J E; Heiss, G&lt;/Author&gt;&lt;Year&gt;2016&lt;/Year&gt;&lt;Details&gt;&lt;_accession_num&gt;26908862&lt;/_accession_num&gt;&lt;_author_adr&gt;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catherine_vladutiu@med.unc.edu.;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 From the Department of Obstetrics and Gynecology, School of Medicine, (C.J.V.,  A.M.S.), Department of Epidemiology, Gillings School of Global Public Health  (C.J.V., A.M.S.-R., G.H.), Department of Nutrition, Gillings School of Global  Public Health (A.M.S.-R.), Collaborative Studies Coordinating Center, Department  of Biostatistics, Gillings School of Global Public Health (D.S.-A., A.N.),  Department of Maternal and Child Health, Gillings School of Global Public Health  (A.M.S.), University of North Carolina, Chapel Hill; School of Social Work,  University of Illinois at Urbana-Champaign (K.M.T.); Department of Psychology,  San Diego State University, CA (L.C.G.); and Department of Obstetrics and  Gynecology, University of Miami Miller School of Medicine, FL (J.E.P.).&lt;/_author_adr&gt;&lt;_created&gt;64733433&lt;/_created&gt;&lt;_date&gt;2016-02-01&lt;/_date&gt;&lt;_date_display&gt;2016 Feb&lt;/_date_display&gt;&lt;_doi&gt;10.1161/CIRCOUTCOMES.115.002464&lt;/_doi&gt;&lt;_impact_factor&gt;   5.882&lt;/_impact_factor&gt;&lt;_isbn&gt;1941-7705 (Electronic); 1941-7713 (Print); 1941-7713 (Linking)&lt;/_isbn&gt;&lt;_issue&gt;2 Suppl 1&lt;/_issue&gt;&lt;_journal&gt;Circ Cardiovasc Qual Outcomes&lt;/_journal&gt;&lt;_keywords&gt;Hispanic Americans; cohort studies; metabolic syndrome X; parity; pregnancy&lt;/_keywords&gt;&lt;_language&gt;eng&lt;/_language&gt;&lt;_modified&gt;64734680&lt;/_modified&gt;&lt;_ori_publication&gt;© 2016 American Heart Association, Inc.&lt;/_ori_publication&gt;&lt;_pages&gt;S62-9&lt;/_pages&gt;&lt;_subject_headings&gt;Adult; Cardiovascular Diseases/prevention &amp;amp; control; Cholesterol, HDL/blood; Cohort Studies; Female; *Hispanic or Latino; Humans; Metabolic Syndrome/epidemiology/*ethnology; Middle Aged; *Parity; Pregnancy; Prevalence; Prospective Studies&lt;/_subject_headings&gt;&lt;_tertiary_title&gt;Circulation. Cardiovascular quality and outcomes&lt;/_tertiary_title&gt;&lt;_type_work&gt;Journal Article; Research Support, N.I.H., Extramural; Research Support, U.S. Gov&amp;apos;t, P.H.S.&lt;/_type_work&gt;&lt;_url&gt;http://www.ncbi.nlm.nih.gov/entrez/query.fcgi?cmd=Retrieve&amp;amp;db=pubmed&amp;amp;dopt=Abstract&amp;amp;list_uids=26908862&amp;amp;query_hl=1&lt;/_url&gt;&lt;_volume&gt;9&lt;/_volume&gt;&lt;/Details&gt;&lt;Extra&gt;&lt;DBUID&gt;{C818A046-6D8C-4B07-8765-4E05C48B46EA}&lt;/DBUID&gt;&lt;/Extra&gt;&lt;/Item&gt;&lt;/References&gt;&lt;/Group&gt;&lt;Group&gt;&lt;References&gt;&lt;Item&gt;&lt;ID&gt;24&lt;/ID&gt;&lt;UID&gt;{8E60C611-0C6B-4353-B009-411868C4B2AE}&lt;/UID&gt;&lt;Title&gt;Long-term plasma lipid changes associated with a first birth: the Coronary Artery  Risk Development in Young Adults study&lt;/Title&gt;&lt;Template&gt;Journal Article&lt;/Template&gt;&lt;Star&gt;0&lt;/Star&gt;&lt;Tag&gt;0&lt;/Tag&gt;&lt;Author&gt;Gunderson, E P; Lewis, C E; Murtaugh, M A; Quesenberry, C P; Smith, West D; Sidney, S&lt;/Author&gt;&lt;Year&gt;2004&lt;/Year&gt;&lt;Details&gt;&lt;_accession_num&gt;15155287&lt;/_accession_num&gt;&lt;_author_adr&gt;Division of Research, Kaiser Permanente Medical Care Program, Northern  California, Oakland, CA 94612, USA. epg@dor.kaiser.org&lt;/_author_adr&gt;&lt;_collection_scope&gt;SCI;SCIE&lt;/_collection_scope&gt;&lt;_created&gt;64733439&lt;/_created&gt;&lt;_date&gt;2004-06-01&lt;/_date&gt;&lt;_date_display&gt;2004 Jun 1&lt;/_date_display&gt;&lt;_doi&gt;10.1093/aje/kwh146&lt;/_doi&gt;&lt;_impact_factor&gt;   4.897&lt;/_impact_factor&gt;&lt;_isbn&gt;0002-9262 (Print); 1476-6256 (Electronic); 0002-9262 (Linking)&lt;/_isbn&gt;&lt;_issue&gt;11&lt;/_issue&gt;&lt;_journal&gt;Am J Epidemiol&lt;/_journal&gt;&lt;_language&gt;eng&lt;/_language&gt;&lt;_modified&gt;64734680&lt;/_modified&gt;&lt;_pages&gt;1028-39&lt;/_pages&gt;&lt;_subject_headings&gt;Adolescent; Adult; Black People/statistics &amp;amp; numerical data; Body Mass Index; Cardiovascular Diseases/etiology; Chi-Square Distribution; Female; Humans; Linear Models; Lipids/*blood; Longitudinal Studies; Parity; Pregnancy/*blood; Prospective Studies; Risk Factors; Time Factors; White People/statistics &amp;amp; numerical data&lt;/_subject_headings&gt;&lt;_tertiary_title&gt;American journal of epidemiology&lt;/_tertiary_title&gt;&lt;_type_work&gt;Journal Article; Multicenter Study; Research Support, U.S. Gov&amp;apos;t, P.H.S.&lt;/_type_work&gt;&lt;_url&gt;http://www.ncbi.nlm.nih.gov/entrez/query.fcgi?cmd=Retrieve&amp;amp;db=pubmed&amp;amp;dopt=Abstract&amp;amp;list_uids=15155287&amp;amp;query_hl=1&lt;/_url&gt;&lt;_volume&gt;159&lt;/_volume&gt;&lt;/Details&gt;&lt;Extra&gt;&lt;DBUID&gt;{C818A046-6D8C-4B07-8765-4E05C48B46EA}&lt;/DBUID&gt;&lt;/Extra&gt;&lt;/Item&gt;&lt;/References&gt;&lt;/Group&gt;&lt;Group&gt;&lt;References&gt;&lt;Item&gt;&lt;ID&gt;25&lt;/ID&gt;&lt;UID&gt;{D1283544-CD34-4FEE-9458-0ABE0214E422}&lt;/UID&gt;&lt;Title&gt;The relationship between multiparity and lipoprotein levels in older women&lt;/Title&gt;&lt;Template&gt;Journal Article&lt;/Template&gt;&lt;Star&gt;0&lt;/Star&gt;&lt;Tag&gt;0&lt;/Tag&gt;&lt;Author&gt;Kritz-Silverstein, D; Barrett-Connor, E; Wingard, D L&lt;/Author&gt;&lt;Year&gt;1992&lt;/Year&gt;&lt;Details&gt;&lt;_accession_num&gt;1619455&lt;/_accession_num&gt;&lt;_author_adr&gt;Department of Community and Family Medicine, University of California, San Diego,  La Jolla 92093.&lt;/_author_adr&gt;&lt;_collection_scope&gt;SCI;SCIE&lt;/_collection_scope&gt;&lt;_created&gt;64733447&lt;/_created&gt;&lt;_date&gt;1992-07-01&lt;/_date&gt;&lt;_date_display&gt;1992 Jul&lt;/_date_display&gt;&lt;_doi&gt;10.1016/0895-4356(92)90053-p&lt;/_doi&gt;&lt;_impact_factor&gt;   6.437&lt;/_impact_factor&gt;&lt;_isbn&gt;0895-4356 (Print); 0895-4356 (Linking)&lt;/_isbn&gt;&lt;_issue&gt;7&lt;/_issue&gt;&lt;_journal&gt;J Clin Epidemiol&lt;/_journal&gt;&lt;_language&gt;eng&lt;/_language&gt;&lt;_modified&gt;64734680&lt;/_modified&gt;&lt;_pages&gt;761-7&lt;/_pages&gt;&lt;_subject_headings&gt;Aged; Aged, 80 and over; Analysis of Variance; Anthropometry; California; Cholesterol, HDL/blood; Cholesterol, LDL/blood; Female; Humans; Lipoproteins/*blood; Middle Aged; *Parity; Regression Analysis; Triglycerides/blood&lt;/_subject_headings&gt;&lt;_tertiary_title&gt;Journal of clinical epidemiology&lt;/_tertiary_title&gt;&lt;_type_work&gt;Journal Article; Research Support, U.S. Gov&amp;apos;t, P.H.S.&lt;/_type_work&gt;&lt;_url&gt;http://www.ncbi.nlm.nih.gov/entrez/query.fcgi?cmd=Retrieve&amp;amp;db=pubmed&amp;amp;dopt=Abstract&amp;amp;list_uids=1619455&amp;amp;query_hl=1&lt;/_url&gt;&lt;_volume&gt;45&lt;/_volume&gt;&lt;/Details&gt;&lt;Extra&gt;&lt;DBUID&gt;{C818A046-6D8C-4B07-8765-4E05C48B46EA}&lt;/DBUID&gt;&lt;/Extra&gt;&lt;/Item&gt;&lt;/References&gt;&lt;/Group&gt;&lt;/Citation&gt;_x000a_"/>
    <w:docVar w:name="NE.Ref{D54656C6-079A-48F0-A7E9-8970DBE7ADC5}" w:val=" ADDIN NE.Ref.{D54656C6-079A-48F0-A7E9-8970DBE7ADC5}&lt;Citation&gt;&lt;Group&gt;&lt;References&gt;&lt;Item&gt;&lt;ID&gt;6&lt;/ID&gt;&lt;UID&gt;{CBDE004A-490F-4C23-BB48-DE20CE0A0FB0}&lt;/UID&gt;&lt;Title&gt;The role of postpartum weight retention in obesity among women: a review of the  evidence&lt;/Title&gt;&lt;Template&gt;Journal Article&lt;/Template&gt;&lt;Star&gt;0&lt;/Star&gt;&lt;Tag&gt;0&lt;/Tag&gt;&lt;Author&gt;Gore, S A; Brown, D M; West, D S&lt;/Author&gt;&lt;Year&gt;2003&lt;/Year&gt;&lt;Details&gt;&lt;_accession_num&gt;14534032&lt;/_accession_num&gt;&lt;_author_adr&gt;University of Alabama at Birmingham, USA.&lt;/_author_adr&gt;&lt;_collection_scope&gt;SSCI&lt;/_collection_scope&gt;&lt;_created&gt;64733394&lt;/_created&gt;&lt;_date&gt;2003-10-01&lt;/_date&gt;&lt;_date_display&gt;2003 Oct&lt;/_date_display&gt;&lt;_doi&gt;10.1207/S15324796ABM2602_07&lt;/_doi&gt;&lt;_impact_factor&gt;   4.908&lt;/_impact_factor&gt;&lt;_isbn&gt;0883-6612 (Print); 0883-6612 (Linking)&lt;/_isbn&gt;&lt;_issue&gt;2&lt;/_issue&gt;&lt;_journal&gt;Ann Behav Med&lt;/_journal&gt;&lt;_language&gt;eng&lt;/_language&gt;&lt;_modified&gt;64734679&lt;/_modified&gt;&lt;_pages&gt;149-59&lt;/_pages&gt;&lt;_subject_headings&gt;Adult; Behavior Therapy; Female; Humans; Minority Groups; Obesity/*etiology/prevention &amp;amp; control; Postpartum Period; *Pregnancy; Risk Factors; Smoking; *Weight Gain; Weight Loss&lt;/_subject_headings&gt;&lt;_tertiary_title&gt;Annals of behavioral medicine : a publication of the Society of Behavioral _x000d__x000a_      Medicine&lt;/_tertiary_title&gt;&lt;_type_work&gt;Journal Article; Review&lt;/_type_work&gt;&lt;_url&gt;http://www.ncbi.nlm.nih.gov/entrez/query.fcgi?cmd=Retrieve&amp;amp;db=pubmed&amp;amp;dopt=Abstract&amp;amp;list_uids=14534032&amp;amp;query_hl=1&lt;/_url&gt;&lt;_volume&gt;26&lt;/_volume&gt;&lt;/Details&gt;&lt;Extra&gt;&lt;DBUID&gt;{C818A046-6D8C-4B07-8765-4E05C48B46EA}&lt;/DBUID&gt;&lt;/Extra&gt;&lt;/Item&gt;&lt;/References&gt;&lt;/Group&gt;&lt;Group&gt;&lt;References&gt;&lt;Item&gt;&lt;ID&gt;7&lt;/ID&gt;&lt;UID&gt;{A010C9CF-F099-44C1-A538-ACB6470FABA1}&lt;/UID&gt;&lt;Title&gt;A call for intervention in pregnancy to prevent maternal and child obesity&lt;/Title&gt;&lt;Template&gt;Journal Article&lt;/Template&gt;&lt;Star&gt;0&lt;/Star&gt;&lt;Tag&gt;0&lt;/Tag&gt;&lt;Author&gt;Olson, C M&lt;/Author&gt;&lt;Year&gt;2007&lt;/Year&gt;&lt;Details&gt;&lt;_accession_num&gt;17950410&lt;/_accession_num&gt;&lt;_collection_scope&gt;SCI;SCIE&lt;/_collection_scope&gt;&lt;_created&gt;64733395&lt;/_created&gt;&lt;_date&gt;2007-11-01&lt;/_date&gt;&lt;_date_display&gt;2007 Nov&lt;/_date_display&gt;&lt;_doi&gt;10.1016/j.amepre.2007.07.028&lt;/_doi&gt;&lt;_impact_factor&gt;   5.043&lt;/_impact_factor&gt;&lt;_isbn&gt;0749-3797 (Print); 0749-3797 (Linking)&lt;/_isbn&gt;&lt;_issue&gt;5&lt;/_issue&gt;&lt;_journal&gt;Am J Prev Med&lt;/_journal&gt;&lt;_language&gt;eng&lt;/_language&gt;&lt;_modified&gt;64734679&lt;/_modified&gt;&lt;_pages&gt;435-6&lt;/_pages&gt;&lt;_subject_headings&gt;Adult; Child; Female; Humans; Obesity/*prevention &amp;amp; control; Postpartum Period; Pregnancy; Pregnancy Outcome; Weight Gain&lt;/_subject_headings&gt;&lt;_tertiary_title&gt;American journal of preventive medicine&lt;/_tertiary_title&gt;&lt;_type_work&gt;Comment; Letter&lt;/_type_work&gt;&lt;_url&gt;http://www.ncbi.nlm.nih.gov/entrez/query.fcgi?cmd=Retrieve&amp;amp;db=pubmed&amp;amp;dopt=Abstract&amp;amp;list_uids=17950410&amp;amp;query_hl=1&lt;/_url&gt;&lt;_volume&gt;33&lt;/_volume&gt;&lt;/Details&gt;&lt;Extra&gt;&lt;DBUID&gt;{C818A046-6D8C-4B07-8765-4E05C48B46EA}&lt;/DBUID&gt;&lt;/Extra&gt;&lt;/Item&gt;&lt;/References&gt;&lt;/Group&gt;&lt;Group&gt;&lt;References&gt;&lt;Item&gt;&lt;ID&gt;8&lt;/ID&gt;&lt;UID&gt;{BF10F28D-7E21-4C1D-B272-A8052A64B705}&lt;/UID&gt;&lt;Title&gt;Postpartum Weight Retention Risk Factors in a Taiwanese Cohort Study&lt;/Title&gt;&lt;Template&gt;Journal Article&lt;/Template&gt;&lt;Star&gt;0&lt;/Star&gt;&lt;Tag&gt;0&lt;/Tag&gt;&lt;Author&gt;Shao, H H; Hwang, L C; Huang, J P; Hsu, H Y&lt;/Author&gt;&lt;Year&gt;2018&lt;/Year&gt;&lt;Details&gt;&lt;_accession_num&gt;29402791&lt;/_accession_num&gt;&lt;_author_adr&gt;MacKay Memorial Hospital, Taipei City, Taiwan.&lt;/_author_adr&gt;&lt;_created&gt;64733395&lt;/_created&gt;&lt;_date&gt;2018-01-20&lt;/_date&gt;&lt;_date_display&gt;2018&lt;/_date_display&gt;&lt;_doi&gt;10.1159/000484934&lt;/_doi&gt;&lt;_impact_factor&gt;   3.942&lt;/_impact_factor&gt;&lt;_isbn&gt;1662-4033 (Electronic); 1662-4025 (Print); 1662-4025 (Linking)&lt;/_isbn&gt;&lt;_issue&gt;1&lt;/_issue&gt;&lt;_journal&gt;Obes Facts&lt;/_journal&gt;&lt;_keywords&gt;Gestational weight gain; Obesity; Postpartum weight retention&lt;/_keywords&gt;&lt;_language&gt;eng&lt;/_language&gt;&lt;_modified&gt;64734679&lt;/_modified&gt;&lt;_ori_publication&gt;© 2018 The Author(s) Published by S. Karger GmbH, Freiburg.&lt;/_ori_publication&gt;&lt;_pages&gt;37-45&lt;/_pages&gt;&lt;_subject_headings&gt;Adult; Asian People/statistics &amp;amp; numerical data; Body Mass Index; Breast Feeding/statistics &amp;amp; numerical data; Cesarean Section/statistics &amp;amp; numerical data; Cohort Studies; Female; Gestational Weight Gain/*physiology; Humans; Middle Aged; Obesity/epidemiology/etiology; Overweight/epidemiology/etiology; *Postpartum Period; Pregnancy; Pregnancy Complications/epidemiology; Risk Factors; Taiwan/epidemiology; Thinness/epidemiology/etiology; Weight Gain/*physiology; Young Adult&lt;/_subject_headings&gt;&lt;_tertiary_title&gt;Obesity facts&lt;/_tertiary_title&gt;&lt;_type_work&gt;Journal Article; Research Support, Non-U.S. Gov&amp;apos;t&lt;/_type_work&gt;&lt;_url&gt;http://www.ncbi.nlm.nih.gov/entrez/query.fcgi?cmd=Retrieve&amp;amp;db=pubmed&amp;amp;dopt=Abstract&amp;amp;list_uids=29402791&amp;amp;query_hl=1&lt;/_url&gt;&lt;_volume&gt;11&lt;/_volume&gt;&lt;/Details&gt;&lt;Extra&gt;&lt;DBUID&gt;{C818A046-6D8C-4B07-8765-4E05C48B46EA}&lt;/DBUID&gt;&lt;/Extra&gt;&lt;/Item&gt;&lt;/References&gt;&lt;/Group&gt;&lt;Group&gt;&lt;References&gt;&lt;Item&gt;&lt;ID&gt;9&lt;/ID&gt;&lt;UID&gt;{E241A996-43A5-4FE7-81A5-51D8910AA168}&lt;/UID&gt;&lt;Title&gt;The Role of Parity in Gestational Weight Gain and Postpartum Weight Retention&lt;/Title&gt;&lt;Template&gt;Journal Article&lt;/Template&gt;&lt;Star&gt;0&lt;/Star&gt;&lt;Tag&gt;0&lt;/Tag&gt;&lt;Author&gt;Hill, B; McPhie, S; Skouteris, H&lt;/Author&gt;&lt;Year&gt;2016&lt;/Year&gt;&lt;Details&gt;&lt;_accession_num&gt;26542383&lt;/_accession_num&gt;&lt;_author_adr&gt;School of Psychology, Deakin University, Burwood, Victoria, Australia. Electronic  address: briony.hill@deakin.edu.au.; School of Psychology, Deakin University, Burwood, Victoria, Australia.; School of Psychology, Deakin University, Burwood, Victoria, Australia.&lt;/_author_adr&gt;&lt;_collection_scope&gt;SSCI&lt;/_collection_scope&gt;&lt;_created&gt;64733395&lt;/_created&gt;&lt;_date&gt;2016-01-01&lt;/_date&gt;&lt;_date_display&gt;2016 Jan-Feb&lt;/_date_display&gt;&lt;_doi&gt;10.1016/j.whi.2015.09.012&lt;/_doi&gt;&lt;_impact_factor&gt;   3.027&lt;/_impact_factor&gt;&lt;_isbn&gt;1878-4321 (Electronic); 1049-3867 (Linking)&lt;/_isbn&gt;&lt;_issue&gt;1&lt;/_issue&gt;&lt;_journal&gt;Womens Health Issues&lt;/_journal&gt;&lt;_language&gt;eng&lt;/_language&gt;&lt;_modified&gt;64734679&lt;/_modified&gt;&lt;_ori_publication&gt;Copyright © 2016 Jacobs Institute of Women&amp;apos;s Health. Published by Elsevier Inc. _x000d__x000a_      All rights reserved.&lt;/_ori_publication&gt;&lt;_pages&gt;123-9&lt;/_pages&gt;&lt;_subject_headings&gt;Adult; Australia/epidemiology; *Body Mass Index; Body Weight/physiology; Female; Humans; Multivariate Analysis; Overweight/*epidemiology; Parity/*physiology; Postpartum Period; Pregnancy; Pregnancy Outcome; Prospective Studies; Risk Factors; *Weight Gain; Young Adult&lt;/_subject_headings&gt;&lt;_tertiary_title&gt;Women&amp;apos;s health issues : official publication of the Jacobs Institute of Women&amp;apos;s _x000d__x000a_      Health&lt;/_tertiary_title&gt;&lt;_type_work&gt;Journal Article&lt;/_type_work&gt;&lt;_url&gt;http://www.ncbi.nlm.nih.gov/entrez/query.fcgi?cmd=Retrieve&amp;amp;db=pubmed&amp;amp;dopt=Abstract&amp;amp;list_uids=26542383&amp;amp;query_hl=1&lt;/_url&gt;&lt;_volume&gt;26&lt;/_volume&gt;&lt;/Details&gt;&lt;Extra&gt;&lt;DBUID&gt;{C818A046-6D8C-4B07-8765-4E05C48B46EA}&lt;/DBUID&gt;&lt;/Extra&gt;&lt;/Item&gt;&lt;/References&gt;&lt;/Group&gt;&lt;/Citation&gt;_x000a_"/>
    <w:docVar w:name="NE.Ref{D556725B-27B2-41F7-AFE7-B0E409086503}" w:val=" ADDIN NE.Ref.{D556725B-27B2-41F7-AFE7-B0E409086503}&lt;Citation&gt;&lt;Group&gt;&lt;References&gt;&lt;Item&gt;&lt;ID&gt;546&lt;/ID&gt;&lt;UID&gt;{33DBA32B-A1D3-4D57-A4CB-E45415084370}&lt;/UID&gt;&lt;Title&gt;Associations between gestational weight gain and BMI, abdominal adiposity, and  traditional measures of cardiometabolic risk in mothers 8 y postpartum&lt;/Title&gt;&lt;Template&gt;Journal Article&lt;/Template&gt;&lt;Star&gt;0&lt;/Star&gt;&lt;Tag&gt;0&lt;/Tag&gt;&lt;Author&gt;McClure, C K; Catov, J M; Ness, R; Bodnar, L M&lt;/Author&gt;&lt;Year&gt;2013&lt;/Year&gt;&lt;Details&gt;&lt;_accessed&gt;64664557&lt;/_accessed&gt;&lt;_accession_num&gt;24047920&lt;/_accession_num&gt;&lt;_author_adr&gt;Department of Epidemiology, Graduate School of Public Health, University of  Pittsburgh, Pittsburgh, PA (CKM, JMC, and LMB); the Departments of Obstetrics,  Gynecology, and Reproductive Sciences, University of Pittsburgh, Pittsburgh, PA  (JMC and LMB); and the School of Public Health, University of Texas, Houston, TX  (RN).&lt;/_author_adr&gt;&lt;_collection_scope&gt;SCI;SCIE&lt;/_collection_scope&gt;&lt;_created&gt;64525782&lt;/_created&gt;&lt;_date&gt;2013-11-01&lt;/_date&gt;&lt;_date_display&gt;2013 Nov&lt;/_date_display&gt;&lt;_doi&gt;10.3945/ajcn.112.055772&lt;/_doi&gt;&lt;_impact_factor&gt;   7.047&lt;/_impact_factor&gt;&lt;_isbn&gt;1938-3207 (Electronic); 0002-9165 (Print); 0002-9165 (Linking)&lt;/_isbn&gt;&lt;_issue&gt;5&lt;/_issue&gt;&lt;_journal&gt;Am J Clin Nutr&lt;/_journal&gt;&lt;_language&gt;eng&lt;/_language&gt;&lt;_modified&gt;64664557&lt;/_modified&gt;&lt;_pages&gt;1218-25&lt;/_pages&gt;&lt;_subject_headings&gt;*Adiposity; Adult; *Body Mass Index; Cardiovascular Diseases/*epidemiology/etiology/physiopathology; Female; Humans; Life Style; Middle Aged; Multivariate Analysis; Obesity, Abdominal/complications/*epidemiology/physiopathology; *Postpartum Period; Pregnancy; Prevalence; Regression Analysis; Risk Factors; Socioeconomic Factors; Waist Circumference; Weight Gain/*physiology&lt;/_subject_headings&gt;&lt;_tertiary_title&gt;The American journal of clinical nutrition&lt;/_tertiary_title&gt;&lt;_type_work&gt;Journal Article; Research Support, N.I.H., Extramural&lt;/_type_work&gt;&lt;_url&gt;http://www.ncbi.nlm.nih.gov/entrez/query.fcgi?cmd=Retrieve&amp;amp;db=pubmed&amp;amp;dopt=Abstract&amp;amp;list_uids=24047920&amp;amp;query_hl=1&lt;/_url&gt;&lt;_volume&gt;98&lt;/_volume&gt;&lt;/Details&gt;&lt;Extra&gt;&lt;DBUID&gt;{F96A950B-833F-4880-A151-76DA2D6A2879}&lt;/DBUID&gt;&lt;/Extra&gt;&lt;/Item&gt;&lt;/References&gt;&lt;/Group&gt;&lt;Group&gt;&lt;References&gt;&lt;Item&gt;&lt;ID&gt;561&lt;/ID&gt;&lt;UID&gt;{35F445F4-9C4D-4C81-BA83-F3D7B47EC10A}&lt;/UID&gt;&lt;Title&gt;Abdominal adiposity and cardiometabolic risk: do we have all the answers?&lt;/Title&gt;&lt;Template&gt;Journal Article&lt;/Template&gt;&lt;Star&gt;0&lt;/Star&gt;&lt;Tag&gt;0&lt;/Tag&gt;&lt;Author&gt;Haffner, S M&lt;/Author&gt;&lt;Year&gt;2007&lt;/Year&gt;&lt;Details&gt;&lt;_accession_num&gt;17720354&lt;/_accession_num&gt;&lt;_author_adr&gt;Department of Medicine and Clinical Epidemiology, University of Texas Health  Science Center, San Antonio, Texas 78240, USA. haffner@uthscsa.edu&lt;/_author_adr&gt;&lt;_collection_scope&gt;SCI;SCIE&lt;/_collection_scope&gt;&lt;_created&gt;64530360&lt;/_created&gt;&lt;_date&gt;2007-09-01&lt;/_date&gt;&lt;_date_display&gt;2007 Sep&lt;/_date_display&gt;&lt;_doi&gt;10.1016/j.amjmed.2007.06.006&lt;/_doi&gt;&lt;_impact_factor&gt;   4.965&lt;/_impact_factor&gt;&lt;_isbn&gt;1555-7162 (Electronic); 0002-9343 (Linking)&lt;/_isbn&gt;&lt;_issue&gt;9 Suppl 1&lt;/_issue&gt;&lt;_journal&gt;Am J Med&lt;/_journal&gt;&lt;_language&gt;eng&lt;/_language&gt;&lt;_modified&gt;64530360&lt;/_modified&gt;&lt;_pages&gt;S10-6; discussion S16-7&lt;/_pages&gt;&lt;_subject_headings&gt;*Abdominal Fat/metabolism; Cardiovascular Diseases/*diagnosis/etiology/metabolism/prevention &amp;amp; control; Diabetes Mellitus, Type 2/etiology/metabolism; Female; Humans; Male; Metabolic Syndrome/complications/*diagnosis/metabolism/prevention &amp;amp; control; Obesity/complications/metabolism/therapy; Outcome and Process Assessment, Health Care; Predictive Value of Tests; Reference Values; Risk Assessment/methods; Risk Factors; Sex Factors; Treatment Outcome&lt;/_subject_headings&gt;&lt;_tertiary_title&gt;The American journal of medicine&lt;/_tertiary_title&gt;&lt;_type_work&gt;Journal Article; Review&lt;/_type_work&gt;&lt;_url&gt;http://www.ncbi.nlm.nih.gov/entrez/query.fcgi?cmd=Retrieve&amp;amp;db=pubmed&amp;amp;dopt=Abstract&amp;amp;list_uids=17720354&amp;amp;query_hl=1&lt;/_url&gt;&lt;_volume&gt;120&lt;/_volume&gt;&lt;/Details&gt;&lt;Extra&gt;&lt;DBUID&gt;{F96A950B-833F-4880-A151-76DA2D6A2879}&lt;/DBUID&gt;&lt;/Extra&gt;&lt;/Item&gt;&lt;/References&gt;&lt;/Group&gt;&lt;/Citation&gt;_x000a_"/>
    <w:docVar w:name="NE.Ref{D924D20B-769A-4966-B1CB-900DB489A60B}" w:val=" ADDIN NE.Ref.{D924D20B-769A-4966-B1CB-900DB489A60B}&lt;Citation&gt;&lt;Group&gt;&lt;References&gt;&lt;Item&gt;&lt;ID&gt;3&lt;/ID&gt;&lt;UID&gt;{35D4BEDC-ED0A-4652-8B19-ECEC2869F844}&lt;/UID&gt;&lt;Title&gt;Epidemiology of gestational weight gain and body weight changes after pregnancy&lt;/Title&gt;&lt;Template&gt;Journal Article&lt;/Template&gt;&lt;Star&gt;0&lt;/Star&gt;&lt;Tag&gt;0&lt;/Tag&gt;&lt;Author&gt;Gunderson, E P; Abrams, B&lt;/Author&gt;&lt;Year&gt;2000&lt;/Year&gt;&lt;Details&gt;&lt;_accession_num&gt;11218377&lt;/_accession_num&gt;&lt;_author_adr&gt;Division of Public Health and Epidemiology, School of Public Health, University  of California, Berkeley, CA, USA. epg@dor.kaiser.org&lt;/_author_adr&gt;&lt;_collection_scope&gt;SCI;SCIE&lt;/_collection_scope&gt;&lt;_created&gt;64733389&lt;/_created&gt;&lt;_date&gt;2000-01-20&lt;/_date&gt;&lt;_date_display&gt;2000&lt;/_date_display&gt;&lt;_doi&gt;10.1093/oxfordjournals.epirev.a018038&lt;/_doi&gt;&lt;_impact_factor&gt;   6.222&lt;/_impact_factor&gt;&lt;_isbn&gt;0193-936X (Print); 0193-936X (Linking)&lt;/_isbn&gt;&lt;_issue&gt;2&lt;/_issue&gt;&lt;_journal&gt;Epidemiol Rev&lt;/_journal&gt;&lt;_language&gt;eng&lt;/_language&gt;&lt;_modified&gt;64734679&lt;/_modified&gt;&lt;_pages&gt;261-74&lt;/_pages&gt;&lt;_subject_headings&gt;Adolescent; Adult; Ethnicity; Female; Humans; Lactation; Obesity/economics/*epidemiology/etiology; *Postpartum Period; *Pregnancy; Pregnancy in Adolescence; Prevalence; Risk Factors; United States/epidemiology; *Weight Gain&lt;/_subject_headings&gt;&lt;_tertiary_title&gt;Epidemiologic reviews&lt;/_tertiary_title&gt;&lt;_type_work&gt;Journal Article; Research Support, Non-U.S. Gov&amp;apos;t; Research Support, U.S. Gov&amp;apos;t, Non-P.H.S.; Review&lt;/_type_work&gt;&lt;_url&gt;http://www.ncbi.nlm.nih.gov/entrez/query.fcgi?cmd=Retrieve&amp;amp;db=pubmed&amp;amp;dopt=Abstract&amp;amp;list_uids=11218377&amp;amp;query_hl=1&lt;/_url&gt;&lt;_volume&gt;22&lt;/_volume&gt;&lt;/Details&gt;&lt;Extra&gt;&lt;DBUID&gt;{C818A046-6D8C-4B07-8765-4E05C48B46EA}&lt;/DBUID&gt;&lt;/Extra&gt;&lt;/Item&gt;&lt;/References&gt;&lt;/Group&gt;&lt;Group&gt;&lt;References&gt;&lt;Item&gt;&lt;ID&gt;4&lt;/ID&gt;&lt;UID&gt;{97D476FD-6EFA-4030-9767-895E68ECC74A}&lt;/UID&gt;&lt;Title&gt;Pregnancy: a &amp;quot;teachable moment&amp;quot; for weight control and obesity prevention&lt;/Title&gt;&lt;Template&gt;Journal Article&lt;/Template&gt;&lt;Star&gt;0&lt;/Star&gt;&lt;Tag&gt;0&lt;/Tag&gt;&lt;Author&gt;Phelan, S&lt;/Author&gt;&lt;Year&gt;2010&lt;/Year&gt;&lt;Details&gt;&lt;_accession_num&gt;19683692&lt;/_accession_num&gt;&lt;_author_adr&gt;Department of Kinesiology, California Polytechnic State University, San Luis  Obispo, CA 93407-0386, USA. sphelan@calpoly.edu&lt;/_author_adr&gt;&lt;_collection_scope&gt;SCI;SCIE&lt;/_collection_scope&gt;&lt;_created&gt;64733394&lt;/_created&gt;&lt;_date&gt;2010-02-01&lt;/_date&gt;&lt;_date_display&gt;2010 Feb&lt;/_date_display&gt;&lt;_doi&gt;10.1016/j.ajog.2009.06.008&lt;/_doi&gt;&lt;_impact_factor&gt;   8.661&lt;/_impact_factor&gt;&lt;_isbn&gt;1097-6868 (Electronic); 0002-9378 (Print); 0002-9378 (Linking)&lt;/_isbn&gt;&lt;_issue&gt;2&lt;/_issue&gt;&lt;_journal&gt;Am J Obstet Gynecol&lt;/_journal&gt;&lt;_language&gt;eng&lt;/_language&gt;&lt;_modified&gt;64734679&lt;/_modified&gt;&lt;_ori_publication&gt;Copyright 2010 Mosby, Inc. All rights reserved.&lt;/_ori_publication&gt;&lt;_pages&gt;135.e1-8&lt;/_pages&gt;&lt;_subject_headings&gt;Exercise; Female; Humans; Obesity/*prevention &amp;amp; control; Patient Education as Topic; Postpartum Period; Pregnancy; Pregnancy Complications/*prevention &amp;amp; control; Prenatal Care; *Weight Gain&lt;/_subject_headings&gt;&lt;_tertiary_title&gt;American journal of obstetrics and gynecology&lt;/_tertiary_title&gt;&lt;_type_work&gt;Journal Article; Research Support, N.I.H., Extramural&lt;/_type_work&gt;&lt;_url&gt;http://www.ncbi.nlm.nih.gov/entrez/query.fcgi?cmd=Retrieve&amp;amp;db=pubmed&amp;amp;dopt=Abstract&amp;amp;list_uids=19683692&amp;amp;query_hl=1&lt;/_url&gt;&lt;_volume&gt;202&lt;/_volume&gt;&lt;/Details&gt;&lt;Extra&gt;&lt;DBUID&gt;{C818A046-6D8C-4B07-8765-4E05C48B46EA}&lt;/DBUID&gt;&lt;/Extra&gt;&lt;/Item&gt;&lt;/References&gt;&lt;/Group&gt;&lt;Group&gt;&lt;References&gt;&lt;Item&gt;&lt;ID&gt;5&lt;/ID&gt;&lt;UID&gt;{7DFA100E-712F-43A4-BB4F-02482AAA5DA8}&lt;/UID&gt;&lt;Title&gt;Postpartum weight retention risk factors and relationship to obesity at 1 year&lt;/Title&gt;&lt;Template&gt;Journal Article&lt;/Template&gt;&lt;Star&gt;0&lt;/Star&gt;&lt;Tag&gt;0&lt;/Tag&gt;&lt;Author&gt;Endres, L K; Straub, H; McKinney, C; Plunkett, B; Minkovitz, C S; Schetter, C D; Ramey, S; Wang, C; Hobel, C; Raju, T; Shalowitz, M U&lt;/Author&gt;&lt;Year&gt;2015&lt;/Year&gt;&lt;Details&gt;&lt;_accession_num&gt;25560116&lt;/_accession_num&gt;&lt;_author_adr&gt;Department of Obstetrics and Gynecology, NorthShore University HealthSystem,  Evanston, Illinois; the Department of Pediatrics, University of Chicago, Pritzker  School of Medicine, Chicago, Illinois; the Bloomberg School of Public Health,  Johns Hopkins University, Baltimore, Maryland; the Department of Psychology,  University of California-Los Angeles, Los Angeles, California; Virginia  Polytechnical Institute and State University, Roanoke, Virginia; and the Eunice  Kennedy Shriver National Institute of Child Health and Human Development,  Bethesda, Maryland.&lt;/_author_adr&gt;&lt;_collection_scope&gt;SCI;SCIE&lt;/_collection_scope&gt;&lt;_created&gt;64733394&lt;/_created&gt;&lt;_date&gt;2015-01-01&lt;/_date&gt;&lt;_date_display&gt;2015 Jan&lt;/_date_display&gt;&lt;_doi&gt;10.1097/AOG.0000000000000565&lt;/_doi&gt;&lt;_impact_factor&gt;   7.661&lt;/_impact_factor&gt;&lt;_isbn&gt;1873-233X (Electronic); 0029-7844 (Print); 0029-7844 (Linking)&lt;/_isbn&gt;&lt;_issue&gt;1&lt;/_issue&gt;&lt;_journal&gt;Obstet Gynecol&lt;/_journal&gt;&lt;_language&gt;eng&lt;/_language&gt;&lt;_modified&gt;64734679&lt;/_modified&gt;&lt;_pages&gt;144-152&lt;/_pages&gt;&lt;_subject_headings&gt;Adult; Body Mass Index; Breast Feeding; Exercise; Female; Humans; Obesity/*epidemiology/ethnology; *Postpartum Period; Pregnancy/*physiology; Prospective Studies; Socioeconomic Factors; Time Factors; *Weight Gain; *Weight Loss; Young Adult&lt;/_subject_headings&gt;&lt;_tertiary_title&gt;Obstetrics and gynecology&lt;/_tertiary_title&gt;&lt;_type_work&gt;Journal Article; Research Support, N.I.H., Extramural&lt;/_type_work&gt;&lt;_url&gt;http://www.ncbi.nlm.nih.gov/entrez/query.fcgi?cmd=Retrieve&amp;amp;db=pubmed&amp;amp;dopt=Abstract&amp;amp;list_uids=25560116&amp;amp;query_hl=1&lt;/_url&gt;&lt;_volume&gt;125&lt;/_volume&gt;&lt;/Details&gt;&lt;Extra&gt;&lt;DBUID&gt;{C818A046-6D8C-4B07-8765-4E05C48B46EA}&lt;/DBUID&gt;&lt;/Extra&gt;&lt;/Item&gt;&lt;/References&gt;&lt;/Group&gt;&lt;/Citation&gt;_x000a_"/>
    <w:docVar w:name="NE.Ref{D93E7E01-4CA7-4E73-B5CB-6A1B97788E53}" w:val=" ADDIN NE.Ref.{D93E7E01-4CA7-4E73-B5CB-6A1B97788E53}&lt;Citation&gt;&lt;Group&gt;&lt;References&gt;&lt;Item&gt;&lt;ID&gt;598&lt;/ID&gt;&lt;UID&gt;{353B483A-3545-4A81-A783-C128C2C5949A}&lt;/UID&gt;&lt;Title&gt;High density lipoprotein as a protective factor against coronary heart disease.  The Framingham Study&lt;/Title&gt;&lt;Template&gt;Journal Article&lt;/Template&gt;&lt;Star&gt;0&lt;/Star&gt;&lt;Tag&gt;5&lt;/Tag&gt;&lt;Author&gt;Gordon, T; Castelli, W P; Hjortland, M C; Kannel, W B; Dawber, T R&lt;/Author&gt;&lt;Year&gt;1977&lt;/Year&gt;&lt;Details&gt;&lt;_accession_num&gt;193398&lt;/_accession_num&gt;&lt;_collection_scope&gt;SCI;SCIE&lt;/_collection_scope&gt;&lt;_created&gt;64599410&lt;/_created&gt;&lt;_date&gt;1977-05-01&lt;/_date&gt;&lt;_date_display&gt;1977 May&lt;/_date_display&gt;&lt;_doi&gt;10.1016/0002-9343(77)90874-9&lt;/_doi&gt;&lt;_impact_factor&gt;   4.965&lt;/_impact_factor&gt;&lt;_isbn&gt;0002-9343 (Print); 0002-9343 (Linking)&lt;/_isbn&gt;&lt;_issue&gt;5&lt;/_issue&gt;&lt;_journal&gt;Am J Med&lt;/_journal&gt;&lt;_language&gt;eng&lt;/_language&gt;&lt;_modified&gt;64601568&lt;/_modified&gt;&lt;_pages&gt;707-14&lt;/_pages&gt;&lt;_subject_headings&gt;Age Factors; Aged; Coronary Disease/*epidemiology; Female; Humans; Lipids/blood; Lipoproteins, HDL/*blood; Lipoproteins, LDL/blood; Male; Middle Aged; Risk; Sex Factors&lt;/_subject_headings&gt;&lt;_tertiary_title&gt;The American journal of medicine&lt;/_tertiary_title&gt;&lt;_type_work&gt;Journal Article&lt;/_type_work&gt;&lt;_url&gt;http://www.ncbi.nlm.nih.gov/entrez/query.fcgi?cmd=Retrieve&amp;amp;db=pubmed&amp;amp;dopt=Abstract&amp;amp;list_uids=193398&amp;amp;query_hl=1&lt;/_url&gt;&lt;_volume&gt;62&lt;/_volume&gt;&lt;/Details&gt;&lt;Extra&gt;&lt;DBUID&gt;{F96A950B-833F-4880-A151-76DA2D6A2879}&lt;/DBUID&gt;&lt;/Extra&gt;&lt;/Item&gt;&lt;/References&gt;&lt;/Group&gt;&lt;/Citation&gt;_x000a_"/>
    <w:docVar w:name="NE.Ref{DA32DDDC-24B8-4205-A8FC-777C3720BD6A}" w:val=" ADDIN NE.Ref.{DA32DDDC-24B8-4205-A8FC-777C3720BD6A}&lt;Citation&gt;&lt;Group&gt;&lt;References&gt;&lt;Item&gt;&lt;ID&gt;560&lt;/ID&gt;&lt;UID&gt;{66526E20-2D19-4B97-A6C4-0CFDF2223FAD}&lt;/UID&gt;&lt;Title&gt;Maternal weight change from prepregnancy to 18 months postpartum and subsequent  risk of hypertension and cardiovascular disease in Danish women: A cohort study&lt;/Title&gt;&lt;Template&gt;Journal Article&lt;/Template&gt;&lt;Star&gt;0&lt;/Star&gt;&lt;Tag&gt;0&lt;/Tag&gt;&lt;Author&gt;Kirkegaard, H; Bliddal, M; Støvring, H; Rasmussen, K M; Gunderson, E P; Køber, L; Sørensen, TIA; Nøhr, E A&lt;/Author&gt;&lt;Year&gt;2021&lt;/Year&gt;&lt;Details&gt;&lt;_accession_num&gt;33798198&lt;/_accession_num&gt;&lt;_author_adr&gt;Research Unit of Obstetrics and Gynecology, Department of Clinical Research,  University of Southern Denmark, Odense, Denmark.; Open Patient Data Explorative Network (OPEN), Department of Clinical Research,  University of Southern Denmark and Odense University Hospital, Odense, Denmark.; Open Patient Data Explorative Network (OPEN), Department of Clinical Research,  University of Southern Denmark and Odense University Hospital, Odense, Denmark.; Department of Public Health, Biostatistics, Aarhus University, Aarhus, Denmark.; Division of Nutritional Sciences, Cornell University, Ithaca, New York, United  States of America.; Division of Research, Cardiovascular and Metabolic Conditions Section, Kaiser  Permanente Northern California, Oakland, California, United States of America.; Department of Cardiology, Rigshospitalet, University Hospital, Copenhagen,  Denmark.; Novo Nordisk Foundation Center for Basic Metabolic Research and Department of  Public Health, Faculty of Health and Medical Sciences, University of Copenhagen,  Copenhagen, Denmark.; Research Unit of Obstetrics and Gynecology, Department of Clinical Research,  University of Southern Denmark, Odense, Denmark.; Department of Gynecology and Obstetrics, Odense University Hospital, Odense,  Denmark.&lt;/_author_adr&gt;&lt;_collection_scope&gt;SCIE&lt;/_collection_scope&gt;&lt;_created&gt;64530234&lt;/_created&gt;&lt;_date&gt;2021-04-01&lt;/_date&gt;&lt;_date_display&gt;2021 Apr&lt;/_date_display&gt;&lt;_doi&gt;10.1371/journal.pmed.1003486&lt;/_doi&gt;&lt;_impact_factor&gt;  11.069&lt;/_impact_factor&gt;&lt;_isbn&gt;1549-1676 (Electronic); 1549-1277 (Print); 1549-1277 (Linking)&lt;/_isbn&gt;&lt;_issue&gt;4&lt;/_issue&gt;&lt;_journal&gt;PLoS Med&lt;/_journal&gt;&lt;_language&gt;eng&lt;/_language&gt;&lt;_modified&gt;64530234&lt;/_modified&gt;&lt;_pages&gt;e1003486&lt;/_pages&gt;&lt;_subject_headings&gt;Adult; Cardiovascular Diseases/*epidemiology/etiology; Cohort Studies; Denmark/epidemiology; Female; Humans; Hypertension/epidemiology/etiology; Middle Aged; Obesity/epidemiology/etiology; Overweight/*epidemiology/etiology; Postpartum Period/*physiology; Pregnancy; Pregnancy Complications/*epidemiology/etiology; Risk Factors; Thinness/*epidemiology/etiology; *Weight Gain; Young Adult&lt;/_subject_headings&gt;&lt;_tertiary_title&gt;PLoS medicine&lt;/_tertiary_title&gt;&lt;_type_work&gt;Journal Article; Research Support, Non-U.S. Gov&amp;apos;t&lt;/_type_work&gt;&lt;_url&gt;http://www.ncbi.nlm.nih.gov/entrez/query.fcgi?cmd=Retrieve&amp;amp;db=pubmed&amp;amp;dopt=Abstract&amp;amp;list_uids=33798198&amp;amp;query_hl=1&lt;/_url&gt;&lt;_volume&gt;18&lt;/_volume&gt;&lt;/Details&gt;&lt;Extra&gt;&lt;DBUID&gt;{F96A950B-833F-4880-A151-76DA2D6A2879}&lt;/DBUID&gt;&lt;/Extra&gt;&lt;/Item&gt;&lt;/References&gt;&lt;/Group&gt;&lt;Group&gt;&lt;References&gt;&lt;Item&gt;&lt;ID&gt;563&lt;/ID&gt;&lt;UID&gt;{7F5FBE18-F4D2-4EBC-9216-F8B8F3123695}&lt;/UID&gt;&lt;Title&gt;Weight Trajectories After Delivery are Associated with Adiposity and  Cardiometabolic Markers at 3 Years Postpartum Among Women in Project Viva&lt;/Title&gt;&lt;Template&gt;Journal Article&lt;/Template&gt;&lt;Star&gt;0&lt;/Star&gt;&lt;Tag&gt;0&lt;/Tag&gt;&lt;Author&gt;Soria-Contreras, D C; Rifas-Shiman, S L; Aris, I M; Perng, W; Switkowski, K M; Téllez-Rojo, M M; Trejo-Valdivia, B; López-Ridaura, R; Oken, E&lt;/Author&gt;&lt;Year&gt;2020&lt;/Year&gt;&lt;Details&gt;&lt;_accession_num&gt;32321175&lt;/_accession_num&gt;&lt;_author_adr&gt;Center for Nutrition and Health Research, National Institute of Public Health,  Cuernavaca, Morelos, Mexico.; Division of Chronic Disease Research Across the Lifecourse, Department of  Population Medicine, Harvard Medical School, and Harvard Pilgrim Health Care  Institute, Boston, MA, USA.; Division of Chronic Disease Research Across the Lifecourse, Department of  Population Medicine, Harvard Medical School, and Harvard Pilgrim Health Care  Institute, Boston, MA, USA.; Department of Obstetrics and Gynecology, Yong Loo Lin School of Medicine,  National University of Singapore, Singapore.; Agency for Science, Technology and Research, Singapore Institute for Clinical  Sciences, Singapore.; Department of Epidemiology, Colorado School of Public Health, University of  Colorado Denver, Anschutz Medical Campus, Aurora, CO, USA.; Lifecourse Epidemiology of Adiposity and Diabetes (LEAD) Center, Colorado School  of Public Health, University of Colorado Denver, Anschutz Medical Campus, Aurora,  CO, USA.; Division of Chronic Disease Research Across the Lifecourse, Department of  Population Medicine, Harvard Medical School, and Harvard Pilgrim Health Care  Institute, Boston, MA, USA.; Center for Nutrition and Health Research, National Institute of Public Health,  Cuernavaca, Morelos, Mexico.; Center for Nutrition and Health Research, National Institute of Public Health,  Cuernavaca, Morelos, Mexico.; Center for Population Health Research, National Institute of Public Health,  Cuernavaca, Morelos, Mexico.; Division of Chronic Disease Research Across the Lifecourse, Department of  Population Medicine, Harvard Medical School, and Harvard Pilgrim Health Care  Institute, Boston, MA, USA.; Department of Nutrition, Harvard T.H. Chan School of Public Health, Boston, MA,  USA.&lt;/_author_adr&gt;&lt;_collection_scope&gt;SCI;SCIE&lt;/_collection_scope&gt;&lt;_created&gt;64536094&lt;/_created&gt;&lt;_date&gt;2020-07-01&lt;/_date&gt;&lt;_date_display&gt;2020 Jul 1&lt;/_date_display&gt;&lt;_doi&gt;10.1093/jn/nxaa104&lt;/_doi&gt;&lt;_impact_factor&gt;   4.798&lt;/_impact_factor&gt;&lt;_isbn&gt;1541-6100 (Electronic); 0022-3166 (Print); 0022-3166 (Linking)&lt;/_isbn&gt;&lt;_issue&gt;7&lt;/_issue&gt;&lt;_journal&gt;J Nutr&lt;/_journal&gt;&lt;_keywords&gt;Project Viva; adiposity; cardiovascular risk factors; diet; gestational weight gain; postpartum weight change; postpartum weight trajectories; pre-pregnancy BMI&lt;/_keywords&gt;&lt;_language&gt;eng&lt;/_language&gt;&lt;_modified&gt;64536094&lt;/_modified&gt;&lt;_ori_publication&gt;Copyright © The Author(s) on behalf of the American Society for Nutrition 2020.&lt;/_ori_publication&gt;&lt;_pages&gt;1889-1898&lt;/_pages&gt;&lt;_subject_headings&gt;*Adiposity; Adult; Biomarkers/blood; Cardiovascular Diseases/*blood; Diet; Female; Humans; Metabolic Diseases/*blood; *Postpartum Period; Pregnancy; Weight Gain; Weight Loss&lt;/_subject_headings&gt;&lt;_tertiary_title&gt;The Journal of nutrition&lt;/_tertiary_title&gt;&lt;_type_work&gt;Journal Article; Research Support, N.I.H., Extramural&lt;/_type_work&gt;&lt;_url&gt;http://www.ncbi.nlm.nih.gov/entrez/query.fcgi?cmd=Retrieve&amp;amp;db=pubmed&amp;amp;dopt=Abstract&amp;amp;list_uids=32321175&amp;amp;query_hl=1&lt;/_url&gt;&lt;_volume&gt;150&lt;/_volume&gt;&lt;/Details&gt;&lt;Extra&gt;&lt;DBUID&gt;{F96A950B-833F-4880-A151-76DA2D6A2879}&lt;/DBUID&gt;&lt;/Extra&gt;&lt;/Item&gt;&lt;/References&gt;&lt;/Group&gt;&lt;/Citation&gt;_x000a_"/>
    <w:docVar w:name="NE.Ref{DB71B58A-2E45-463D-83C5-BA6C6E237D2A}" w:val=" ADDIN NE.Ref.{DB71B58A-2E45-463D-83C5-BA6C6E237D2A}&lt;Citation&gt;&lt;Group&gt;&lt;References&gt;&lt;Item&gt;&lt;ID&gt;602&lt;/ID&gt;&lt;UID&gt;{B6CC4CD5-F0BF-4902-82D2-1EDDB7165D06}&lt;/UID&gt;&lt;Title&gt;Trends in adult body-mass index in 200 countries from 1975 to 2014: a pooled  analysis of 1698 population-based measurement studies with 19·2 million  participants&lt;/Title&gt;&lt;Template&gt;Journal Article&lt;/Template&gt;&lt;Star&gt;0&lt;/Star&gt;&lt;Tag&gt;0&lt;/Tag&gt;&lt;Author/&gt;&lt;Year&gt;2016&lt;/Year&gt;&lt;Details&gt;&lt;_accessed&gt;64664558&lt;/_accessed&gt;&lt;_accession_num&gt;27115820&lt;/_accession_num&gt;&lt;_collection_scope&gt;SCI;SCIE&lt;/_collection_scope&gt;&lt;_created&gt;64664558&lt;/_created&gt;&lt;_date&gt;2016-04-02&lt;/_date&gt;&lt;_date_display&gt;2016 Apr 2&lt;/_date_display&gt;&lt;_doi&gt;10.1016/S0140-6736(16)30054-X&lt;/_doi&gt;&lt;_impact_factor&gt;  79.323&lt;/_impact_factor&gt;&lt;_isbn&gt;1474-547X (Electronic); 0140-6736 (Linking)&lt;/_isbn&gt;&lt;_issue&gt;10026&lt;/_issue&gt;&lt;_journal&gt;Lancet&lt;/_journal&gt;&lt;_language&gt;eng&lt;/_language&gt;&lt;_modified&gt;64664559&lt;/_modified&gt;&lt;_ori_publication&gt;Copyright © 2016 NCD Risk Factor Collaboration. Open Access article distributed _x000d__x000a_      under the terms of CC BY. Published by Elsevier Ltd.. All rights reserved.&lt;/_ori_publication&gt;&lt;_pages&gt;1377-1396&lt;/_pages&gt;&lt;_subject_headings&gt;Adolescent; Adult; Bayes Theorem; *Body Mass Index; Developed Countries; Developing Countries; Female; Forecasting; *Global Health; Humans; Male; Models, Statistical; Obesity/*epidemiology; Prevalence; Thinness/epidemiology; Young Adult&lt;/_subject_headings&gt;&lt;_tertiary_title&gt;Lancet (London, England)&lt;/_tertiary_title&gt;&lt;_type_work&gt;Journal Article; Meta-Analysis; Research Support, Non-U.S. Gov&amp;apos;t; Review&lt;/_type_work&gt;&lt;_url&gt;http://www.ncbi.nlm.nih.gov/entrez/query.fcgi?cmd=Retrieve&amp;amp;db=pubmed&amp;amp;dopt=Abstract&amp;amp;list_uids=27115820&amp;amp;query_hl=1&lt;/_url&gt;&lt;_volume&gt;387&lt;/_volume&gt;&lt;/Details&gt;&lt;Extra&gt;&lt;DBUID&gt;{F96A950B-833F-4880-A151-76DA2D6A2879}&lt;/DBUID&gt;&lt;/Extra&gt;&lt;/Item&gt;&lt;/References&gt;&lt;/Group&gt;&lt;/Citation&gt;_x000a_"/>
    <w:docVar w:name="NE.Ref{DC2CBC5A-F156-4D0E-B961-DE964698CBD4}" w:val=" ADDIN NE.Ref.{DC2CBC5A-F156-4D0E-B961-DE964698CBD4}&lt;Citation&gt;&lt;Group&gt;&lt;References&gt;&lt;Item&gt;&lt;ID&gt;577&lt;/ID&gt;&lt;UID&gt;{3CBC6CED-E038-4FFE-AA9E-4B7D347BB531}&lt;/UID&gt;&lt;Title&gt;Postpartum weight retention is associated with elevated ratio of oxidized LDL  lipids to HDL-cholesterol&lt;/Title&gt;&lt;Template&gt;Journal Article&lt;/Template&gt;&lt;Star&gt;0&lt;/Star&gt;&lt;Tag&gt;5&lt;/Tag&gt;&lt;Author&gt;Puhkala, J; Luoto, R; Ahotupa, M; Raitanen, J; Vasankari, T&lt;/Author&gt;&lt;Year&gt;2013&lt;/Year&gt;&lt;Details&gt;&lt;_accession_num&gt;24122103&lt;/_accession_num&gt;&lt;_collection_scope&gt;SCI;SCIE&lt;/_collection_scope&gt;&lt;_created&gt;64585192&lt;/_created&gt;&lt;_date&gt;2013-12-01&lt;/_date&gt;&lt;_date_display&gt;2013 Dec&lt;/_date_display&gt;&lt;_doi&gt;10.1007/s11745-013-3852-9&lt;/_doi&gt;&lt;_impact_factor&gt;   1.880&lt;/_impact_factor&gt;&lt;_isbn&gt;1558-9307 (Electronic); 0024-4201 (Linking)&lt;/_isbn&gt;&lt;_issue&gt;12&lt;/_issue&gt;&lt;_journal&gt;Lipids&lt;/_journal&gt;&lt;_language&gt;eng&lt;/_language&gt;&lt;_modified&gt;64601568&lt;/_modified&gt;&lt;_pages&gt;1227-35&lt;/_pages&gt;&lt;_subject_headings&gt;Adult; Body Weight/*physiology; Cholesterol, HDL/*blood; Cholesterol, LDL/blood; Female; Humans; Lipoproteins, LDL/*blood; Postpartum Period/*physiology; Pregnancy; Triglycerides/blood; Weight Loss&lt;/_subject_headings&gt;&lt;_tertiary_title&gt;Lipids&lt;/_tertiary_title&gt;&lt;_type_work&gt;Journal Article; Randomized Controlled Trial; Research Support, Non-U.S. Gov&amp;apos;t&lt;/_type_work&gt;&lt;_url&gt;http://www.ncbi.nlm.nih.gov/entrez/query.fcgi?cmd=Retrieve&amp;amp;db=pubmed&amp;amp;dopt=Abstract&amp;amp;list_uids=24122103&amp;amp;query_hl=1&lt;/_url&gt;&lt;_volume&gt;48&lt;/_volume&gt;&lt;/Details&gt;&lt;Extra&gt;&lt;DBUID&gt;{F96A950B-833F-4880-A151-76DA2D6A2879}&lt;/DBUID&gt;&lt;/Extra&gt;&lt;/Item&gt;&lt;/References&gt;&lt;/Group&gt;&lt;/Citation&gt;_x000a_"/>
    <w:docVar w:name="NE.Ref{DDA06CDB-E954-4C3D-B568-007B65C19590}" w:val=" ADDIN NE.Ref.{DDA06CDB-E954-4C3D-B568-007B65C19590}&lt;Citation&gt;&lt;Group&gt;&lt;References&gt;&lt;Item&gt;&lt;ID&gt;1&lt;/ID&gt;&lt;UID&gt;{BF3D6C26-9E15-4EED-BD04-105C47CEC17E}&lt;/UID&gt;&lt;Title&gt;Trends in adult body-mass index in 200 countries from 1975 to 2014: a pooled  analysis of 1698 population-based measurement studies with 19·2 million  participants&lt;/Title&gt;&lt;Template&gt;Journal Article&lt;/Template&gt;&lt;Star&gt;0&lt;/Star&gt;&lt;Tag&gt;0&lt;/Tag&gt;&lt;Author/&gt;&lt;Year&gt;2016&lt;/Year&gt;&lt;Details&gt;&lt;_accession_num&gt;27115820&lt;/_accession_num&gt;&lt;_collection_scope&gt;SCI;SCIE&lt;/_collection_scope&gt;&lt;_created&gt;64733386&lt;/_created&gt;&lt;_date&gt;2016-04-02&lt;/_date&gt;&lt;_date_display&gt;2016 Apr 2&lt;/_date_display&gt;&lt;_doi&gt;10.1016/S0140-6736(16)30054-X&lt;/_doi&gt;&lt;_impact_factor&gt;  79.323&lt;/_impact_factor&gt;&lt;_isbn&gt;1474-547X (Electronic); 0140-6736 (Linking)&lt;/_isbn&gt;&lt;_issue&gt;10026&lt;/_issue&gt;&lt;_journal&gt;Lancet&lt;/_journal&gt;&lt;_language&gt;eng&lt;/_language&gt;&lt;_modified&gt;64734679&lt;/_modified&gt;&lt;_ori_publication&gt;Copyright © 2016 NCD Risk Factor Collaboration. Open Access article distributed _x000d__x000a_      under the terms of CC BY. Published by Elsevier Ltd.. All rights reserved.&lt;/_ori_publication&gt;&lt;_pages&gt;1377-1396&lt;/_pages&gt;&lt;_subject_headings&gt;Adolescent; Adult; Bayes Theorem; *Body Mass Index; Developed Countries; Developing Countries; Female; Forecasting; *Global Health; Humans; Male; Models, Statistical; Obesity/*epidemiology; Prevalence; Thinness/epidemiology; Young Adult&lt;/_subject_headings&gt;&lt;_tertiary_title&gt;Lancet (London, England)&lt;/_tertiary_title&gt;&lt;_type_work&gt;Journal Article; Meta-Analysis; Research Support, Non-U.S. Gov&amp;apos;t; Review&lt;/_type_work&gt;&lt;_url&gt;http://www.ncbi.nlm.nih.gov/entrez/query.fcgi?cmd=Retrieve&amp;amp;db=pubmed&amp;amp;dopt=Abstract&amp;amp;list_uids=27115820&amp;amp;query_hl=1&lt;/_url&gt;&lt;_volume&gt;387&lt;/_volume&gt;&lt;/Details&gt;&lt;Extra&gt;&lt;DBUID&gt;{C818A046-6D8C-4B07-8765-4E05C48B46EA}&lt;/DBUID&gt;&lt;/Extra&gt;&lt;/Item&gt;&lt;/References&gt;&lt;/Group&gt;&lt;/Citation&gt;_x000a_"/>
    <w:docVar w:name="NE.Ref{DE629916-193B-49CB-919B-25CC87DD04DD}" w:val=" ADDIN NE.Ref.{DE629916-193B-49CB-919B-25CC87DD04DD}&lt;Citation&gt;&lt;Group&gt;&lt;References&gt;&lt;Item&gt;&lt;ID&gt;32&lt;/ID&gt;&lt;UID&gt;{DAA0B64A-EE25-4142-B551-B0E068E5E4A5}&lt;/UID&gt;&lt;Title&gt;BMI and obesity trends in Chinese national survey data&lt;/Title&gt;&lt;Template&gt;Journal Article&lt;/Template&gt;&lt;Star&gt;0&lt;/Star&gt;&lt;Tag&gt;0&lt;/Tag&gt;&lt;Author&gt;Flegal, K M&lt;/Author&gt;&lt;Year&gt;2021&lt;/Year&gt;&lt;Details&gt;&lt;_accession_num&gt;34217400&lt;/_accession_num&gt;&lt;_author_adr&gt;Stanford Prevention Research Center, Stanford University School of Medicine,  Stanford, CA 94305-5411, USA. Electronic address: kmflegal@stanford.edu.&lt;/_author_adr&gt;&lt;_collection_scope&gt;SCI;SCIE&lt;/_collection_scope&gt;&lt;_created&gt;64733403&lt;/_created&gt;&lt;_date&gt;2021-07-03&lt;/_date&gt;&lt;_date_display&gt;2021 Jul 3&lt;/_date_display&gt;&lt;_doi&gt;10.1016/S0140-6736(21)00892-8&lt;/_doi&gt;&lt;_impact_factor&gt;  79.323&lt;/_impact_factor&gt;&lt;_isbn&gt;1474-547X (Electronic); 0140-6736 (Linking)&lt;/_isbn&gt;&lt;_issue&gt;10294&lt;/_issue&gt;&lt;_journal&gt;Lancet&lt;/_journal&gt;&lt;_language&gt;eng&lt;/_language&gt;&lt;_modified&gt;64734680&lt;/_modified&gt;&lt;_pages&gt;5-7&lt;/_pages&gt;&lt;_subject_headings&gt;Asian People; Body Mass Index; China/epidemiology; Humans; *Obesity/epidemiology; *Overweight&lt;/_subject_headings&gt;&lt;_tertiary_title&gt;Lancet (London, England)&lt;/_tertiary_title&gt;&lt;_type_work&gt;Comment; Journal Article&lt;/_type_work&gt;&lt;_url&gt;http://www.ncbi.nlm.nih.gov/entrez/query.fcgi?cmd=Retrieve&amp;amp;db=pubmed&amp;amp;dopt=Abstract&amp;amp;list_uids=34217400&amp;amp;query_hl=1&lt;/_url&gt;&lt;_volume&gt;398&lt;/_volume&gt;&lt;/Details&gt;&lt;Extra&gt;&lt;DBUID&gt;{C818A046-6D8C-4B07-8765-4E05C48B46EA}&lt;/DBUID&gt;&lt;/Extra&gt;&lt;/Item&gt;&lt;/References&gt;&lt;/Group&gt;&lt;Group&gt;&lt;References&gt;&lt;Item&gt;&lt;ID&gt;33&lt;/ID&gt;&lt;UID&gt;{C026ABDD-F00D-4162-918F-0A9DAB35979A}&lt;/UID&gt;&lt;Title&gt;Appropriate body-mass index for Asian populations and its implications for policy  and intervention strategies&lt;/Title&gt;&lt;Template&gt;Journal Article&lt;/Template&gt;&lt;Star&gt;0&lt;/Star&gt;&lt;Tag&gt;0&lt;/Tag&gt;&lt;Author/&gt;&lt;Year&gt;2004&lt;/Year&gt;&lt;Details&gt;&lt;_accession_num&gt;14726171&lt;/_accession_num&gt;&lt;_collection_scope&gt;SCI;SCIE&lt;/_collection_scope&gt;&lt;_created&gt;64733404&lt;/_created&gt;&lt;_date&gt;2004-01-10&lt;/_date&gt;&lt;_date_display&gt;2004 Jan 10&lt;/_date_display&gt;&lt;_doi&gt;10.1016/S0140-6736(03)15268-3&lt;/_doi&gt;&lt;_impact_factor&gt;  79.323&lt;/_impact_factor&gt;&lt;_isbn&gt;1474-547X (Electronic); 0140-6736 (Linking)&lt;/_isbn&gt;&lt;_issue&gt;9403&lt;/_issue&gt;&lt;_journal&gt;Lancet&lt;/_journal&gt;&lt;_language&gt;eng&lt;/_language&gt;&lt;_modified&gt;64734680&lt;/_modified&gt;&lt;_pages&gt;157-63&lt;/_pages&gt;&lt;_subject_headings&gt;Absorptiometry, Photon/methods/standards; Anthropometry/methods; Asian People/*classification/statistics &amp;amp; numerical data; *Body Mass Index; *Body Weight/ethnology; Consultants/statistics &amp;amp; numerical data; Densitometry/methods/standards; Deuterium Oxide; Health Policy; Humans; Obesity/*classification/diagnosis/ethnology; Reference Values; Reproducibility of Results; Risk Factors; World Health Organization&lt;/_subject_headings&gt;&lt;_tertiary_title&gt;Lancet (London, England)&lt;/_tertiary_title&gt;&lt;_type_work&gt;Journal Article; Research Support, Non-U.S. Gov&amp;apos;t; Review&lt;/_type_work&gt;&lt;_url&gt;http://www.ncbi.nlm.nih.gov/entrez/query.fcgi?cmd=Retrieve&amp;amp;db=pubmed&amp;amp;dopt=Abstract&amp;amp;list_uids=14726171&amp;amp;query_hl=1&lt;/_url&gt;&lt;_volume&gt;363&lt;/_volume&gt;&lt;/Details&gt;&lt;Extra&gt;&lt;DBUID&gt;{C818A046-6D8C-4B07-8765-4E05C48B46EA}&lt;/DBUID&gt;&lt;/Extra&gt;&lt;/Item&gt;&lt;/References&gt;&lt;/Group&gt;&lt;Group&gt;&lt;References&gt;&lt;Item&gt;&lt;ID&gt;34&lt;/ID&gt;&lt;UID&gt;{898A63C1-8776-40A6-AF40-1A63873CD8A7}&lt;/UID&gt;&lt;Title&gt;中国成人超重和肥胖症预防与控制指南(节录)&lt;/Title&gt;&lt;Template&gt;Journal Article&lt;/Template&gt;&lt;Star&gt;0&lt;/Star&gt;&lt;Tag&gt;0&lt;/Tag&gt;&lt;Author&gt;中国肥胖问题工作组&lt;/Author&gt;&lt;Year&gt;2004&lt;/Year&gt;&lt;Details&gt;&lt;_collection_scope&gt;CSCD;PKU&lt;/_collection_scope&gt;&lt;_created&gt;64733404&lt;/_created&gt;&lt;_db_provider&gt;CNKI&lt;/_db_provider&gt;&lt;_isbn&gt;0512-7955&lt;/_isbn&gt;&lt;_issue&gt;01&lt;/_issue&gt;&lt;_journal&gt;营养学报&lt;/_journal&gt;&lt;_keywords&gt;肥胖症;成人超重;肥胖程度;预防与控制;&lt;/_keywords&gt;&lt;_modified&gt;64734680&lt;/_modified&gt;&lt;_pages&gt;1-4&lt;/_pages&gt;&lt;_translated_author&gt;Zhong, Guofeipangwentigongzuozu&lt;/_translated_author&gt;&lt;/Details&gt;&lt;Extra&gt;&lt;DBUID&gt;{C818A046-6D8C-4B07-8765-4E05C48B46EA}&lt;/DBUID&gt;&lt;/Extra&gt;&lt;/Item&gt;&lt;/References&gt;&lt;/Group&gt;&lt;/Citation&gt;_x000a_"/>
    <w:docVar w:name="NE.Ref{E06C10EF-3E54-4FE8-9551-A5EFAC3E8034}" w:val=" ADDIN NE.Ref.{E06C10EF-3E54-4FE8-9551-A5EFAC3E8034}&lt;Citation&gt;&lt;Group&gt;&lt;References&gt;&lt;Item&gt;&lt;ID&gt;560&lt;/ID&gt;&lt;UID&gt;{66526E20-2D19-4B97-A6C4-0CFDF2223FAD}&lt;/UID&gt;&lt;Title&gt;Maternal weight change from prepregnancy to 18 months postpartum and subsequent  risk of hypertension and cardiovascular disease in Danish women: A cohort study&lt;/Title&gt;&lt;Template&gt;Journal Article&lt;/Template&gt;&lt;Star&gt;0&lt;/Star&gt;&lt;Tag&gt;0&lt;/Tag&gt;&lt;Author&gt;Kirkegaard, H; Bliddal, M; Støvring, H; Rasmussen, K M; Gunderson, E P; Køber, L; Sørensen, TIA; Nøhr, E A&lt;/Author&gt;&lt;Year&gt;2021&lt;/Year&gt;&lt;Details&gt;&lt;_accession_num&gt;33798198&lt;/_accession_num&gt;&lt;_author_adr&gt;Research Unit of Obstetrics and Gynecology, Department of Clinical Research,  University of Southern Denmark, Odense, Denmark.; Open Patient Data Explorative Network (OPEN), Department of Clinical Research,  University of Southern Denmark and Odense University Hospital, Odense, Denmark.; Open Patient Data Explorative Network (OPEN), Department of Clinical Research,  University of Southern Denmark and Odense University Hospital, Odense, Denmark.; Department of Public Health, Biostatistics, Aarhus University, Aarhus, Denmark.; Division of Nutritional Sciences, Cornell University, Ithaca, New York, United  States of America.; Division of Research, Cardiovascular and Metabolic Conditions Section, Kaiser  Permanente Northern California, Oakland, California, United States of America.; Department of Cardiology, Rigshospitalet, University Hospital, Copenhagen,  Denmark.; Novo Nordisk Foundation Center for Basic Metabolic Research and Department of  Public Health, Faculty of Health and Medical Sciences, University of Copenhagen,  Copenhagen, Denmark.; Research Unit of Obstetrics and Gynecology, Department of Clinical Research,  University of Southern Denmark, Odense, Denmark.; Department of Gynecology and Obstetrics, Odense University Hospital, Odense,  Denmark.&lt;/_author_adr&gt;&lt;_collection_scope&gt;SCIE&lt;/_collection_scope&gt;&lt;_created&gt;64530234&lt;/_created&gt;&lt;_date&gt;2021-04-01&lt;/_date&gt;&lt;_date_display&gt;2021 Apr&lt;/_date_display&gt;&lt;_doi&gt;10.1371/journal.pmed.1003486&lt;/_doi&gt;&lt;_impact_factor&gt;  11.069&lt;/_impact_factor&gt;&lt;_isbn&gt;1549-1676 (Electronic); 1549-1277 (Print); 1549-1277 (Linking)&lt;/_isbn&gt;&lt;_issue&gt;4&lt;/_issue&gt;&lt;_journal&gt;PLoS Med&lt;/_journal&gt;&lt;_language&gt;eng&lt;/_language&gt;&lt;_modified&gt;64530234&lt;/_modified&gt;&lt;_pages&gt;e1003486&lt;/_pages&gt;&lt;_subject_headings&gt;Adult; Cardiovascular Diseases/*epidemiology/etiology; Cohort Studies; Denmark/epidemiology; Female; Humans; Hypertension/epidemiology/etiology; Middle Aged; Obesity/epidemiology/etiology; Overweight/*epidemiology/etiology; Postpartum Period/*physiology; Pregnancy; Pregnancy Complications/*epidemiology/etiology; Risk Factors; Thinness/*epidemiology/etiology; *Weight Gain; Young Adult&lt;/_subject_headings&gt;&lt;_tertiary_title&gt;PLoS medicine&lt;/_tertiary_title&gt;&lt;_type_work&gt;Journal Article; Research Support, Non-U.S. Gov&amp;apos;t&lt;/_type_work&gt;&lt;_url&gt;http://www.ncbi.nlm.nih.gov/entrez/query.fcgi?cmd=Retrieve&amp;amp;db=pubmed&amp;amp;dopt=Abstract&amp;amp;list_uids=33798198&amp;amp;query_hl=1&lt;/_url&gt;&lt;_volume&gt;18&lt;/_volume&gt;&lt;/Details&gt;&lt;Extra&gt;&lt;DBUID&gt;{F96A950B-833F-4880-A151-76DA2D6A2879}&lt;/DBUID&gt;&lt;/Extra&gt;&lt;/Item&gt;&lt;/References&gt;&lt;/Group&gt;&lt;Group&gt;&lt;References&gt;&lt;Item&gt;&lt;ID&gt;563&lt;/ID&gt;&lt;UID&gt;{7F5FBE18-F4D2-4EBC-9216-F8B8F3123695}&lt;/UID&gt;&lt;Title&gt;Weight Trajectories After Delivery are Associated with Adiposity and  Cardiometabolic Markers at 3 Years Postpartum Among Women in Project Viva&lt;/Title&gt;&lt;Template&gt;Journal Article&lt;/Template&gt;&lt;Star&gt;0&lt;/Star&gt;&lt;Tag&gt;0&lt;/Tag&gt;&lt;Author&gt;Soria-Contreras, D C; Rifas-Shiman, S L; Aris, I M; Perng, W; Switkowski, K M; Téllez-Rojo, M M; Trejo-Valdivia, B; López-Ridaura, R; Oken, E&lt;/Author&gt;&lt;Year&gt;2020&lt;/Year&gt;&lt;Details&gt;&lt;_accession_num&gt;32321175&lt;/_accession_num&gt;&lt;_author_adr&gt;Center for Nutrition and Health Research, National Institute of Public Health,  Cuernavaca, Morelos, Mexico.; Division of Chronic Disease Research Across the Lifecourse, Department of  Population Medicine, Harvard Medical School, and Harvard Pilgrim Health Care  Institute, Boston, MA, USA.; Division of Chronic Disease Research Across the Lifecourse, Department of  Population Medicine, Harvard Medical School, and Harvard Pilgrim Health Care  Institute, Boston, MA, USA.; Department of Obstetrics and Gynecology, Yong Loo Lin School of Medicine,  National University of Singapore, Singapore.; Agency for Science, Technology and Research, Singapore Institute for Clinical  Sciences, Singapore.; Department of Epidemiology, Colorado School of Public Health, University of  Colorado Denver, Anschutz Medical Campus, Aurora, CO, USA.; Lifecourse Epidemiology of Adiposity and Diabetes (LEAD) Center, Colorado School  of Public Health, University of Colorado Denver, Anschutz Medical Campus, Aurora,  CO, USA.; Division of Chronic Disease Research Across the Lifecourse, Department of  Population Medicine, Harvard Medical School, and Harvard Pilgrim Health Care  Institute, Boston, MA, USA.; Center for Nutrition and Health Research, National Institute of Public Health,  Cuernavaca, Morelos, Mexico.; Center for Nutrition and Health Research, National Institute of Public Health,  Cuernavaca, Morelos, Mexico.; Center for Population Health Research, National Institute of Public Health,  Cuernavaca, Morelos, Mexico.; Division of Chronic Disease Research Across the Lifecourse, Department of  Population Medicine, Harvard Medical School, and Harvard Pilgrim Health Care  Institute, Boston, MA, USA.; Department of Nutrition, Harvard T.H. Chan School of Public Health, Boston, MA,  USA.&lt;/_author_adr&gt;&lt;_collection_scope&gt;SCI;SCIE&lt;/_collection_scope&gt;&lt;_created&gt;64536094&lt;/_created&gt;&lt;_date&gt;2020-07-01&lt;/_date&gt;&lt;_date_display&gt;2020 Jul 1&lt;/_date_display&gt;&lt;_doi&gt;10.1093/jn/nxaa104&lt;/_doi&gt;&lt;_impact_factor&gt;   4.798&lt;/_impact_factor&gt;&lt;_isbn&gt;1541-6100 (Electronic); 0022-3166 (Print); 0022-3166 (Linking)&lt;/_isbn&gt;&lt;_issue&gt;7&lt;/_issue&gt;&lt;_journal&gt;J Nutr&lt;/_journal&gt;&lt;_keywords&gt;Project Viva; adiposity; cardiovascular risk factors; diet; gestational weight gain; postpartum weight change; postpartum weight trajectories; pre-pregnancy BMI&lt;/_keywords&gt;&lt;_language&gt;eng&lt;/_language&gt;&lt;_modified&gt;64536094&lt;/_modified&gt;&lt;_ori_publication&gt;Copyright © The Author(s) on behalf of the American Society for Nutrition 2020.&lt;/_ori_publication&gt;&lt;_pages&gt;1889-1898&lt;/_pages&gt;&lt;_subject_headings&gt;*Adiposity; Adult; Biomarkers/blood; Cardiovascular Diseases/*blood; Diet; Female; Humans; Metabolic Diseases/*blood; *Postpartum Period; Pregnancy; Weight Gain; Weight Loss&lt;/_subject_headings&gt;&lt;_tertiary_title&gt;The Journal of nutrition&lt;/_tertiary_title&gt;&lt;_type_work&gt;Journal Article; Research Support, N.I.H., Extramural&lt;/_type_work&gt;&lt;_url&gt;http://www.ncbi.nlm.nih.gov/entrez/query.fcgi?cmd=Retrieve&amp;amp;db=pubmed&amp;amp;dopt=Abstract&amp;amp;list_uids=32321175&amp;amp;query_hl=1&lt;/_url&gt;&lt;_volume&gt;150&lt;/_volume&gt;&lt;/Details&gt;&lt;Extra&gt;&lt;DBUID&gt;{F96A950B-833F-4880-A151-76DA2D6A2879}&lt;/DBUID&gt;&lt;/Extra&gt;&lt;/Item&gt;&lt;/References&gt;&lt;/Group&gt;&lt;/Citation&gt;_x000a_"/>
    <w:docVar w:name="NE.Ref{E34877BC-A671-408E-AC89-EBA0100B8521}" w:val=" ADDIN NE.Ref.{E34877BC-A671-408E-AC89-EBA0100B8521}&lt;Citation&gt;&lt;Group&gt;&lt;References&gt;&lt;Item&gt;&lt;ID&gt;12&lt;/ID&gt;&lt;UID&gt;{6EA2AB27-6117-43DA-99AB-63556D60A31A}&lt;/UID&gt;&lt;Title&gt;Health Effects of Overweight and Obesity in 195 Countries over 25 Years&lt;/Title&gt;&lt;Template&gt;Journal Article&lt;/Template&gt;&lt;Star&gt;0&lt;/Star&gt;&lt;Tag&gt;0&lt;/Tag&gt;&lt;Author&gt;Afshin, A; Forouzanfar, M H; Reitsma, M B; Sur, P; Estep, K; Lee, A; Marczak, L; Mokdad, A H; Moradi-Lakeh, M; Naghavi, M; Salama, J S; Vos, T; Abate, K H; Abbafati, C; Ahmed, M B; Al-Aly, Z; Alkerwi, A; Al-Raddadi, R; Amare, A T; Amberbir, A; Amegah, A K; Amini, E; Amrock, S M; Anjana, R M; Ärnlöv, J; Asayesh, H; Banerjee, A; Barac, A; Baye, E; Bennett, D A; Beyene, A S; Biadgilign, S; Biryukov, S; Bjertness, E; Boneya, D J; Campos-Nonato, I; Carrero, J J; Cecilio, P; Cercy, K; Ciobanu, L G; Cornaby, L; Damtew, S A; Dandona, L; Dandona, R; Dharmaratne, S D; Duncan, B B; Eshrati, B; Esteghamati, A; Feigin, V L; Fernandes, J C; Fürst, T; Gebrehiwot, T T; Gold, A; Gona, P N; Goto, A; Habtewold, T D; Hadush, K T; Hafezi-Nejad, N; Hay, S I; Horino, M; Islami, F; Kamal, R; Kasaeian, A; Katikireddi, S V; Kengne, A P; Kesavachandran, C N; Khader, Y S; Khang, Y H; Khubchandani, J; Kim, D; Kim, Y J; Kinfu, Y; Kosen, S; Ku, T; Defo, B K; Kumar, G A; Larson, H J; Leinsalu, M; Liang, X; Lim, S S; Liu, P; Lopez, A D; Lozano, R; Majeed, A; Malekzadeh, R; Malta, D C; Mazidi, M; McAlinden, C; McGarvey, S T; Mengistu, D T; Mensah, G A; Mensink, GBM; Mezgebe, H B; Mirrakhimov, E M; Mueller, U O; Noubiap, J J; Obermeyer, C M; Ogbo, F A; Owolabi, M O; Patton, G C; Pourmalek, F; Qorbani, M; Rafay, A; Rai, R K; Ranabhat, C L; Reinig, N; Safiri, S; Salomon, J A; Sanabria, J R; Santos, I S; Sartorius, B; Sawhney, M; Schmidhuber, J; Schutte, A E; Schmidt, M I; Sepanlou, S G; Shamsizadeh, M; Sheikhbahaei, S; Shin, M J; Shiri, R; Shiue, I; Roba, H S; Silva, DAS; Silverberg, J I; Singh, J A; Stranges, S; Swaminathan, S; Tabarés-Seisdedos, R; Tadese, F; Tedla, B A; Tegegne, B S; Terkawi, A S; Thakur, J S; Tonelli, M; Topor-Madry, R; Tyrovolas, S; Ukwaja, K N; Uthman, O A; Vaezghasemi, M; Vasankari, T; Vlassov, V V; Vollset, S E; Weiderpass, E; Werdecker, A; Wesana, J; Westerman, R; Yano, Y; Yonemoto, N; Yonga, G; Zaidi, Z; Zenebe, Z M; Zipkin, B; Murray, CJL&lt;/Author&gt;&lt;Year&gt;2017&lt;/Year&gt;&lt;Details&gt;&lt;_accession_num&gt;28604169&lt;/_accession_num&gt;&lt;_created&gt;64733396&lt;/_created&gt;&lt;_date&gt;2017-07-06&lt;/_date&gt;&lt;_date_display&gt;2017 Jul 6&lt;/_date_display&gt;&lt;_doi&gt;10.1056/NEJMoa1614362&lt;/_doi&gt;&lt;_impact_factor&gt;  91.253&lt;/_impact_factor&gt;&lt;_isbn&gt;1533-4406 (Electronic); 0028-4793 (Print); 0028-4793 (Linking)&lt;/_isbn&gt;&lt;_issue&gt;1&lt;/_issue&gt;&lt;_journal&gt;N Engl J Med&lt;/_journal&gt;&lt;_language&gt;eng&lt;/_language&gt;&lt;_modified&gt;64734679&lt;/_modified&gt;&lt;_pages&gt;13-27&lt;/_pages&gt;&lt;_subject_headings&gt;Adult; Body Mass Index; Cardiovascular Diseases/complications/mortality; Child; Female; Global Health; Humans; Male; Obesity/complications/*epidemiology; Overweight/complications/epidemiology; Pediatric Obesity/epidemiology; Prevalence&lt;/_subject_headings&gt;&lt;_tertiary_title&gt;The New England journal of medicine&lt;/_tertiary_title&gt;&lt;_type_work&gt;Journal Article&lt;/_type_work&gt;&lt;_url&gt;http://www.ncbi.nlm.nih.gov/entrez/query.fcgi?cmd=Retrieve&amp;amp;db=pubmed&amp;amp;dopt=Abstract&amp;amp;list_uids=28604169&amp;amp;query_hl=1&lt;/_url&gt;&lt;_volume&gt;377&lt;/_volume&gt;&lt;/Details&gt;&lt;Extra&gt;&lt;DBUID&gt;{C818A046-6D8C-4B07-8765-4E05C48B46EA}&lt;/DBUID&gt;&lt;/Extra&gt;&lt;/Item&gt;&lt;/References&gt;&lt;/Group&gt;&lt;/Citation&gt;_x000a_"/>
    <w:docVar w:name="NE.Ref{E355F884-9EE3-4866-80C1-373F1935E505}" w:val=" ADDIN NE.Ref.{E355F884-9EE3-4866-80C1-373F1935E505}&lt;Citation&gt;&lt;Group&gt;&lt;References&gt;&lt;Item&gt;&lt;ID&gt;559&lt;/ID&gt;&lt;UID&gt;{901AA8C7-FF87-4C1F-887E-914B03A64465}&lt;/UID&gt;&lt;Title&gt;Preconceptional and maternal obesity: epidemiology and health consequences&lt;/Title&gt;&lt;Template&gt;Journal Article&lt;/Template&gt;&lt;Star&gt;1&lt;/Star&gt;&lt;Tag&gt;5&lt;/Tag&gt;&lt;Author&gt;Poston, L; Caleyachetty, R; Cnattingius, S; Corvalán, C; Uauy, R; Herring, S; Gillman, M W&lt;/Author&gt;&lt;Year&gt;2016&lt;/Year&gt;&lt;Details&gt;&lt;_accession_num&gt;27743975&lt;/_accession_num&gt;&lt;_author_adr&gt;Division of Women&amp;apos;s Health, Faculty of Life Sciences and Medicine, King&amp;apos;s College  London, London, UK. Electronic address: lucilla.poston@kcl.ac.uk.; Institute of Applied Health Research, University of Birmingham, Birmingham, UK.; Department of Medicine Solna, Karolinska Universitetssjukhuset, Stockholm,  Sweden.; Institute of Nutrition and Food Technology, University of Chile, Santiago, Chile.; Division of Pediatrics, Faculty of Medicine, Pontifical Catholic University of  Chile, Santiago, Chile; Center for Obesity Research and Education, Departments of  Medicine and Public Health, Temple University, Philadelphia, PA, USA.; Center for Obesity Research and Education, Departments of Medicine and Public  Health, Temple University, Philadelphia, PA, USA.; Office of the Director, Environmental Influences on Child Health Outcomes (ECHO),  National Institutes of Health, Rockville, MD, USA.&lt;/_author_adr&gt;&lt;_created&gt;64530196&lt;/_created&gt;&lt;_date&gt;2016-12-01&lt;/_date&gt;&lt;_date_display&gt;2016 Dec&lt;/_date_display&gt;&lt;_doi&gt;10.1016/S2213-8587(16)30217-0&lt;/_doi&gt;&lt;_impact_factor&gt;  32.069&lt;/_impact_factor&gt;&lt;_isbn&gt;2213-8595 (Electronic); 2213-8587 (Linking)&lt;/_isbn&gt;&lt;_issue&gt;12&lt;/_issue&gt;&lt;_journal&gt;Lancet Diabetes Endocrinol&lt;/_journal&gt;&lt;_language&gt;eng&lt;/_language&gt;&lt;_modified&gt;64605366&lt;/_modified&gt;&lt;_ori_publication&gt;Copyright Â© 2016 Elsevier Ltd. All rights reserved.&lt;/_ori_publication&gt;&lt;_pages&gt;1025-1036&lt;/_pages&gt;&lt;_subject_headings&gt;Abortion, Spontaneous/etiology; Delivery, Obstetric; Female; Fertility; Humans; Obesity/complications/*epidemiology; Postpartum Period; Pregnancy; Pregnancy Complications/*epidemiology/etiology; Premature Birth/etiology; Prevalence&lt;/_subject_headings&gt;&lt;_tertiary_title&gt;The lancet. Diabetes &amp;amp; endocrinology&lt;/_tertiary_title&gt;&lt;_type_work&gt;Journal Article; Research Support, Non-U.S. Gov&amp;apos;t; Review&lt;/_type_work&gt;&lt;_url&gt;http://www.ncbi.nlm.nih.gov/entrez/query.fcgi?cmd=Retrieve&amp;amp;db=pubmed&amp;amp;dopt=Abstract&amp;amp;list_uids=27743975&amp;amp;query_hl=1&lt;/_url&gt;&lt;_volume&gt;4&lt;/_volume&gt;&lt;/Details&gt;&lt;Extra&gt;&lt;DBUID&gt;{F96A950B-833F-4880-A151-76DA2D6A2879}&lt;/DBUID&gt;&lt;/Extra&gt;&lt;/Item&gt;&lt;/References&gt;&lt;/Group&gt;&lt;/Citation&gt;_x000a_"/>
    <w:docVar w:name="NE.Ref{E5B02E5C-0FB2-40AC-B596-A97714CBF813}" w:val=" ADDIN NE.Ref.{E5B02E5C-0FB2-40AC-B596-A97714CBF813}&lt;Citation&gt;&lt;Group&gt;&lt;References&gt;&lt;Item&gt;&lt;ID&gt;576&lt;/ID&gt;&lt;UID&gt;{242632F4-5A2E-4124-A35C-527E3E1CD8BC}&lt;/UID&gt;&lt;Title&gt;Postpartum Weight Retention and Cardiometabolic Risk among Saudi Women: A  Follow-Up Study of RAHMA Subcohort&lt;/Title&gt;&lt;Template&gt;Journal Article&lt;/Template&gt;&lt;Star&gt;0&lt;/Star&gt;&lt;Tag&gt;5&lt;/Tag&gt;&lt;Author&gt;Wahabi, H A; Fayed, A A; Tharkar, S; Esmaeil, S A; Bakhsh, H&lt;/Author&gt;&lt;Year&gt;2019&lt;/Year&gt;&lt;Details&gt;&lt;_accession_num&gt;31355253&lt;/_accession_num&gt;&lt;_author_adr&gt;Chair of Evidence-Based Healthcare and Knowledge Translation, College of  Medicine, King Saud University, Riyadh, Saudi Arabia.; Department of Family and Community Medicine, College of Medicine, King Saud  University, Riyadh, Saudi Arabia.; College of Medicine, Princess Nourah Bint Abdulrahman University, Riyadh, Saudi  Arabia.; Department of Biostatistics, High Institute of Public Health, Alexandria  University, Alexandria, Egypt.; Prince Sattam Chair for Epidemiology and Public Health Research, College of  Medicine, King Saud University, Saudi Arabia.; Chair of Evidence-Based Healthcare and Knowledge Translation, College of  Medicine, King Saud University, Riyadh, Saudi Arabia.; College of Medicine, Princess Nourah Bint Abdulrahman University, Riyadh, Saudi  Arabia.&lt;/_author_adr&gt;&lt;_collection_scope&gt;SCIE&lt;/_collection_scope&gt;&lt;_created&gt;64584945&lt;/_created&gt;&lt;_date&gt;2019-01-20&lt;/_date&gt;&lt;_date_display&gt;2019&lt;/_date_display&gt;&lt;_doi&gt;10.1155/2019/2957429&lt;/_doi&gt;&lt;_impact_factor&gt;   3.411&lt;/_impact_factor&gt;&lt;_isbn&gt;2314-6141 (Electronic); 2314-6133 (Print)&lt;/_isbn&gt;&lt;_journal&gt;Biomed Res Int&lt;/_journal&gt;&lt;_language&gt;eng&lt;/_language&gt;&lt;_modified&gt;64599346&lt;/_modified&gt;&lt;_pages&gt;2957429&lt;/_pages&gt;&lt;_subject_headings&gt;Adult; Female; Follow-Up Studies; *Gestational Weight Gain; Humans; Postpartum Period; Pregnancy; *Pregnancy Complications, Cardiovascular/epidemiology/pathology/physiopathology; Risk Factors; Saudi Arabia/epidemiology&lt;/_subject_headings&gt;&lt;_tertiary_title&gt;BioMed research international&lt;/_tertiary_title&gt;&lt;_type_work&gt;Clinical Trial; Journal Article; Multicenter Study&lt;/_type_work&gt;&lt;_url&gt;http://www.ncbi.nlm.nih.gov/entrez/query.fcgi?cmd=Retrieve&amp;amp;db=pubmed&amp;amp;dopt=Abstract&amp;amp;list_uids=31355253&amp;amp;query_hl=1&lt;/_url&gt;&lt;_volume&gt;2019&lt;/_volume&gt;&lt;/Details&gt;&lt;Extra&gt;&lt;DBUID&gt;{F96A950B-833F-4880-A151-76DA2D6A2879}&lt;/DBUID&gt;&lt;/Extra&gt;&lt;/Item&gt;&lt;/References&gt;&lt;/Group&gt;&lt;/Citation&gt;_x000a_"/>
    <w:docVar w:name="NE.Ref{E698F4E6-3974-43E2-BA92-AAD6F88A884A}" w:val=" ADDIN NE.Ref.{E698F4E6-3974-43E2-BA92-AAD6F88A884A}&lt;Citation&gt;&lt;Group&gt;&lt;References&gt;&lt;Item&gt;&lt;ID&gt;602&lt;/ID&gt;&lt;UID&gt;{B6CC4CD5-F0BF-4902-82D2-1EDDB7165D06}&lt;/UID&gt;&lt;Title&gt;Trends in adult body-mass index in 200 countries from 1975 to 2014: a pooled  analysis of 1698 population-based measurement studies with 19·2 million  participants&lt;/Title&gt;&lt;Template&gt;Journal Article&lt;/Template&gt;&lt;Star&gt;0&lt;/Star&gt;&lt;Tag&gt;0&lt;/Tag&gt;&lt;Author/&gt;&lt;Year&gt;2016&lt;/Year&gt;&lt;Details&gt;&lt;_accession_num&gt;27115820&lt;/_accession_num&gt;&lt;_date_display&gt;2016 Apr 2&lt;/_date_display&gt;&lt;_date&gt;2016-04-02&lt;/_date&gt;&lt;_doi&gt;10.1016/S0140-6736(16)30054-X&lt;/_doi&gt;&lt;_isbn&gt;1474-547X (Electronic); 0140-6736 (Linking)&lt;/_isbn&gt;&lt;_issue&gt;10026&lt;/_issue&gt;&lt;_journal&gt;Lancet&lt;/_journal&gt;&lt;_language&gt;eng&lt;/_language&gt;&lt;_ori_publication&gt;Copyright © 2016 NCD Risk Factor Collaboration. Open Access article distributed _x000d__x000a_      under the terms of CC BY. Published by Elsevier Ltd.. All rights reserved.&lt;/_ori_publication&gt;&lt;_pages&gt;1377-1396&lt;/_pages&gt;&lt;_subject_headings&gt;Adolescent; Adult; Bayes Theorem; *Body Mass Index; Developed Countries; Developing Countries; Female; Forecasting; *Global Health; Humans; Male; Models, Statistical; Obesity/*epidemiology; Prevalence; Thinness/epidemiology; Young Adult&lt;/_subject_headings&gt;&lt;_tertiary_title&gt;Lancet (London, England)&lt;/_tertiary_title&gt;&lt;_type_work&gt;Journal Article; Meta-Analysis; Research Support, Non-U.S. Gov&amp;apos;t; Review&lt;/_type_work&gt;&lt;_url&gt;http://www.ncbi.nlm.nih.gov/entrez/query.fcgi?cmd=Retrieve&amp;amp;db=pubmed&amp;amp;dopt=Abstract&amp;amp;list_uids=27115820&amp;amp;query_hl=1&lt;/_url&gt;&lt;_volume&gt;387&lt;/_volume&gt;&lt;_created&gt;64664558&lt;/_created&gt;&lt;_modified&gt;64664558&lt;/_modified&gt;&lt;_impact_factor&gt;  79.323&lt;/_impact_factor&gt;&lt;_collection_scope&gt;SCI;SCIE&lt;/_collection_scope&gt;&lt;_accessed&gt;64664558&lt;/_accessed&gt;&lt;/Details&gt;&lt;Extra&gt;&lt;DBUID&gt;{F96A950B-833F-4880-A151-76DA2D6A2879}&lt;/DBUID&gt;&lt;/Extra&gt;&lt;/Item&gt;&lt;/References&gt;&lt;/Group&gt;&lt;/Citation&gt;_x000a_"/>
    <w:docVar w:name="NE.Ref{E69EBB85-249F-4C55-897F-7A334C76E1DD}" w:val=" ADDIN NE.Ref.{E69EBB85-249F-4C55-897F-7A334C76E1DD}&lt;Citation&gt;&lt;Group&gt;&lt;References&gt;&lt;Item&gt;&lt;ID&gt;31&lt;/ID&gt;&lt;UID&gt;{5FEEC261-1F10-45A3-A55A-86C8D8259DE3}&lt;/UID&gt;&lt;Title&gt;Patterns of Weight Change One Year after Delivery Are Associated with  Cardiometabolic Risk Factors at Six Years Postpartum in Mexican Women&lt;/Title&gt;&lt;Template&gt;Journal Article&lt;/Template&gt;&lt;Star&gt;0&lt;/Star&gt;&lt;Tag&gt;0&lt;/Tag&gt;&lt;Author&gt;Soria-Contreras, D C; Trejo-Valdivia, B; Cantoral, A; Pizano-Zárate, M L; Baccarelli, A A; Just, A C; Colicino, E; Deierlein, A L; Wright, R O; Oken, E; Téllez-Rojo, M M; López-Ridaura, R&lt;/Author&gt;&lt;Year&gt;2020&lt;/Year&gt;&lt;Details&gt;&lt;_accession_num&gt;31936138&lt;/_accession_num&gt;&lt;_author_adr&gt;Center for Nutrition and Health Research, National Institute of Public Health,  Avenida Universidad no. 655, Santa María Ahuacatitlán, Cuernavaca, Morelos 62100,  Mexico.; Center for Nutrition and Health Research, National Institute of Public Health,  Avenida Universidad no. 655, Santa María Ahuacatitlán, Cuernavaca, Morelos 62100,  Mexico.; Center for Nutrition and Health Research, National Institute of Public Health,  Avenida Universidad no. 655, Santa María Ahuacatitlán, Cuernavaca, Morelos 62100,  Mexico.; National Council on Science and Technology, Avenida Insurgentes Sur no. 1582, San  José Insurgentes, Benito Juárez, Ciudad de México 08400, Mexico.; Division of Community Interventions Research, National Institute of Perinatology,  Montes Urales no. 800, Lomas de Virreyes, Miguel Hidalgo, Ciudad de México 11000,  Mexico.; Department of Environmental Health Sciences, Mailman School of Public Health,  Columbia University Medical Center, 722 West 168th Street, Suite 1105E, New York,  NY 10032, USA.; Department of Environmental Medicine and Public Health, Icahn School of Medicine  at Mount Sinai, 17 East 102 Street Floor 3, New York, NY 10029, USA.; Department of Environmental Medicine and Public Health, Icahn School of Medicine  at Mount Sinai, 17 East 102 Street Floor 3, New York, NY 10029, USA.; College of Global Public Health, New York University, 715 Broadway, New York, NY  10003, USA.; Department of Environmental Medicine and Public Health, Icahn School of Medicine  at Mount Sinai, 17 East 102 Street Floor 3, New York, NY 10029, USA.; Division of Chronic Disease Research Across the Lifecourse, Department of  Population Medicine, Harvard Medical School and Harvard Pilgrim Health Care  Institute, Landmark Center, 401 Park Drive, Suite 401 East Boston, MA 02215, USA.; Center for Nutrition and Health Research, National Institute of Public Health,  Avenida Universidad no. 655, Santa María Ahuacatitlán, Cuernavaca, Morelos 62100,  Mexico.; National Center for Prevention Programs and Disease Control, Benjamín Franklin  no.132, Escandón, Miguel Hidalgo, Ciudad de México 11800, Mexico.&lt;/_author_adr&gt;&lt;_collection_scope&gt;SCIE&lt;/_collection_scope&gt;&lt;_created&gt;64734666&lt;/_created&gt;&lt;_date&gt;2020-01-07&lt;/_date&gt;&lt;_date_display&gt;2020 Jan 7&lt;/_date_display&gt;&lt;_doi&gt;10.3390/nu12010170&lt;/_doi&gt;&lt;_impact_factor&gt;   5.719&lt;/_impact_factor&gt;&lt;_isbn&gt;2072-6643 (Electronic); 2072-6643 (Linking)&lt;/_isbn&gt;&lt;_issue&gt;1&lt;/_issue&gt;&lt;_journal&gt;Nutrients&lt;/_journal&gt;&lt;_keywords&gt;PROGRESS cohort; Postpartum weight change; adiposity; cardiovascular risk; postpartum weight gain; postpartum weight retention&lt;/_keywords&gt;&lt;_language&gt;eng&lt;/_language&gt;&lt;_modified&gt;64734680&lt;/_modified&gt;&lt;_subject_headings&gt;Adult; *Cardiovascular Diseases; Female; Humans; *Metabolic Diseases; Mexico; Obesity; *Postpartum Period; Risk Factors; Time Factors; *Weight Gain; Young Adult&lt;/_subject_headings&gt;&lt;_tertiary_title&gt;Nutrients&lt;/_tertiary_title&gt;&lt;_type_work&gt;Journal Article&lt;/_type_work&gt;&lt;_url&gt;http://www.ncbi.nlm.nih.gov/entrez/query.fcgi?cmd=Retrieve&amp;amp;db=pubmed&amp;amp;dopt=Abstract&amp;amp;list_uids=31936138&amp;amp;query_hl=1&lt;/_url&gt;&lt;_volume&gt;12&lt;/_volume&gt;&lt;/Details&gt;&lt;Extra&gt;&lt;DBUID&gt;{C818A046-6D8C-4B07-8765-4E05C48B46EA}&lt;/DBUID&gt;&lt;/Extra&gt;&lt;/Item&gt;&lt;/References&gt;&lt;/Group&gt;&lt;Group&gt;&lt;References&gt;&lt;Item&gt;&lt;ID&gt;35&lt;/ID&gt;&lt;UID&gt;{D0670AC4-FE49-4DD8-8152-0609C87E3DB5}&lt;/UID&gt;&lt;Title&gt;Cardiometabolic implications of postpartum weight changes in the first year after  delivery&lt;/Title&gt;&lt;Template&gt;Journal Article&lt;/Template&gt;&lt;Star&gt;0&lt;/Star&gt;&lt;Tag&gt;0&lt;/Tag&gt;&lt;Author&gt;Kew, S; Ye, C; Hanley, A J; Connelly, P W; Sermer, M; Zinman, B; Retnakaran, R&lt;/Author&gt;&lt;Year&gt;2014&lt;/Year&gt;&lt;Details&gt;&lt;_accession_num&gt;24667457&lt;/_accession_num&gt;&lt;_author_adr&gt;Leadership Sinai Centre for Diabetes, Mount Sinai Hospital, Toronto, Ontario,  Canada.; Leadership Sinai Centre for Diabetes, Mount Sinai Hospital, Toronto, Ontario,  Canada.; Leadership Sinai Centre for Diabetes, Mount Sinai Hospital, Toronto, Ontario,  CanadaDivision of Endocrinology, University of Toronto, Toronto, Ontario,  CanadaDepartment of Nutritional Sciences, University of Toronto, Toronto,  Ontario, Canada.; Division of Endocrinology, University of Toronto, Toronto, Ontario, CanadaKeenan  Research Centre, Li Ka Shing Knowledge Institute, St. Michael&amp;apos;s Hospital,  Toronto, Canada.; Division of Obstetrics and Gynecology, Mount Sinai Hospital, Toronto, Canada.; Leadership Sinai Centre for Diabetes, Mount Sinai Hospital, Toronto, Ontario,  CanadaDivision of Endocrinology, University of Toronto, Toronto, Ontario,  CanadaLunenfeld-Tanenbaum Research Institute, Mount Sinai Hospital, Toronto,  Canada.; Leadership Sinai Centre for Diabetes, Mount Sinai Hospital, Toronto, Ontario,  CanadaDivision of Endocrinology, University of Toronto, Toronto, Ontario,  CanadaLunenfeld-Tanenbaum Research Institute, Mount Sinai Hospital, Toronto,  Canada rretnakaran@mtsinai.on.ca.&lt;/_author_adr&gt;&lt;_collection_scope&gt;SCI;SCIE&lt;/_collection_scope&gt;&lt;_created&gt;64734698&lt;/_created&gt;&lt;_date&gt;2014-07-01&lt;/_date&gt;&lt;_date_display&gt;2014 Jul&lt;/_date_display&gt;&lt;_doi&gt;10.2337/dc14-0087&lt;/_doi&gt;&lt;_impact_factor&gt;  19.112&lt;/_impact_factor&gt;&lt;_isbn&gt;1935-5548 (Electronic); 0149-5992 (Linking)&lt;/_isbn&gt;&lt;_issue&gt;7&lt;/_issue&gt;&lt;_journal&gt;Diabetes Care&lt;/_journal&gt;&lt;_language&gt;eng&lt;/_language&gt;&lt;_modified&gt;64734698&lt;/_modified&gt;&lt;_ori_publication&gt;© 2014 by the American Diabetes Association.&lt;/_ori_publication&gt;&lt;_pages&gt;1998-2006&lt;/_pages&gt;&lt;_subject_headings&gt;Adiponectin/metabolism; Adult; Apolipoproteins B/metabolism; Body Weight/*physiology; C-Reactive Protein/metabolism; Cardiovascular Diseases/etiology; Cholesterol, LDL/blood; Female; Humans; Insulin Resistance/physiology; *Postpartum Period; Pregnancy; Risk Factors; Time Factors; Triglycerides/blood; Weight Gain/*physiology; Weight Loss/*physiology&lt;/_subject_headings&gt;&lt;_tertiary_title&gt;Diabetes care&lt;/_tertiary_title&gt;&lt;_type_work&gt;Journal Article; Observational Study; Research Support, Non-U.S. Gov&amp;apos;t&lt;/_type_work&gt;&lt;_url&gt;http://www.ncbi.nlm.nih.gov/entrez/query.fcgi?cmd=Retrieve&amp;amp;db=pubmed&amp;amp;dopt=Abstract&amp;amp;list_uids=24667457&amp;amp;query_hl=1&lt;/_url&gt;&lt;_volume&gt;37&lt;/_volume&gt;&lt;/Details&gt;&lt;Extra&gt;&lt;DBUID&gt;{C818A046-6D8C-4B07-8765-4E05C48B46EA}&lt;/DBUID&gt;&lt;/Extra&gt;&lt;/Item&gt;&lt;/References&gt;&lt;/Group&gt;&lt;/Citation&gt;_x000a_"/>
    <w:docVar w:name="NE.Ref{E909A041-24C9-4745-85B0-B4CC0440CF81}" w:val=" ADDIN NE.Ref.{E909A041-24C9-4745-85B0-B4CC0440CF81}&lt;Citation&gt;&lt;Group&gt;&lt;References&gt;&lt;Item&gt;&lt;ID&gt;564&lt;/ID&gt;&lt;UID&gt;{0E55DC3A-2CE4-4EAA-A1E0-085990F68E34}&lt;/UID&gt;&lt;Title&gt;Carotid intima-media thickness and plaque in cardiovascular risk assessment&lt;/Title&gt;&lt;Template&gt;Journal Article&lt;/Template&gt;&lt;Star&gt;1&lt;/Star&gt;&lt;Tag&gt;0&lt;/Tag&gt;&lt;Author&gt;Naqvi, T Z; Lee, M S&lt;/Author&gt;&lt;Year&gt;2014&lt;/Year&gt;&lt;Details&gt;&lt;_accession_num&gt;25051948&lt;/_accession_num&gt;&lt;_author_adr&gt;Echocardiography Laboratory, Mayo Clinic, Scottsdale, Arizona; Cardiac  Noninvasive Laboratories, Keck School of Medicine, University of Southern  California, Los Angeles, California. Electronic address: naqvi.tasneem@mayo.edu.; Cardiac Noninvasive Laboratories, Keck School of Medicine, University of Southern  California, Los Angeles, California.&lt;/_author_adr&gt;&lt;_created&gt;64551889&lt;/_created&gt;&lt;_date&gt;2014-10-01&lt;/_date&gt;&lt;_date_display&gt;2014 Oct&lt;/_date_display&gt;&lt;_doi&gt;10.1016/j.jcmg.2013.11.014&lt;/_doi&gt;&lt;_isbn&gt;1876-7591 (Electronic); 1876-7591 (Linking)&lt;/_isbn&gt;&lt;_issue&gt;10&lt;/_issue&gt;&lt;_journal&gt;JACC Cardiovasc Imaging&lt;/_journal&gt;&lt;_keywords&gt;cardiovascular risk; carotid artery; intima-media thickness; plaque; ultrasound&lt;/_keywords&gt;&lt;_language&gt;eng&lt;/_language&gt;&lt;_modified&gt;64552181&lt;/_modified&gt;&lt;_ori_publication&gt;Copyright © 2014 American College of Cardiology Foundation. Published by Elsevier _x000d__x000a_      Inc. All rights reserved.&lt;/_ori_publication&gt;&lt;_pages&gt;1025-38&lt;/_pages&gt;&lt;_subject_headings&gt;Cardiovascular Diseases/*epidemiology/*pathology; Carotid Artery, Common/diagnostic imaging/pathology; Carotid Artery, Internal/diagnostic imaging/pathology; *Carotid Intima-Media Thickness; Carotid Stenosis/pathology; Humans; Imaging, Three-Dimensional; Prognosis; Risk Assessment&lt;/_subject_headings&gt;&lt;_tertiary_title&gt;JACC. Cardiovascular imaging&lt;/_tertiary_title&gt;&lt;_type_work&gt;Journal Article; Research Support, Non-U.S. Gov&amp;apos;t; Review&lt;/_type_work&gt;&lt;_url&gt;http://www.ncbi.nlm.nih.gov/entrez/query.fcgi?cmd=Retrieve&amp;amp;db=pubmed&amp;amp;dopt=Abstract&amp;amp;list_uids=25051948&amp;amp;query_hl=1&lt;/_url&gt;&lt;_volume&gt;7&lt;/_volume&gt;&lt;/Details&gt;&lt;Extra&gt;&lt;DBUID&gt;{F96A950B-833F-4880-A151-76DA2D6A2879}&lt;/DBUID&gt;&lt;/Extra&gt;&lt;/Item&gt;&lt;/References&gt;&lt;/Group&gt;&lt;Group&gt;&lt;References&gt;&lt;Item&gt;&lt;ID&gt;565&lt;/ID&gt;&lt;UID&gt;{7B2FABAB-71B0-4E18-A212-7FA4E2F633E3}&lt;/UID&gt;&lt;Title&gt;Carotid Intima-Media Thickness as Surrogate for and Predictor of CVD&lt;/Title&gt;&lt;Template&gt;Journal Article&lt;/Template&gt;&lt;Star&gt;1&lt;/Star&gt;&lt;Tag&gt;0&lt;/Tag&gt;&lt;Author&gt;Polak, J F; O&amp;apos;Leary, D H&lt;/Author&gt;&lt;Year&gt;2016&lt;/Year&gt;&lt;Details&gt;&lt;_accession_num&gt;27741977&lt;/_accession_num&gt;&lt;_author_adr&gt;Department of Radiology, Tufts Medical Center, Boston, MA, USA; Ultrasound  Reading Center, Boston, MA, USA. Electronic address:  jpolak@tuftsmedicalcenter.org.; Ultrasound Reading Center, Boston, MA, USA.&lt;/_author_adr&gt;&lt;_created&gt;64551889&lt;/_created&gt;&lt;_date&gt;2016-09-01&lt;/_date&gt;&lt;_date_display&gt;2016 Sep&lt;/_date_display&gt;&lt;_doi&gt;10.1016/j.gheart.2016.08.006&lt;/_doi&gt;&lt;_impact_factor&gt;   3.426&lt;/_impact_factor&gt;&lt;_isbn&gt;2211-8179 (Electronic); 2211-8160 (Linking)&lt;/_isbn&gt;&lt;_issue&gt;3&lt;/_issue&gt;&lt;_journal&gt;Glob Heart&lt;/_journal&gt;&lt;_language&gt;eng&lt;/_language&gt;&lt;_modified&gt;64552181&lt;/_modified&gt;&lt;_ori_publication&gt;Copyright © 2016. Published by Elsevier B.V.&lt;/_ori_publication&gt;&lt;_pages&gt;295-312.e3&lt;/_pages&gt;&lt;_subject_headings&gt;Atherosclerosis/*diagnostic imaging/pathology; Carotid Artery Diseases/diagnostic imaging/pathology; Carotid Artery, Common/diagnostic imaging; Carotid Artery, Internal/diagnostic imaging; Carotid Intima-Media Thickness/instrumentation/*standards; Clinical Protocols; Coronary Disease/diagnostic imaging/prevention &amp;amp; control; Humans; Plaque, Atherosclerotic/*diagnostic imaging/pathology&lt;/_subject_headings&gt;&lt;_tertiary_title&gt;Global heart&lt;/_tertiary_title&gt;&lt;_type_work&gt;Journal Article; Research Support, N.I.H., Extramural; Research Support, Non-U.S. Gov&amp;apos;t; Review&lt;/_type_work&gt;&lt;_url&gt;http://www.ncbi.nlm.nih.gov/entrez/query.fcgi?cmd=Retrieve&amp;amp;db=pubmed&amp;amp;dopt=Abstract&amp;amp;list_uids=27741977&amp;amp;query_hl=1&lt;/_url&gt;&lt;_volume&gt;11&lt;/_volume&gt;&lt;/Details&gt;&lt;Extra&gt;&lt;DBUID&gt;{F96A950B-833F-4880-A151-76DA2D6A2879}&lt;/DBUID&gt;&lt;/Extra&gt;&lt;/Item&gt;&lt;/References&gt;&lt;/Group&gt;&lt;/Citation&gt;_x000a_"/>
    <w:docVar w:name="NE.Ref{EA0890D4-62D1-40E8-84AA-BBB25ED2C5E4}" w:val=" ADDIN NE.Ref.{EA0890D4-62D1-40E8-84AA-BBB25ED2C5E4}&lt;Citation&gt;&lt;Group&gt;&lt;References&gt;&lt;Item&gt;&lt;ID&gt;3&lt;/ID&gt;&lt;UID&gt;{35D4BEDC-ED0A-4652-8B19-ECEC2869F844}&lt;/UID&gt;&lt;Title&gt;Epidemiology of gestational weight gain and body weight changes after pregnancy&lt;/Title&gt;&lt;Template&gt;Journal Article&lt;/Template&gt;&lt;Star&gt;0&lt;/Star&gt;&lt;Tag&gt;0&lt;/Tag&gt;&lt;Author&gt;Gunderson, E P; Abrams, B&lt;/Author&gt;&lt;Year&gt;2000&lt;/Year&gt;&lt;Details&gt;&lt;_accession_num&gt;11218377&lt;/_accession_num&gt;&lt;_author_adr&gt;Division of Public Health and Epidemiology, School of Public Health, University  of California, Berkeley, CA, USA. epg@dor.kaiser.org&lt;/_author_adr&gt;&lt;_collection_scope&gt;SCI;SCIE&lt;/_collection_scope&gt;&lt;_created&gt;64733389&lt;/_created&gt;&lt;_date&gt;2000-01-20&lt;/_date&gt;&lt;_date_display&gt;2000&lt;/_date_display&gt;&lt;_doi&gt;10.1093/oxfordjournals.epirev.a018038&lt;/_doi&gt;&lt;_impact_factor&gt;   6.222&lt;/_impact_factor&gt;&lt;_isbn&gt;0193-936X (Print); 0193-936X (Linking)&lt;/_isbn&gt;&lt;_issue&gt;2&lt;/_issue&gt;&lt;_journal&gt;Epidemiol Rev&lt;/_journal&gt;&lt;_language&gt;eng&lt;/_language&gt;&lt;_modified&gt;64734679&lt;/_modified&gt;&lt;_pages&gt;261-74&lt;/_pages&gt;&lt;_subject_headings&gt;Adolescent; Adult; Ethnicity; Female; Humans; Lactation; Obesity/economics/*epidemiology/etiology; *Postpartum Period; *Pregnancy; Pregnancy in Adolescence; Prevalence; Risk Factors; United States/epidemiology; *Weight Gain&lt;/_subject_headings&gt;&lt;_tertiary_title&gt;Epidemiologic reviews&lt;/_tertiary_title&gt;&lt;_type_work&gt;Journal Article; Research Support, Non-U.S. Gov&amp;apos;t; Research Support, U.S. Gov&amp;apos;t, Non-P.H.S.; Review&lt;/_type_work&gt;&lt;_url&gt;http://www.ncbi.nlm.nih.gov/entrez/query.fcgi?cmd=Retrieve&amp;amp;db=pubmed&amp;amp;dopt=Abstract&amp;amp;list_uids=11218377&amp;amp;query_hl=1&lt;/_url&gt;&lt;_volume&gt;22&lt;/_volume&gt;&lt;/Details&gt;&lt;Extra&gt;&lt;DBUID&gt;{C818A046-6D8C-4B07-8765-4E05C48B46EA}&lt;/DBUID&gt;&lt;/Extra&gt;&lt;/Item&gt;&lt;/References&gt;&lt;/Group&gt;&lt;Group&gt;&lt;References&gt;&lt;Item&gt;&lt;ID&gt;4&lt;/ID&gt;&lt;UID&gt;{97D476FD-6EFA-4030-9767-895E68ECC74A}&lt;/UID&gt;&lt;Title&gt;Pregnancy: a &amp;quot;teachable moment&amp;quot; for weight control and obesity prevention&lt;/Title&gt;&lt;Template&gt;Journal Article&lt;/Template&gt;&lt;Star&gt;0&lt;/Star&gt;&lt;Tag&gt;0&lt;/Tag&gt;&lt;Author&gt;Phelan, S&lt;/Author&gt;&lt;Year&gt;2010&lt;/Year&gt;&lt;Details&gt;&lt;_accession_num&gt;19683692&lt;/_accession_num&gt;&lt;_author_adr&gt;Department of Kinesiology, California Polytechnic State University, San Luis  Obispo, CA 93407-0386, USA. sphelan@calpoly.edu&lt;/_author_adr&gt;&lt;_collection_scope&gt;SCI;SCIE&lt;/_collection_scope&gt;&lt;_created&gt;64733394&lt;/_created&gt;&lt;_date&gt;2010-02-01&lt;/_date&gt;&lt;_date_display&gt;2010 Feb&lt;/_date_display&gt;&lt;_doi&gt;10.1016/j.ajog.2009.06.008&lt;/_doi&gt;&lt;_impact_factor&gt;   8.661&lt;/_impact_factor&gt;&lt;_isbn&gt;1097-6868 (Electronic); 0002-9378 (Print); 0002-9378 (Linking)&lt;/_isbn&gt;&lt;_issue&gt;2&lt;/_issue&gt;&lt;_journal&gt;Am J Obstet Gynecol&lt;/_journal&gt;&lt;_language&gt;eng&lt;/_language&gt;&lt;_modified&gt;64734679&lt;/_modified&gt;&lt;_ori_publication&gt;Copyright 2010 Mosby, Inc. All rights reserved.&lt;/_ori_publication&gt;&lt;_pages&gt;135.e1-8&lt;/_pages&gt;&lt;_subject_headings&gt;Exercise; Female; Humans; Obesity/*prevention &amp;amp; control; Patient Education as Topic; Postpartum Period; Pregnancy; Pregnancy Complications/*prevention &amp;amp; control; Prenatal Care; *Weight Gain&lt;/_subject_headings&gt;&lt;_tertiary_title&gt;American journal of obstetrics and gynecology&lt;/_tertiary_title&gt;&lt;_type_work&gt;Journal Article; Research Support, N.I.H., Extramural&lt;/_type_work&gt;&lt;_url&gt;http://www.ncbi.nlm.nih.gov/entrez/query.fcgi?cmd=Retrieve&amp;amp;db=pubmed&amp;amp;dopt=Abstract&amp;amp;list_uids=19683692&amp;amp;query_hl=1&lt;/_url&gt;&lt;_volume&gt;202&lt;/_volume&gt;&lt;/Details&gt;&lt;Extra&gt;&lt;DBUID&gt;{C818A046-6D8C-4B07-8765-4E05C48B46EA}&lt;/DBUID&gt;&lt;/Extra&gt;&lt;/Item&gt;&lt;/References&gt;&lt;/Group&gt;&lt;Group&gt;&lt;References&gt;&lt;Item&gt;&lt;ID&gt;5&lt;/ID&gt;&lt;UID&gt;{7DFA100E-712F-43A4-BB4F-02482AAA5DA8}&lt;/UID&gt;&lt;Title&gt;Postpartum weight retention risk factors and relationship to obesity at 1 year&lt;/Title&gt;&lt;Template&gt;Journal Article&lt;/Template&gt;&lt;Star&gt;0&lt;/Star&gt;&lt;Tag&gt;0&lt;/Tag&gt;&lt;Author&gt;Endres, L K; Straub, H; McKinney, C; Plunkett, B; Minkovitz, C S; Schetter, C D; Ramey, S; Wang, C; Hobel, C; Raju, T; Shalowitz, M U&lt;/Author&gt;&lt;Year&gt;2015&lt;/Year&gt;&lt;Details&gt;&lt;_accession_num&gt;25560116&lt;/_accession_num&gt;&lt;_author_adr&gt;Department of Obstetrics and Gynecology, NorthShore University HealthSystem,  Evanston, Illinois; the Department of Pediatrics, University of Chicago, Pritzker  School of Medicine, Chicago, Illinois; the Bloomberg School of Public Health,  Johns Hopkins University, Baltimore, Maryland; the Department of Psychology,  University of California-Los Angeles, Los Angeles, California; Virginia  Polytechnical Institute and State University, Roanoke, Virginia; and the Eunice  Kennedy Shriver National Institute of Child Health and Human Development,  Bethesda, Maryland.&lt;/_author_adr&gt;&lt;_collection_scope&gt;SCI;SCIE&lt;/_collection_scope&gt;&lt;_created&gt;64733394&lt;/_created&gt;&lt;_date&gt;2015-01-01&lt;/_date&gt;&lt;_date_display&gt;2015 Jan&lt;/_date_display&gt;&lt;_doi&gt;10.1097/AOG.0000000000000565&lt;/_doi&gt;&lt;_impact_factor&gt;   7.661&lt;/_impact_factor&gt;&lt;_isbn&gt;1873-233X (Electronic); 0029-7844 (Print); 0029-7844 (Linking)&lt;/_isbn&gt;&lt;_issue&gt;1&lt;/_issue&gt;&lt;_journal&gt;Obstet Gynecol&lt;/_journal&gt;&lt;_language&gt;eng&lt;/_language&gt;&lt;_modified&gt;64734679&lt;/_modified&gt;&lt;_pages&gt;144-152&lt;/_pages&gt;&lt;_subject_headings&gt;Adult; Body Mass Index; Breast Feeding; Exercise; Female; Humans; Obesity/*epidemiology/ethnology; *Postpartum Period; Pregnancy/*physiology; Prospective Studies; Socioeconomic Factors; Time Factors; *Weight Gain; *Weight Loss; Young Adult&lt;/_subject_headings&gt;&lt;_tertiary_title&gt;Obstetrics and gynecology&lt;/_tertiary_title&gt;&lt;_type_work&gt;Journal Article; Research Support, N.I.H., Extramural&lt;/_type_work&gt;&lt;_url&gt;http://www.ncbi.nlm.nih.gov/entrez/query.fcgi?cmd=Retrieve&amp;amp;db=pubmed&amp;amp;dopt=Abstract&amp;amp;list_uids=25560116&amp;amp;query_hl=1&lt;/_url&gt;&lt;_volume&gt;125&lt;/_volume&gt;&lt;/Details&gt;&lt;Extra&gt;&lt;DBUID&gt;{C818A046-6D8C-4B07-8765-4E05C48B46EA}&lt;/DBUID&gt;&lt;/Extra&gt;&lt;/Item&gt;&lt;/References&gt;&lt;/Group&gt;&lt;/Citation&gt;_x000a_"/>
    <w:docVar w:name="NE.Ref{EAE7259C-B3EF-4BBD-89D2-8AB8A9B24576}" w:val=" ADDIN NE.Ref.{EAE7259C-B3EF-4BBD-89D2-8AB8A9B24576}&lt;Citation&gt;&lt;Group&gt;&lt;References&gt;&lt;Item&gt;&lt;ID&gt;546&lt;/ID&gt;&lt;UID&gt;{33DBA32B-A1D3-4D57-A4CB-E45415084370}&lt;/UID&gt;&lt;Title&gt;Associations between gestational weight gain and BMI, abdominal adiposity, and  traditional measures of cardiometabolic risk in mothers 8 y postpartum&lt;/Title&gt;&lt;Template&gt;Journal Article&lt;/Template&gt;&lt;Star&gt;0&lt;/Star&gt;&lt;Tag&gt;0&lt;/Tag&gt;&lt;Author&gt;McClure, C K; Catov, J M; Ness, R; Bodnar, L M&lt;/Author&gt;&lt;Year&gt;2013&lt;/Year&gt;&lt;Details&gt;&lt;_accessed&gt;64664557&lt;/_accessed&gt;&lt;_accession_num&gt;24047920&lt;/_accession_num&gt;&lt;_author_adr&gt;Department of Epidemiology, Graduate School of Public Health, University of  Pittsburgh, Pittsburgh, PA (CKM, JMC, and LMB); the Departments of Obstetrics,  Gynecology, and Reproductive Sciences, University of Pittsburgh, Pittsburgh, PA  (JMC and LMB); and the School of Public Health, University of Texas, Houston, TX  (RN).&lt;/_author_adr&gt;&lt;_collection_scope&gt;SCI;SCIE&lt;/_collection_scope&gt;&lt;_created&gt;64525782&lt;/_created&gt;&lt;_date&gt;2013-11-01&lt;/_date&gt;&lt;_date_display&gt;2013 Nov&lt;/_date_display&gt;&lt;_doi&gt;10.3945/ajcn.112.055772&lt;/_doi&gt;&lt;_impact_factor&gt;   7.047&lt;/_impact_factor&gt;&lt;_isbn&gt;1938-3207 (Electronic); 0002-9165 (Print); 0002-9165 (Linking)&lt;/_isbn&gt;&lt;_issue&gt;5&lt;/_issue&gt;&lt;_journal&gt;Am J Clin Nutr&lt;/_journal&gt;&lt;_language&gt;eng&lt;/_language&gt;&lt;_modified&gt;64664557&lt;/_modified&gt;&lt;_pages&gt;1218-25&lt;/_pages&gt;&lt;_subject_headings&gt;*Adiposity; Adult; *Body Mass Index; Cardiovascular Diseases/*epidemiology/etiology/physiopathology; Female; Humans; Life Style; Middle Aged; Multivariate Analysis; Obesity, Abdominal/complications/*epidemiology/physiopathology; *Postpartum Period; Pregnancy; Prevalence; Regression Analysis; Risk Factors; Socioeconomic Factors; Waist Circumference; Weight Gain/*physiology&lt;/_subject_headings&gt;&lt;_tertiary_title&gt;The American journal of clinical nutrition&lt;/_tertiary_title&gt;&lt;_type_work&gt;Journal Article; Research Support, N.I.H., Extramural&lt;/_type_work&gt;&lt;_url&gt;http://www.ncbi.nlm.nih.gov/entrez/query.fcgi?cmd=Retrieve&amp;amp;db=pubmed&amp;amp;dopt=Abstract&amp;amp;list_uids=24047920&amp;amp;query_hl=1&lt;/_url&gt;&lt;_volume&gt;98&lt;/_volume&gt;&lt;/Details&gt;&lt;Extra&gt;&lt;DBUID&gt;{F96A950B-833F-4880-A151-76DA2D6A2879}&lt;/DBUID&gt;&lt;/Extra&gt;&lt;/Item&gt;&lt;/References&gt;&lt;/Group&gt;&lt;/Citation&gt;_x000a_"/>
    <w:docVar w:name="NE.Ref{EB5B3F76-A716-409F-AD87-8334DD08D4A2}" w:val=" ADDIN NE.Ref.{EB5B3F76-A716-409F-AD87-8334DD08D4A2}"/>
    <w:docVar w:name="NE.Ref{EE80533B-A186-454B-9169-36DA06397056}" w:val=" ADDIN NE.Ref.{EE80533B-A186-454B-9169-36DA06397056}&lt;Citation&gt;&lt;Group&gt;&lt;References&gt;&lt;Item&gt;&lt;ID&gt;7&lt;/ID&gt;&lt;UID&gt;{A010C9CF-F099-44C1-A538-ACB6470FABA1}&lt;/UID&gt;&lt;Title&gt;A call for intervention in pregnancy to prevent maternal and child obesity&lt;/Title&gt;&lt;Template&gt;Journal Article&lt;/Template&gt;&lt;Star&gt;0&lt;/Star&gt;&lt;Tag&gt;0&lt;/Tag&gt;&lt;Author&gt;Olson, C M&lt;/Author&gt;&lt;Year&gt;2007&lt;/Year&gt;&lt;Details&gt;&lt;_accession_num&gt;17950410&lt;/_accession_num&gt;&lt;_collection_scope&gt;SCI;SCIE&lt;/_collection_scope&gt;&lt;_created&gt;64733395&lt;/_created&gt;&lt;_date&gt;2007-11-01&lt;/_date&gt;&lt;_date_display&gt;2007 Nov&lt;/_date_display&gt;&lt;_doi&gt;10.1016/j.amepre.2007.07.028&lt;/_doi&gt;&lt;_impact_factor&gt;   5.043&lt;/_impact_factor&gt;&lt;_isbn&gt;0749-3797 (Print); 0749-3797 (Linking)&lt;/_isbn&gt;&lt;_issue&gt;5&lt;/_issue&gt;&lt;_journal&gt;Am J Prev Med&lt;/_journal&gt;&lt;_language&gt;eng&lt;/_language&gt;&lt;_modified&gt;64734679&lt;/_modified&gt;&lt;_pages&gt;435-6&lt;/_pages&gt;&lt;_subject_headings&gt;Adult; Child; Female; Humans; Obesity/*prevention &amp;amp; control; Postpartum Period; Pregnancy; Pregnancy Outcome; Weight Gain&lt;/_subject_headings&gt;&lt;_tertiary_title&gt;American journal of preventive medicine&lt;/_tertiary_title&gt;&lt;_type_work&gt;Comment; Letter&lt;/_type_work&gt;&lt;_url&gt;http://www.ncbi.nlm.nih.gov/entrez/query.fcgi?cmd=Retrieve&amp;amp;db=pubmed&amp;amp;dopt=Abstract&amp;amp;list_uids=17950410&amp;amp;query_hl=1&lt;/_url&gt;&lt;_volume&gt;33&lt;/_volume&gt;&lt;/Details&gt;&lt;Extra&gt;&lt;DBUID&gt;{C818A046-6D8C-4B07-8765-4E05C48B46EA}&lt;/DBUID&gt;&lt;/Extra&gt;&lt;/Item&gt;&lt;/References&gt;&lt;/Group&gt;&lt;/Citation&gt;_x000a_"/>
    <w:docVar w:name="NE.Ref{EE82A7B3-7D8E-40EA-AE16-A7A3ABCE06D9}" w:val=" ADDIN NE.Ref.{EE82A7B3-7D8E-40EA-AE16-A7A3ABCE06D9}&lt;Citation&gt;&lt;Group&gt;&lt;References&gt;&lt;Item&gt;&lt;ID&gt;530&lt;/ID&gt;&lt;UID&gt;{27CCE24E-D47A-4866-91AC-3D983B0B7FB5}&lt;/UID&gt;&lt;Title&gt;The role of postpartum weight retention in obesity among women: a review of the  evidence&lt;/Title&gt;&lt;Template&gt;Journal Article&lt;/Template&gt;&lt;Star&gt;1&lt;/Star&gt;&lt;Tag&gt;0&lt;/Tag&gt;&lt;Author&gt;Gore, S A; Brown, D M; West, D S&lt;/Author&gt;&lt;Year&gt;2003&lt;/Year&gt;&lt;Details&gt;&lt;_accessed&gt;64664558&lt;/_accessed&gt;&lt;_accession_num&gt;14534032&lt;/_accession_num&gt;&lt;_author_adr&gt;University of Alabama at Birmingham, USA.&lt;/_author_adr&gt;&lt;_collection_scope&gt;SSCI&lt;/_collection_scope&gt;&lt;_created&gt;64525134&lt;/_created&gt;&lt;_date&gt;2003-10-01&lt;/_date&gt;&lt;_date_display&gt;2003 Oct&lt;/_date_display&gt;&lt;_doi&gt;10.1207/S15324796ABM2602_07&lt;/_doi&gt;&lt;_impact_factor&gt;   4.908&lt;/_impact_factor&gt;&lt;_isbn&gt;0883-6612 (Print); 0883-6612 (Linking)&lt;/_isbn&gt;&lt;_issue&gt;2&lt;/_issue&gt;&lt;_journal&gt;Ann Behav Med&lt;/_journal&gt;&lt;_language&gt;eng&lt;/_language&gt;&lt;_modified&gt;64664558&lt;/_modified&gt;&lt;_pages&gt;149-59&lt;/_pages&gt;&lt;_subject_headings&gt;Adult; Behavior Therapy; Female; Humans; Minority Groups; Obesity/*etiology/prevention &amp;amp; control; Postpartum Period; *Pregnancy; Risk Factors; Smoking; *Weight Gain; Weight Loss&lt;/_subject_headings&gt;&lt;_tertiary_title&gt;Annals of behavioral medicine : a publication of the Society of Behavioral _x000d__x000a_      Medicine&lt;/_tertiary_title&gt;&lt;_type_work&gt;Journal Article; Review&lt;/_type_work&gt;&lt;_url&gt;http://www.ncbi.nlm.nih.gov/entrez/query.fcgi?cmd=Retrieve&amp;amp;db=pubmed&amp;amp;dopt=Abstract&amp;amp;list_uids=14534032&amp;amp;query_hl=1&lt;/_url&gt;&lt;_volume&gt;26&lt;/_volume&gt;&lt;/Details&gt;&lt;Extra&gt;&lt;DBUID&gt;{F96A950B-833F-4880-A151-76DA2D6A2879}&lt;/DBUID&gt;&lt;/Extra&gt;&lt;/Item&gt;&lt;/References&gt;&lt;/Group&gt;&lt;Group&gt;&lt;References&gt;&lt;Item&gt;&lt;ID&gt;534&lt;/ID&gt;&lt;UID&gt;{1975F4DE-37A2-46B1-B14B-034125AC6FFA}&lt;/UID&gt;&lt;Title&gt;A call for intervention in pregnancy to prevent maternal and child obesity&lt;/Title&gt;&lt;Template&gt;Journal Article&lt;/Template&gt;&lt;Star&gt;0&lt;/Star&gt;&lt;Tag&gt;0&lt;/Tag&gt;&lt;Author&gt;Olson, C M&lt;/Author&gt;&lt;Year&gt;2007&lt;/Year&gt;&lt;Details&gt;&lt;_accession_num&gt;17950410&lt;/_accession_num&gt;&lt;_collection_scope&gt;SCI;SCIE&lt;/_collection_scope&gt;&lt;_created&gt;64525246&lt;/_created&gt;&lt;_date&gt;2007-11-01&lt;/_date&gt;&lt;_date_display&gt;2007 Nov&lt;/_date_display&gt;&lt;_doi&gt;10.1016/j.amepre.2007.07.028&lt;/_doi&gt;&lt;_impact_factor&gt;   5.043&lt;/_impact_factor&gt;&lt;_isbn&gt;0749-3797 (Print); 0749-3797 (Linking)&lt;/_isbn&gt;&lt;_issue&gt;5&lt;/_issue&gt;&lt;_journal&gt;Am J Prev Med&lt;/_journal&gt;&lt;_language&gt;eng&lt;/_language&gt;&lt;_modified&gt;64530377&lt;/_modified&gt;&lt;_pages&gt;435-6&lt;/_pages&gt;&lt;_subject_headings&gt;Adult; Child; Female; Humans; Obesity/*prevention &amp;amp; control; Postpartum Period; Pregnancy; Pregnancy Outcome; Weight Gain&lt;/_subject_headings&gt;&lt;_tertiary_title&gt;American journal of preventive medicine&lt;/_tertiary_title&gt;&lt;_type_work&gt;Comment; Letter&lt;/_type_work&gt;&lt;_url&gt;http://www.ncbi.nlm.nih.gov/entrez/query.fcgi?cmd=Retrieve&amp;amp;db=pubmed&amp;amp;dopt=Abstract&amp;amp;list_uids=17950410&amp;amp;query_hl=1&lt;/_url&gt;&lt;_volume&gt;33&lt;/_volume&gt;&lt;/Details&gt;&lt;Extra&gt;&lt;DBUID&gt;{F96A950B-833F-4880-A151-76DA2D6A2879}&lt;/DBUID&gt;&lt;/Extra&gt;&lt;/Item&gt;&lt;/References&gt;&lt;/Group&gt;&lt;Group&gt;&lt;References&gt;&lt;Item&gt;&lt;ID&gt;535&lt;/ID&gt;&lt;UID&gt;{6E61AC54-26DE-465B-BCAF-85F9CB4C9F4D}&lt;/UID&gt;&lt;Title&gt;Postpartum Weight Retention Risk Factors in a Taiwanese Cohort Study&lt;/Title&gt;&lt;Template&gt;Journal Article&lt;/Template&gt;&lt;Star&gt;0&lt;/Star&gt;&lt;Tag&gt;0&lt;/Tag&gt;&lt;Author&gt;Shao, H H; Hwang, L C; Huang, J P; Hsu, H Y&lt;/Author&gt;&lt;Year&gt;2018&lt;/Year&gt;&lt;Details&gt;&lt;_accession_num&gt;29402791&lt;/_accession_num&gt;&lt;_author_adr&gt;MacKay Memorial Hospital, Taipei City, Taiwan.&lt;/_author_adr&gt;&lt;_created&gt;64525252&lt;/_created&gt;&lt;_date&gt;2018-01-20&lt;/_date&gt;&lt;_date_display&gt;2018&lt;/_date_display&gt;&lt;_doi&gt;10.1159/000484934&lt;/_doi&gt;&lt;_impact_factor&gt;   3.942&lt;/_impact_factor&gt;&lt;_isbn&gt;1662-4033 (Electronic); 1662-4025 (Print); 1662-4025 (Linking)&lt;/_isbn&gt;&lt;_issue&gt;1&lt;/_issue&gt;&lt;_journal&gt;Obes Facts&lt;/_journal&gt;&lt;_keywords&gt;Gestational weight gain; Obesity; Postpartum weight retention&lt;/_keywords&gt;&lt;_language&gt;eng&lt;/_language&gt;&lt;_modified&gt;64530391&lt;/_modified&gt;&lt;_ori_publication&gt;© 2018 The Author(s) Published by S. Karger GmbH, Freiburg.&lt;/_ori_publication&gt;&lt;_pages&gt;37-45&lt;/_pages&gt;&lt;_subject_headings&gt;Adult; Asians/statistics &amp;amp; numerical data; Body Mass Index; Breast Feeding/statistics &amp;amp; numerical data; Cesarean Section/statistics &amp;amp; numerical data; Cohort Studies; Female; Gestational Weight Gain/*physiology; Humans; Middle Aged; Obesity/epidemiology/etiology; Overweight/epidemiology/etiology; *Postpartum Period; Pregnancy; Pregnancy Complications/epidemiology; Risk Factors; Taiwan/epidemiology; Thinness/epidemiology/etiology; Weight Gain/*physiology; Young Adult&lt;/_subject_headings&gt;&lt;_tertiary_title&gt;Obesity facts&lt;/_tertiary_title&gt;&lt;_type_work&gt;Journal Article; Research Support, Non-U.S. Gov&amp;apos;t&lt;/_type_work&gt;&lt;_url&gt;http://www.ncbi.nlm.nih.gov/entrez/query.fcgi?cmd=Retrieve&amp;amp;db=pubmed&amp;amp;dopt=Abstract&amp;amp;list_uids=29402791&amp;amp;query_hl=1&lt;/_url&gt;&lt;_volume&gt;11&lt;/_volume&gt;&lt;/Details&gt;&lt;Extra&gt;&lt;DBUID&gt;{F96A950B-833F-4880-A151-76DA2D6A2879}&lt;/DBUID&gt;&lt;/Extra&gt;&lt;/Item&gt;&lt;/References&gt;&lt;/Group&gt;&lt;Group&gt;&lt;References&gt;&lt;Item&gt;&lt;ID&gt;541&lt;/ID&gt;&lt;UID&gt;{6A054FBF-659D-4DE2-BADA-DC582444B95D}&lt;/UID&gt;&lt;Title&gt;The Role of Parity in Gestational Weight Gain and Postpartum Weight Retention&lt;/Title&gt;&lt;Template&gt;Journal Article&lt;/Template&gt;&lt;Star&gt;1&lt;/Star&gt;&lt;Tag&gt;0&lt;/Tag&gt;&lt;Author&gt;Hill, B; McPhie, S; Skouteris, H&lt;/Author&gt;&lt;Year&gt;2016&lt;/Year&gt;&lt;Details&gt;&lt;_accession_num&gt;26542383&lt;/_accession_num&gt;&lt;_author_adr&gt;School of Psychology, Deakin University, Burwood, Victoria, Australia. Electronic  address: briony.hill@deakin.edu.au.; School of Psychology, Deakin University, Burwood, Victoria, Australia.; School of Psychology, Deakin University, Burwood, Victoria, Australia.&lt;/_author_adr&gt;&lt;_collection_scope&gt;SSCI&lt;/_collection_scope&gt;&lt;_created&gt;64525287&lt;/_created&gt;&lt;_date&gt;2016-01-01&lt;/_date&gt;&lt;_date_display&gt;2016 Jan-Feb&lt;/_date_display&gt;&lt;_doi&gt;10.1016/j.whi.2015.09.012&lt;/_doi&gt;&lt;_impact_factor&gt;   3.027&lt;/_impact_factor&gt;&lt;_isbn&gt;1878-4321 (Electronic); 1049-3867 (Linking)&lt;/_isbn&gt;&lt;_issue&gt;1&lt;/_issue&gt;&lt;_journal&gt;Womens Health Issues&lt;/_journal&gt;&lt;_language&gt;eng&lt;/_language&gt;&lt;_modified&gt;64525803&lt;/_modified&gt;&lt;_ori_publication&gt;Copyright © 2016 Jacobs Institute of Women&amp;apos;s Health. Published by Elsevier Inc. _x000d__x000a_      All rights reserved.&lt;/_ori_publication&gt;&lt;_pages&gt;123-9&lt;/_pages&gt;&lt;_subject_headings&gt;Adult; Australia/epidemiology; *Body Mass Index; Body Weight/physiology; Female; Humans; Multivariate Analysis; Overweight/*epidemiology; Parity/*physiology; Postpartum Period; Pregnancy; Pregnancy Outcome; Prospective Studies; Risk Factors; *Weight Gain; Young Adult&lt;/_subject_headings&gt;&lt;_tertiary_title&gt;Women&amp;apos;s health issues : official publication of the Jacobs Institute of Women&amp;apos;s _x000d__x000a_      Health&lt;/_tertiary_title&gt;&lt;_type_work&gt;Journal Article&lt;/_type_work&gt;&lt;_url&gt;http://www.ncbi.nlm.nih.gov/entrez/query.fcgi?cmd=Retrieve&amp;amp;db=pubmed&amp;amp;dopt=Abstract&amp;amp;list_uids=26542383&amp;amp;query_hl=1&lt;/_url&gt;&lt;_volume&gt;26&lt;/_volume&gt;&lt;/Details&gt;&lt;Extra&gt;&lt;DBUID&gt;{F96A950B-833F-4880-A151-76DA2D6A2879}&lt;/DBUID&gt;&lt;/Extra&gt;&lt;/Item&gt;&lt;/References&gt;&lt;/Group&gt;&lt;/Citation&gt;_x000a_"/>
    <w:docVar w:name="NE.Ref{F0055159-7B04-406F-BFCF-EC420BF9FDAF}" w:val=" ADDIN NE.Ref.{F0055159-7B04-406F-BFCF-EC420BF9FDAF}&lt;Citation&gt;&lt;Group&gt;&lt;References&gt;&lt;Item&gt;&lt;ID&gt;555&lt;/ID&gt;&lt;UID&gt;{B988A084-8192-4AA4-A5C5-79A5BB6D4FCF}&lt;/UID&gt;&lt;Title&gt;Separate and combined associations of body-mass index and abdominal adiposity  with cardiovascular disease: collaborative analysis of 58 prospective studies&lt;/Title&gt;&lt;Template&gt;Journal Article&lt;/Template&gt;&lt;Star&gt;0&lt;/Star&gt;&lt;Tag&gt;0&lt;/Tag&gt;&lt;Author&gt;Wormser, D; Kaptoge, S; Di Angelantonio, E; Wood, A M; Pennells, L; Thompson, A; Sarwar, N; Kizer, J R; Lawlor, D A; Nordestgaard, B G; Ridker, P; Salomaa, V; Stevens, J; Woodward, M; Sattar, N; Collins, R; Thompson, S G; Whitlock, G; Danesh, J&lt;/Author&gt;&lt;Year&gt;2011&lt;/Year&gt;&lt;Details&gt;&lt;_accessed&gt;64529077&lt;/_accessed&gt;&lt;_accession_num&gt;21397319&lt;/_accession_num&gt;&lt;_author_adr&gt;Emerging Risk Factors Collaboration Coordinating Centre, Department of Public  Health and Primary Care, University of Cambridge, Strangeways Research  Laboratory, Cambridge CB1 8RN, UK. erfc@phpc.cam.ac.uk&lt;/_author_adr&gt;&lt;_collection_scope&gt;SCI;SCIE&lt;/_collection_scope&gt;&lt;_created&gt;64526488&lt;/_created&gt;&lt;_date&gt;2011-03-26&lt;/_date&gt;&lt;_date_display&gt;2011 Mar 26&lt;/_date_display&gt;&lt;_doi&gt;10.1016/S0140-6736(11)60105-0&lt;/_doi&gt;&lt;_impact_factor&gt;  79.323&lt;/_impact_factor&gt;&lt;_isbn&gt;1474-547X (Electronic); 0140-6736 (Print); 0140-6736 (Linking)&lt;/_isbn&gt;&lt;_issue&gt;9771&lt;/_issue&gt;&lt;_journal&gt;Lancet&lt;/_journal&gt;&lt;_language&gt;eng&lt;/_language&gt;&lt;_modified&gt;64530067&lt;/_modified&gt;&lt;_ori_publication&gt;Copyright © 2011 Elsevier Ltd. All rights reserved.&lt;/_ori_publication&gt;&lt;_pages&gt;1085-95&lt;/_pages&gt;&lt;_subject_headings&gt;Age Factors; Blood Pressure; *Body Mass Index; Cardiovascular Diseases/*epidemiology; Cholesterol/blood; Cholesterol, HDL/blood; Diabetes Mellitus/epidemiology; Female; Humans; Male; Middle Aged; Obesity, Abdominal/*epidemiology; Proportional Hazards Models; Prospective Studies; *Risk Assessment; Sex Factors; Smoking/epidemiology; Systole; Waist Circumference; Waist-Hip Ratio&lt;/_subject_headings&gt;&lt;_tertiary_title&gt;Lancet (London, England)&lt;/_tertiary_title&gt;&lt;_type_work&gt;Journal Article; Meta-Analysis; Research Support, Non-U.S. Gov&amp;apos;t&lt;/_type_work&gt;&lt;_url&gt;http://www.ncbi.nlm.nih.gov/entrez/query.fcgi?cmd=Retrieve&amp;amp;db=pubmed&amp;amp;dopt=Abstract&amp;amp;list_uids=21397319&amp;amp;query_hl=1&lt;/_url&gt;&lt;_volume&gt;377&lt;/_volume&gt;&lt;/Details&gt;&lt;Extra&gt;&lt;DBUID&gt;{F96A950B-833F-4880-A151-76DA2D6A2879}&lt;/DBUID&gt;&lt;/Extra&gt;&lt;/Item&gt;&lt;/References&gt;&lt;/Group&gt;&lt;/Citation&gt;_x000a_"/>
    <w:docVar w:name="NE.Ref{F1D209A3-4FCC-43D2-A53E-CA14D590FAA1}" w:val=" ADDIN NE.Ref.{F1D209A3-4FCC-43D2-A53E-CA14D590FAA1}&lt;Citation&gt;&lt;Group&gt;&lt;References&gt;&lt;Item&gt;&lt;ID&gt;10&lt;/ID&gt;&lt;UID&gt;{B3BA5906-51A5-4892-A06E-003BC896ED22}&lt;/UID&gt;&lt;Title&gt;Global, regional, and national comparative risk assessment of 79 behavioural,  environmental and occupational, and metabolic risks or clusters of risks,  1990-2015: a systematic analysis for the Global Burden of Disease Study 2015&lt;/Title&gt;&lt;Template&gt;Journal Article&lt;/Template&gt;&lt;Star&gt;0&lt;/Star&gt;&lt;Tag&gt;0&lt;/Tag&gt;&lt;Author/&gt;&lt;Year&gt;2016&lt;/Year&gt;&lt;Details&gt;&lt;_accession_num&gt;27733284&lt;/_accession_num&gt;&lt;_collection_scope&gt;SCI;SCIE&lt;/_collection_scope&gt;&lt;_created&gt;64733396&lt;/_created&gt;&lt;_date&gt;2016-10-08&lt;/_date&gt;&lt;_date_display&gt;2016 Oct 8&lt;/_date_display&gt;&lt;_doi&gt;10.1016/S0140-6736(16)31679-8&lt;/_doi&gt;&lt;_impact_factor&gt;  79.323&lt;/_impact_factor&gt;&lt;_isbn&gt;1474-547X (Electronic); 0140-6736 (Print); 0140-6736 (Linking)&lt;/_isbn&gt;&lt;_issue&gt;10053&lt;/_issue&gt;&lt;_journal&gt;Lancet&lt;/_journal&gt;&lt;_language&gt;eng&lt;/_language&gt;&lt;_modified&gt;64734679&lt;/_modified&gt;&lt;_ori_publication&gt;Copyright © 2016 The Author(s). Published by Elsevier Ltd. This is an Open Access _x000d__x000a_      article under the CC BY license. Published by Elsevier Ltd.. All rights reserved.&lt;/_ori_publication&gt;&lt;_pages&gt;1659-1724&lt;/_pages&gt;&lt;_subject_headings&gt;Africa South of the Sahara/epidemiology; Africa, Northern/epidemiology; Air Pollution, Indoor/statistics &amp;amp; numerical data; Alcohol Drinking/epidemiology; Biomarkers/blood; Blood Glucose/metabolism; Body Mass Index; Cholesterol/blood; *Cost of Illness; Disabled Persons/*statistics &amp;amp; numerical data; *Environmental Exposure/statistics &amp;amp; numerical data; *Global Health; Humans; Hypertension/epidemiology; *Life Expectancy; Malnutrition/epidemiology; Middle East/epidemiology; *Occupational Exposure/statistics &amp;amp; numerical data; Quality-Adjusted Life Years; Risk Assessment; Risk Factors; *Risk-Taking; Smoking/epidemiology; Sodium, Dietary/administration &amp;amp; dosage; Substance-Related Disorders/epidemiology; Unsafe Sex/statistics &amp;amp; numerical data&lt;/_subject_headings&gt;&lt;_tertiary_title&gt;Lancet (London, England)&lt;/_tertiary_title&gt;&lt;_type_work&gt;Comparative Study; Journal Article; Research Support, N.I.H., Extramural; Research Support, Non-U.S. Gov&amp;apos;t; Research Support, U.S. Gov&amp;apos;t, Non-P.H.S.&lt;/_type_work&gt;&lt;_url&gt;http://www.ncbi.nlm.nih.gov/entrez/query.fcgi?cmd=Retrieve&amp;amp;db=pubmed&amp;amp;dopt=Abstract&amp;amp;list_uids=27733284&amp;amp;query_hl=1&lt;/_url&gt;&lt;_volume&gt;388&lt;/_volume&gt;&lt;/Details&gt;&lt;Extra&gt;&lt;DBUID&gt;{C818A046-6D8C-4B07-8765-4E05C48B46EA}&lt;/DBUID&gt;&lt;/Extra&gt;&lt;/Item&gt;&lt;/References&gt;&lt;/Group&gt;&lt;/Citation&gt;_x000a_"/>
    <w:docVar w:name="NE.Ref{F28F7CD5-3832-40E0-BCFB-D163CAE97256}" w:val=" ADDIN NE.Ref.{F28F7CD5-3832-40E0-BCFB-D163CAE97256}&lt;Citation&gt;&lt;Group&gt;&lt;References&gt;&lt;Item&gt;&lt;ID&gt;2&lt;/ID&gt;&lt;UID&gt;{A29ED86C-4B2C-4447-BA91-349449A57E1A}&lt;/UID&gt;&lt;Title&gt;Preconceptional and maternal obesity: epidemiology and health consequences&lt;/Title&gt;&lt;Template&gt;Journal Article&lt;/Template&gt;&lt;Star&gt;0&lt;/Star&gt;&lt;Tag&gt;0&lt;/Tag&gt;&lt;Author&gt;Poston, L; Caleyachetty, R; Cnattingius, S; Corvalán, C; Uauy, R; Herring, S; Gillman, M W&lt;/Author&gt;&lt;Year&gt;2016&lt;/Year&gt;&lt;Details&gt;&lt;_accession_num&gt;27743975&lt;/_accession_num&gt;&lt;_author_adr&gt;Division of Women&amp;apos;s Health, Faculty of Life Sciences and Medicine, King&amp;apos;s College  London, London, UK. Electronic address: lucilla.poston@kcl.ac.uk.; Institute of Applied Health Research, University of Birmingham, Birmingham, UK.; Department of Medicine Solna, Karolinska Universitetssjukhuset, Stockholm,  Sweden.; Institute of Nutrition and Food Technology, University of Chile, Santiago, Chile.; Division of Pediatrics, Faculty of Medicine, Pontifical Catholic University of  Chile, Santiago, Chile; Center for Obesity Research and Education, Departments of  Medicine and Public Health, Temple University, Philadelphia, PA, USA.; Center for Obesity Research and Education, Departments of Medicine and Public  Health, Temple University, Philadelphia, PA, USA.; Office of the Director, Environmental Influences on Child Health Outcomes (ECHO),  National Institutes of Health, Rockville, MD, USA.&lt;/_author_adr&gt;&lt;_created&gt;64733386&lt;/_created&gt;&lt;_date&gt;2016-12-01&lt;/_date&gt;&lt;_date_display&gt;2016 Dec&lt;/_date_display&gt;&lt;_doi&gt;10.1016/S2213-8587(16)30217-0&lt;/_doi&gt;&lt;_impact_factor&gt;  32.069&lt;/_impact_factor&gt;&lt;_isbn&gt;2213-8595 (Electronic); 2213-8587 (Linking)&lt;/_isbn&gt;&lt;_issue&gt;12&lt;/_issue&gt;&lt;_journal&gt;Lancet Diabetes Endocrinol&lt;/_journal&gt;&lt;_language&gt;eng&lt;/_language&gt;&lt;_modified&gt;64734679&lt;/_modified&gt;&lt;_ori_publication&gt;Copyright Â© 2016 Elsevier Ltd. All rights reserved.&lt;/_ori_publication&gt;&lt;_pages&gt;1025-1036&lt;/_pages&gt;&lt;_subject_headings&gt;Abortion, Spontaneous/etiology; Delivery, Obstetric; Female; Fertility; Humans; Obesity/complications/*epidemiology; Postpartum Period; Pregnancy; Pregnancy Complications/*epidemiology/etiology; Premature Birth/etiology; Prevalence&lt;/_subject_headings&gt;&lt;_tertiary_title&gt;The lancet. Diabetes &amp;amp; endocrinology&lt;/_tertiary_title&gt;&lt;_type_work&gt;Journal Article; Research Support, Non-U.S. Gov&amp;apos;t; Review&lt;/_type_work&gt;&lt;_url&gt;http://www.ncbi.nlm.nih.gov/entrez/query.fcgi?cmd=Retrieve&amp;amp;db=pubmed&amp;amp;dopt=Abstract&amp;amp;list_uids=27743975&amp;amp;query_hl=1&lt;/_url&gt;&lt;_volume&gt;4&lt;/_volume&gt;&lt;/Details&gt;&lt;Extra&gt;&lt;DBUID&gt;{C818A046-6D8C-4B07-8765-4E05C48B46EA}&lt;/DBUID&gt;&lt;/Extra&gt;&lt;/Item&gt;&lt;/References&gt;&lt;/Group&gt;&lt;/Citation&gt;_x000a_"/>
    <w:docVar w:name="NE.Ref{F2B54687-4FEE-4187-929E-25D20FF657CA}" w:val=" ADDIN NE.Ref.{F2B54687-4FEE-4187-929E-25D20FF657CA}&lt;Citation&gt;&lt;Group&gt;&lt;References&gt;&lt;Item&gt;&lt;ID&gt;12&lt;/ID&gt;&lt;UID&gt;{6EA2AB27-6117-43DA-99AB-63556D60A31A}&lt;/UID&gt;&lt;Title&gt;Health Effects of Overweight and Obesity in 195 Countries over 25 Years&lt;/Title&gt;&lt;Template&gt;Journal Article&lt;/Template&gt;&lt;Star&gt;0&lt;/Star&gt;&lt;Tag&gt;0&lt;/Tag&gt;&lt;Author&gt;Afshin, A; Forouzanfar, M H; Reitsma, M B; Sur, P; Estep, K; Lee, A; Marczak, L; Mokdad, A H; Moradi-Lakeh, M; Naghavi, M; Salama, J S; Vos, T; Abate, K H; Abbafati, C; Ahmed, M B; Al-Aly, Z; Alkerwi, A; Al-Raddadi, R; Amare, A T; Amberbir, A; Amegah, A K; Amini, E; Amrock, S M; Anjana, R M; Ärnlöv, J; Asayesh, H; Banerjee, A; Barac, A; Baye, E; Bennett, D A; Beyene, A S; Biadgilign, S; Biryukov, S; Bjertness, E; Boneya, D J; Campos-Nonato, I; Carrero, J J; Cecilio, P; Cercy, K; Ciobanu, L G; Cornaby, L; Damtew, S A; Dandona, L; Dandona, R; Dharmaratne, S D; Duncan, B B; Eshrati, B; Esteghamati, A; Feigin, V L; Fernandes, J C; Fürst, T; Gebrehiwot, T T; Gold, A; Gona, P N; Goto, A; Habtewold, T D; Hadush, K T; Hafezi-Nejad, N; Hay, S I; Horino, M; Islami, F; Kamal, R; Kasaeian, A; Katikireddi, S V; Kengne, A P; Kesavachandran, C N; Khader, Y S; Khang, Y H; Khubchandani, J; Kim, D; Kim, Y J; Kinfu, Y; Kosen, S; Ku, T; Defo, B K; Kumar, G A; Larson, H J; Leinsalu, M; Liang, X; Lim, S S; Liu, P; Lopez, A D; Lozano, R; Majeed, A; Malekzadeh, R; Malta, D C; Mazidi, M; McAlinden, C; McGarvey, S T; Mengistu, D T; Mensah, G A; Mensink, GBM; Mezgebe, H B; Mirrakhimov, E M; Mueller, U O; Noubiap, J J; Obermeyer, C M; Ogbo, F A; Owolabi, M O; Patton, G C; Pourmalek, F; Qorbani, M; Rafay, A; Rai, R K; Ranabhat, C L; Reinig, N; Safiri, S; Salomon, J A; Sanabria, J R; Santos, I S; Sartorius, B; Sawhney, M; Schmidhuber, J; Schutte, A E; Schmidt, M I; Sepanlou, S G; Shamsizadeh, M; Sheikhbahaei, S; Shin, M J; Shiri, R; Shiue, I; Roba, H S; Silva, DAS; Silverberg, J I; Singh, J A; Stranges, S; Swaminathan, S; Tabarés-Seisdedos, R; Tadese, F; Tedla, B A; Tegegne, B S; Terkawi, A S; Thakur, J S; Tonelli, M; Topor-Madry, R; Tyrovolas, S; Ukwaja, K N; Uthman, O A; Vaezghasemi, M; Vasankari, T; Vlassov, V V; Vollset, S E; Weiderpass, E; Werdecker, A; Wesana, J; Westerman, R; Yano, Y; Yonemoto, N; Yonga, G; Zaidi, Z; Zenebe, Z M; Zipkin, B; Murray, CJL&lt;/Author&gt;&lt;Year&gt;2017&lt;/Year&gt;&lt;Details&gt;&lt;_accession_num&gt;28604169&lt;/_accession_num&gt;&lt;_created&gt;64733396&lt;/_created&gt;&lt;_date&gt;2017-07-06&lt;/_date&gt;&lt;_date_display&gt;2017 Jul 6&lt;/_date_display&gt;&lt;_doi&gt;10.1056/NEJMoa1614362&lt;/_doi&gt;&lt;_impact_factor&gt;  91.253&lt;/_impact_factor&gt;&lt;_isbn&gt;1533-4406 (Electronic); 0028-4793 (Print); 0028-4793 (Linking)&lt;/_isbn&gt;&lt;_issue&gt;1&lt;/_issue&gt;&lt;_journal&gt;N Engl J Med&lt;/_journal&gt;&lt;_language&gt;eng&lt;/_language&gt;&lt;_modified&gt;64734679&lt;/_modified&gt;&lt;_pages&gt;13-27&lt;/_pages&gt;&lt;_subject_headings&gt;Adult; Body Mass Index; Cardiovascular Diseases/complications/mortality; Child; Female; Global Health; Humans; Male; Obesity/complications/*epidemiology; Overweight/complications/epidemiology; Pediatric Obesity/epidemiology; Prevalence&lt;/_subject_headings&gt;&lt;_tertiary_title&gt;The New England journal of medicine&lt;/_tertiary_title&gt;&lt;_type_work&gt;Journal Article&lt;/_type_work&gt;&lt;_url&gt;http://www.ncbi.nlm.nih.gov/entrez/query.fcgi?cmd=Retrieve&amp;amp;db=pubmed&amp;amp;dopt=Abstract&amp;amp;list_uids=28604169&amp;amp;query_hl=1&lt;/_url&gt;&lt;_volume&gt;377&lt;/_volume&gt;&lt;/Details&gt;&lt;Extra&gt;&lt;DBUID&gt;{C818A046-6D8C-4B07-8765-4E05C48B46EA}&lt;/DBUID&gt;&lt;/Extra&gt;&lt;/Item&gt;&lt;/References&gt;&lt;/Group&gt;&lt;/Citation&gt;_x000a_"/>
    <w:docVar w:name="NE.Ref{F5BAA724-935F-4C6D-A9E8-E50F8FB26113}" w:val=" ADDIN NE.Ref.{F5BAA724-935F-4C6D-A9E8-E50F8FB26113}&lt;Citation&gt;&lt;Group&gt;&lt;References&gt;&lt;Item&gt;&lt;ID&gt;560&lt;/ID&gt;&lt;UID&gt;{66526E20-2D19-4B97-A6C4-0CFDF2223FAD}&lt;/UID&gt;&lt;Title&gt;Maternal weight change from prepregnancy to 18 months postpartum and subsequent  risk of hypertension and cardiovascular disease in Danish women: A cohort study&lt;/Title&gt;&lt;Template&gt;Journal Article&lt;/Template&gt;&lt;Star&gt;0&lt;/Star&gt;&lt;Tag&gt;0&lt;/Tag&gt;&lt;Author&gt;Kirkegaard, H; Bliddal, M; Støvring, H; Rasmussen, K M; Gunderson, E P; Køber, L; Sørensen, TIA; Nøhr, E A&lt;/Author&gt;&lt;Year&gt;2021&lt;/Year&gt;&lt;Details&gt;&lt;_accession_num&gt;33798198&lt;/_accession_num&gt;&lt;_author_adr&gt;Research Unit of Obstetrics and Gynecology, Department of Clinical Research,  University of Southern Denmark, Odense, Denmark.; Open Patient Data Explorative Network (OPEN), Department of Clinical Research,  University of Southern Denmark and Odense University Hospital, Odense, Denmark.; Open Patient Data Explorative Network (OPEN), Department of Clinical Research,  University of Southern Denmark and Odense University Hospital, Odense, Denmark.; Department of Public Health, Biostatistics, Aarhus University, Aarhus, Denmark.; Division of Nutritional Sciences, Cornell University, Ithaca, New York, United  States of America.; Division of Research, Cardiovascular and Metabolic Conditions Section, Kaiser  Permanente Northern California, Oakland, California, United States of America.; Department of Cardiology, Rigshospitalet, University Hospital, Copenhagen,  Denmark.; Novo Nordisk Foundation Center for Basic Metabolic Research and Department of  Public Health, Faculty of Health and Medical Sciences, University of Copenhagen,  Copenhagen, Denmark.; Research Unit of Obstetrics and Gynecology, Department of Clinical Research,  University of Southern Denmark, Odense, Denmark.; Department of Gynecology and Obstetrics, Odense University Hospital, Odense,  Denmark.&lt;/_author_adr&gt;&lt;_collection_scope&gt;SCIE&lt;/_collection_scope&gt;&lt;_created&gt;64530234&lt;/_created&gt;&lt;_date&gt;2021-04-01&lt;/_date&gt;&lt;_date_display&gt;2021 Apr&lt;/_date_display&gt;&lt;_doi&gt;10.1371/journal.pmed.1003486&lt;/_doi&gt;&lt;_impact_factor&gt;  11.069&lt;/_impact_factor&gt;&lt;_isbn&gt;1549-1676 (Electronic); 1549-1277 (Print); 1549-1277 (Linking)&lt;/_isbn&gt;&lt;_issue&gt;4&lt;/_issue&gt;&lt;_journal&gt;PLoS Med&lt;/_journal&gt;&lt;_language&gt;eng&lt;/_language&gt;&lt;_modified&gt;64530234&lt;/_modified&gt;&lt;_pages&gt;e1003486&lt;/_pages&gt;&lt;_subject_headings&gt;Adult; Cardiovascular Diseases/*epidemiology/etiology; Cohort Studies; Denmark/epidemiology; Female; Humans; Hypertension/epidemiology/etiology; Middle Aged; Obesity/epidemiology/etiology; Overweight/*epidemiology/etiology; Postpartum Period/*physiology; Pregnancy; Pregnancy Complications/*epidemiology/etiology; Risk Factors; Thinness/*epidemiology/etiology; *Weight Gain; Young Adult&lt;/_subject_headings&gt;&lt;_tertiary_title&gt;PLoS medicine&lt;/_tertiary_title&gt;&lt;_type_work&gt;Journal Article; Research Support, Non-U.S. Gov&amp;apos;t&lt;/_type_work&gt;&lt;_url&gt;http://www.ncbi.nlm.nih.gov/entrez/query.fcgi?cmd=Retrieve&amp;amp;db=pubmed&amp;amp;dopt=Abstract&amp;amp;list_uids=33798198&amp;amp;query_hl=1&lt;/_url&gt;&lt;_volume&gt;18&lt;/_volume&gt;&lt;/Details&gt;&lt;Extra&gt;&lt;DBUID&gt;{F96A950B-833F-4880-A151-76DA2D6A2879}&lt;/DBUID&gt;&lt;/Extra&gt;&lt;/Item&gt;&lt;/References&gt;&lt;/Group&gt;&lt;/Citation&gt;_x000a_"/>
    <w:docVar w:name="NE.Ref{F5FE2689-19F9-4669-8BF0-2F443051E999}" w:val=" ADDIN NE.Ref.{F5FE2689-19F9-4669-8BF0-2F443051E999}"/>
    <w:docVar w:name="NE.Ref{F79A5586-C0E9-4439-B65A-DC9F7BB6B13C}" w:val=" ADDIN NE.Ref.{F79A5586-C0E9-4439-B65A-DC9F7BB6B13C}&lt;Citation&gt;&lt;Group&gt;&lt;References&gt;&lt;Item&gt;&lt;ID&gt;2&lt;/ID&gt;&lt;UID&gt;{A29ED86C-4B2C-4447-BA91-349449A57E1A}&lt;/UID&gt;&lt;Title&gt;Preconceptional and maternal obesity: epidemiology and health consequences&lt;/Title&gt;&lt;Template&gt;Journal Article&lt;/Template&gt;&lt;Star&gt;0&lt;/Star&gt;&lt;Tag&gt;0&lt;/Tag&gt;&lt;Author&gt;Poston, L; Caleyachetty, R; Cnattingius, S; Corvalán, C; Uauy, R; Herring, S; Gillman, M W&lt;/Author&gt;&lt;Year&gt;2016&lt;/Year&gt;&lt;Details&gt;&lt;_accession_num&gt;27743975&lt;/_accession_num&gt;&lt;_author_adr&gt;Division of Women&amp;apos;s Health, Faculty of Life Sciences and Medicine, King&amp;apos;s College  London, London, UK. Electronic address: lucilla.poston@kcl.ac.uk.; Institute of Applied Health Research, University of Birmingham, Birmingham, UK.; Department of Medicine Solna, Karolinska Universitetssjukhuset, Stockholm,  Sweden.; Institute of Nutrition and Food Technology, University of Chile, Santiago, Chile.; Division of Pediatrics, Faculty of Medicine, Pontifical Catholic University of  Chile, Santiago, Chile; Center for Obesity Research and Education, Departments of  Medicine and Public Health, Temple University, Philadelphia, PA, USA.; Center for Obesity Research and Education, Departments of Medicine and Public  Health, Temple University, Philadelphia, PA, USA.; Office of the Director, Environmental Influences on Child Health Outcomes (ECHO),  National Institutes of Health, Rockville, MD, USA.&lt;/_author_adr&gt;&lt;_created&gt;64733386&lt;/_created&gt;&lt;_date&gt;2016-12-01&lt;/_date&gt;&lt;_date_display&gt;2016 Dec&lt;/_date_display&gt;&lt;_doi&gt;10.1016/S2213-8587(16)30217-0&lt;/_doi&gt;&lt;_impact_factor&gt;  32.069&lt;/_impact_factor&gt;&lt;_isbn&gt;2213-8595 (Electronic); 2213-8587 (Linking)&lt;/_isbn&gt;&lt;_issue&gt;12&lt;/_issue&gt;&lt;_journal&gt;Lancet Diabetes Endocrinol&lt;/_journal&gt;&lt;_language&gt;eng&lt;/_language&gt;&lt;_modified&gt;64734679&lt;/_modified&gt;&lt;_ori_publication&gt;Copyright Â© 2016 Elsevier Ltd. All rights reserved.&lt;/_ori_publication&gt;&lt;_pages&gt;1025-1036&lt;/_pages&gt;&lt;_subject_headings&gt;Abortion, Spontaneous/etiology; Delivery, Obstetric; Female; Fertility; Humans; Obesity/complications/*epidemiology; Postpartum Period; Pregnancy; Pregnancy Complications/*epidemiology/etiology; Premature Birth/etiology; Prevalence&lt;/_subject_headings&gt;&lt;_tertiary_title&gt;The lancet. Diabetes &amp;amp; endocrinology&lt;/_tertiary_title&gt;&lt;_type_work&gt;Journal Article; Research Support, Non-U.S. Gov&amp;apos;t; Review&lt;/_type_work&gt;&lt;_url&gt;http://www.ncbi.nlm.nih.gov/entrez/query.fcgi?cmd=Retrieve&amp;amp;db=pubmed&amp;amp;dopt=Abstract&amp;amp;list_uids=27743975&amp;amp;query_hl=1&lt;/_url&gt;&lt;_volume&gt;4&lt;/_volume&gt;&lt;/Details&gt;&lt;Extra&gt;&lt;DBUID&gt;{C818A046-6D8C-4B07-8765-4E05C48B46EA}&lt;/DBUID&gt;&lt;/Extra&gt;&lt;/Item&gt;&lt;/References&gt;&lt;/Group&gt;&lt;/Citation&gt;_x000a_"/>
    <w:docVar w:name="NE.Ref{F7E3A054-76FC-4D86-8DBD-201FACF5E5B7}" w:val=" ADDIN NE.Ref.{F7E3A054-76FC-4D86-8DBD-201FACF5E5B7}&lt;Citation&gt;&lt;Group&gt;&lt;References&gt;&lt;Item&gt;&lt;ID&gt;600&lt;/ID&gt;&lt;UID&gt;{621EFF6A-4EA4-4445-B479-0E4EF86384C8}&lt;/UID&gt;&lt;Title&gt;Prediction of clinical cardiovascular events with carotid intima-media thickness:  a systematic review and meta-analysis&lt;/Title&gt;&lt;Template&gt;Journal Article&lt;/Template&gt;&lt;Star&gt;0&lt;/Star&gt;&lt;Tag&gt;5&lt;/Tag&gt;&lt;Author&gt;Lorenz, M W; Markus, H S; Bots, M L; Rosvall, M; Sitzer, M&lt;/Author&gt;&lt;Year&gt;2007&lt;/Year&gt;&lt;Details&gt;&lt;_accession_num&gt;17242284&lt;/_accession_num&gt;&lt;_author_adr&gt;Johann Wolfgang Goethe-University, Department for Neurology, Schleusenweg 2-16,  D-60528 Frankfurt/Main, Germany. matthias.lorenz@em.uni-frankfurt.de&lt;/_author_adr&gt;&lt;_collection_scope&gt;SCI;SCIE&lt;/_collection_scope&gt;&lt;_created&gt;64601648&lt;/_created&gt;&lt;_date&gt;2007-01-30&lt;/_date&gt;&lt;_date_display&gt;2007 Jan 30&lt;/_date_display&gt;&lt;_doi&gt;10.1161/CIRCULATIONAHA.106.628875&lt;/_doi&gt;&lt;_impact_factor&gt;  29.690&lt;/_impact_factor&gt;&lt;_isbn&gt;1524-4539 (Electronic); 0009-7322 (Linking)&lt;/_isbn&gt;&lt;_issue&gt;4&lt;/_issue&gt;&lt;_journal&gt;Circulation&lt;/_journal&gt;&lt;_language&gt;eng&lt;/_language&gt;&lt;_modified&gt;64601653&lt;/_modified&gt;&lt;_pages&gt;459-67&lt;/_pages&gt;&lt;_subject_headings&gt;Carotid Arteries/*pathology; Carotid Artery Diseases/*epidemiology/*pathology; Humans; Myocardial Infarction/*epidemiology; Predictive Value of Tests; Risk Factors; Stroke/*epidemiology; Tunica Intima/pathology; Tunica Media/pathology&lt;/_subject_headings&gt;&lt;_tertiary_title&gt;Circulation&lt;/_tertiary_title&gt;&lt;_type_work&gt;Journal Article; Meta-Analysis; Research Support, N.I.H., Extramural; Research Support, Non-U.S. Gov&amp;apos;t; Review; Systematic Review&lt;/_type_work&gt;&lt;_url&gt;http://www.ncbi.nlm.nih.gov/entrez/query.fcgi?cmd=Retrieve&amp;amp;db=pubmed&amp;amp;dopt=Abstract&amp;amp;list_uids=17242284&amp;amp;query_hl=1&lt;/_url&gt;&lt;_volume&gt;115&lt;/_volume&gt;&lt;/Details&gt;&lt;Extra&gt;&lt;DBUID&gt;{F96A950B-833F-4880-A151-76DA2D6A2879}&lt;/DBUID&gt;&lt;/Extra&gt;&lt;/Item&gt;&lt;/References&gt;&lt;/Group&gt;&lt;/Citation&gt;_x000a_"/>
    <w:docVar w:name="NE.Ref{F81C5250-A449-4D7B-A857-BDCFFEA0202B}" w:val=" ADDIN NE.Ref.{F81C5250-A449-4D7B-A857-BDCFFEA0202B}&lt;Citation&gt;&lt;Group&gt;&lt;References&gt;&lt;Item&gt;&lt;ID&gt;12&lt;/ID&gt;&lt;UID&gt;{6EA2AB27-6117-43DA-99AB-63556D60A31A}&lt;/UID&gt;&lt;Title&gt;Health Effects of Overweight and Obesity in 195 Countries over 25 Years&lt;/Title&gt;&lt;Template&gt;Journal Article&lt;/Template&gt;&lt;Star&gt;0&lt;/Star&gt;&lt;Tag&gt;0&lt;/Tag&gt;&lt;Author&gt;Afshin, A; Forouzanfar, M H; Reitsma, M B; Sur, P; Estep, K; Lee, A; Marczak, L; Mokdad, A H; Moradi-Lakeh, M; Naghavi, M; Salama, J S; Vos, T; Abate, K H; Abbafati, C; Ahmed, M B; Al-Aly, Z; Alkerwi, A; Al-Raddadi, R; Amare, A T; Amberbir, A; Amegah, A K; Amini, E; Amrock, S M; Anjana, R M; Ärnlöv, J; Asayesh, H; Banerjee, A; Barac, A; Baye, E; Bennett, D A; Beyene, A S; Biadgilign, S; Biryukov, S; Bjertness, E; Boneya, D J; Campos-Nonato, I; Carrero, J J; Cecilio, P; Cercy, K; Ciobanu, L G; Cornaby, L; Damtew, S A; Dandona, L; Dandona, R; Dharmaratne, S D; Duncan, B B; Eshrati, B; Esteghamati, A; Feigin, V L; Fernandes, J C; Fürst, T; Gebrehiwot, T T; Gold, A; Gona, P N; Goto, A; Habtewold, T D; Hadush, K T; Hafezi-Nejad, N; Hay, S I; Horino, M; Islami, F; Kamal, R; Kasaeian, A; Katikireddi, S V; Kengne, A P; Kesavachandran, C N; Khader, Y S; Khang, Y H; Khubchandani, J; Kim, D; Kim, Y J; Kinfu, Y; Kosen, S; Ku, T; Defo, B K; Kumar, G A; Larson, H J; Leinsalu, M; Liang, X; Lim, S S; Liu, P; Lopez, A D; Lozano, R; Majeed, A; Malekzadeh, R; Malta, D C; Mazidi, M; McAlinden, C; McGarvey, S T; Mengistu, D T; Mensah, G A; Mensink, GBM; Mezgebe, H B; Mirrakhimov, E M; Mueller, U O; Noubiap, J J; Obermeyer, C M; Ogbo, F A; Owolabi, M O; Patton, G C; Pourmalek, F; Qorbani, M; Rafay, A; Rai, R K; Ranabhat, C L; Reinig, N; Safiri, S; Salomon, J A; Sanabria, J R; Santos, I S; Sartorius, B; Sawhney, M; Schmidhuber, J; Schutte, A E; Schmidt, M I; Sepanlou, S G; Shamsizadeh, M; Sheikhbahaei, S; Shin, M J; Shiri, R; Shiue, I; Roba, H S; Silva, DAS; Silverberg, J I; Singh, J A; Stranges, S; Swaminathan, S; Tabarés-Seisdedos, R; Tadese, F; Tedla, B A; Tegegne, B S; Terkawi, A S; Thakur, J S; Tonelli, M; Topor-Madry, R; Tyrovolas, S; Ukwaja, K N; Uthman, O A; Vaezghasemi, M; Vasankari, T; Vlassov, V V; Vollset, S E; Weiderpass, E; Werdecker, A; Wesana, J; Westerman, R; Yano, Y; Yonemoto, N; Yonga, G; Zaidi, Z; Zenebe, Z M; Zipkin, B; Murray, CJL&lt;/Author&gt;&lt;Year&gt;2017&lt;/Year&gt;&lt;Details&gt;&lt;_accession_num&gt;28604169&lt;/_accession_num&gt;&lt;_created&gt;64733396&lt;/_created&gt;&lt;_date&gt;2017-07-06&lt;/_date&gt;&lt;_date_display&gt;2017 Jul 6&lt;/_date_display&gt;&lt;_doi&gt;10.1056/NEJMoa1614362&lt;/_doi&gt;&lt;_impact_factor&gt;  91.253&lt;/_impact_factor&gt;&lt;_isbn&gt;1533-4406 (Electronic); 0028-4793 (Print); 0028-4793 (Linking)&lt;/_isbn&gt;&lt;_issue&gt;1&lt;/_issue&gt;&lt;_journal&gt;N Engl J Med&lt;/_journal&gt;&lt;_language&gt;eng&lt;/_language&gt;&lt;_modified&gt;64734679&lt;/_modified&gt;&lt;_pages&gt;13-27&lt;/_pages&gt;&lt;_subject_headings&gt;Adult; Body Mass Index; Cardiovascular Diseases/complications/mortality; Child; Female; Global Health; Humans; Male; Obesity/complications/*epidemiology; Overweight/complications/epidemiology; Pediatric Obesity/epidemiology; Prevalence&lt;/_subject_headings&gt;&lt;_tertiary_title&gt;The New England journal of medicine&lt;/_tertiary_title&gt;&lt;_type_work&gt;Journal Article&lt;/_type_work&gt;&lt;_url&gt;http://www.ncbi.nlm.nih.gov/entrez/query.fcgi?cmd=Retrieve&amp;amp;db=pubmed&amp;amp;dopt=Abstract&amp;amp;list_uids=28604169&amp;amp;query_hl=1&lt;/_url&gt;&lt;_volume&gt;377&lt;/_volume&gt;&lt;/Details&gt;&lt;Extra&gt;&lt;DBUID&gt;{C818A046-6D8C-4B07-8765-4E05C48B46EA}&lt;/DBUID&gt;&lt;/Extra&gt;&lt;/Item&gt;&lt;/References&gt;&lt;/Group&gt;&lt;/Citation&gt;_x000a_"/>
    <w:docVar w:name="NE.Ref{FB8BBB42-4FE9-474F-BDCC-01A63710C419}" w:val=" ADDIN NE.Ref.{FB8BBB42-4FE9-474F-BDCC-01A63710C419}&lt;Citation&gt;&lt;Group&gt;&lt;References&gt;&lt;Item&gt;&lt;ID&gt;564&lt;/ID&gt;&lt;UID&gt;{0E55DC3A-2CE4-4EAA-A1E0-085990F68E34}&lt;/UID&gt;&lt;Title&gt;Carotid intima-media thickness and plaque in cardiovascular risk assessment&lt;/Title&gt;&lt;Template&gt;Journal Article&lt;/Template&gt;&lt;Star&gt;1&lt;/Star&gt;&lt;Tag&gt;0&lt;/Tag&gt;&lt;Author&gt;Naqvi, T Z; Lee, M S&lt;/Author&gt;&lt;Year&gt;2014&lt;/Year&gt;&lt;Details&gt;&lt;_accession_num&gt;25051948&lt;/_accession_num&gt;&lt;_author_adr&gt;Echocardiography Laboratory, Mayo Clinic, Scottsdale, Arizona; Cardiac  Noninvasive Laboratories, Keck School of Medicine, University of Southern  California, Los Angeles, California. Electronic address: naqvi.tasneem@mayo.edu.; Cardiac Noninvasive Laboratories, Keck School of Medicine, University of Southern  California, Los Angeles, California.&lt;/_author_adr&gt;&lt;_created&gt;64551889&lt;/_created&gt;&lt;_date&gt;2014-10-01&lt;/_date&gt;&lt;_date_display&gt;2014 Oct&lt;/_date_display&gt;&lt;_doi&gt;10.1016/j.jcmg.2013.11.014&lt;/_doi&gt;&lt;_isbn&gt;1876-7591 (Electronic); 1876-7591 (Linking)&lt;/_isbn&gt;&lt;_issue&gt;10&lt;/_issue&gt;&lt;_journal&gt;JACC Cardiovasc Imaging&lt;/_journal&gt;&lt;_keywords&gt;cardiovascular risk; carotid artery; intima-media thickness; plaque; ultrasound&lt;/_keywords&gt;&lt;_language&gt;eng&lt;/_language&gt;&lt;_modified&gt;64552181&lt;/_modified&gt;&lt;_ori_publication&gt;Copyright © 2014 American College of Cardiology Foundation. Published by Elsevier _x000d__x000a_      Inc. All rights reserved.&lt;/_ori_publication&gt;&lt;_pages&gt;1025-38&lt;/_pages&gt;&lt;_subject_headings&gt;Cardiovascular Diseases/*epidemiology/*pathology; Carotid Artery, Common/diagnostic imaging/pathology; Carotid Artery, Internal/diagnostic imaging/pathology; *Carotid Intima-Media Thickness; Carotid Stenosis/pathology; Humans; Imaging, Three-Dimensional; Prognosis; Risk Assessment&lt;/_subject_headings&gt;&lt;_tertiary_title&gt;JACC. Cardiovascular imaging&lt;/_tertiary_title&gt;&lt;_type_work&gt;Journal Article; Research Support, Non-U.S. Gov&amp;apos;t; Review&lt;/_type_work&gt;&lt;_url&gt;http://www.ncbi.nlm.nih.gov/entrez/query.fcgi?cmd=Retrieve&amp;amp;db=pubmed&amp;amp;dopt=Abstract&amp;amp;list_uids=25051948&amp;amp;query_hl=1&lt;/_url&gt;&lt;_volume&gt;7&lt;/_volume&gt;&lt;/Details&gt;&lt;Extra&gt;&lt;DBUID&gt;{F96A950B-833F-4880-A151-76DA2D6A2879}&lt;/DBUID&gt;&lt;/Extra&gt;&lt;/Item&gt;&lt;/References&gt;&lt;/Group&gt;&lt;/Citation&gt;_x000a_"/>
    <w:docVar w:name="NE.Ref{FC6E90E1-E428-4B99-AD72-48C3FCBE65BB}" w:val=" ADDIN NE.Ref.{FC6E90E1-E428-4B99-AD72-48C3FCBE65BB}&lt;Citation&gt;&lt;Group&gt;&lt;References&gt;&lt;Item&gt;&lt;ID&gt;18&lt;/ID&gt;&lt;UID&gt;{4D15F0A7-FF2F-4FAB-9FF6-B6FD0277870D}&lt;/UID&gt;&lt;Title&gt;Carotid intima-media thickness and plaque in cardiovascular risk assessment&lt;/Title&gt;&lt;Template&gt;Journal Article&lt;/Template&gt;&lt;Star&gt;0&lt;/Star&gt;&lt;Tag&gt;0&lt;/Tag&gt;&lt;Author&gt;Naqvi, T Z; Lee, M S&lt;/Author&gt;&lt;Year&gt;2014&lt;/Year&gt;&lt;Details&gt;&lt;_accession_num&gt;25051948&lt;/_accession_num&gt;&lt;_author_adr&gt;Echocardiography Laboratory, Mayo Clinic, Scottsdale, Arizona; Cardiac  Noninvasive Laboratories, Keck School of Medicine, University of Southern  California, Los Angeles, California. Electronic address: naqvi.tasneem@mayo.edu.; Cardiac Noninvasive Laboratories, Keck School of Medicine, University of Southern  California, Los Angeles, California.&lt;/_author_adr&gt;&lt;_created&gt;64733398&lt;/_created&gt;&lt;_date&gt;2014-10-01&lt;/_date&gt;&lt;_date_display&gt;2014 Oct&lt;/_date_display&gt;&lt;_doi&gt;10.1016/j.jcmg.2013.11.014&lt;/_doi&gt;&lt;_isbn&gt;1876-7591 (Electronic); 1876-7591 (Linking)&lt;/_isbn&gt;&lt;_issue&gt;10&lt;/_issue&gt;&lt;_journal&gt;JACC Cardiovasc Imaging&lt;/_journal&gt;&lt;_keywords&gt;cardiovascular risk; carotid artery; intima-media thickness; plaque; ultrasound&lt;/_keywords&gt;&lt;_language&gt;eng&lt;/_language&gt;&lt;_modified&gt;64734680&lt;/_modified&gt;&lt;_ori_publication&gt;Copyright © 2014 American College of Cardiology Foundation. Published by Elsevier _x000d__x000a_      Inc. All rights reserved.&lt;/_ori_publication&gt;&lt;_pages&gt;1025-38&lt;/_pages&gt;&lt;_subject_headings&gt;Cardiovascular Diseases/*epidemiology/*pathology; Carotid Artery, Common/diagnostic imaging/pathology; Carotid Artery, Internal/diagnostic imaging/pathology; *Carotid Intima-Media Thickness; Carotid Stenosis/pathology; Humans; Imaging, Three-Dimensional; Prognosis; Risk Assessment&lt;/_subject_headings&gt;&lt;_tertiary_title&gt;JACC. Cardiovascular imaging&lt;/_tertiary_title&gt;&lt;_type_work&gt;Journal Article; Research Support, Non-U.S. Gov&amp;apos;t; Review&lt;/_type_work&gt;&lt;_url&gt;http://www.ncbi.nlm.nih.gov/entrez/query.fcgi?cmd=Retrieve&amp;amp;db=pubmed&amp;amp;dopt=Abstract&amp;amp;list_uids=25051948&amp;amp;query_hl=1&lt;/_url&gt;&lt;_volume&gt;7&lt;/_volume&gt;&lt;/Details&gt;&lt;Extra&gt;&lt;DBUID&gt;{C818A046-6D8C-4B07-8765-4E05C48B46EA}&lt;/DBUID&gt;&lt;/Extra&gt;&lt;/Item&gt;&lt;/References&gt;&lt;/Group&gt;&lt;Group&gt;&lt;References&gt;&lt;Item&gt;&lt;ID&gt;19&lt;/ID&gt;&lt;UID&gt;{09459032-DD7C-4EB5-923C-380717D83E65}&lt;/UID&gt;&lt;Title&gt;Carotid Intima-Media Thickness as Surrogate for and Predictor of CVD&lt;/Title&gt;&lt;Template&gt;Journal Article&lt;/Template&gt;&lt;Star&gt;0&lt;/Star&gt;&lt;Tag&gt;0&lt;/Tag&gt;&lt;Author&gt;Polak, J F; O&amp;apos;Leary, D H&lt;/Author&gt;&lt;Year&gt;2016&lt;/Year&gt;&lt;Details&gt;&lt;_accession_num&gt;27741977&lt;/_accession_num&gt;&lt;_author_adr&gt;Department of Radiology, Tufts Medical Center, Boston, MA, USA; Ultrasound  Reading Center, Boston, MA, USA. Electronic address:  jpolak@tuftsmedicalcenter.org.; Ultrasound Reading Center, Boston, MA, USA.&lt;/_author_adr&gt;&lt;_created&gt;64733398&lt;/_created&gt;&lt;_date&gt;2016-09-01&lt;/_date&gt;&lt;_date_display&gt;2016 Sep&lt;/_date_display&gt;&lt;_doi&gt;10.1016/j.gheart.2016.08.006&lt;/_doi&gt;&lt;_impact_factor&gt;   3.426&lt;/_impact_factor&gt;&lt;_isbn&gt;2211-8179 (Electronic); 2211-8160 (Linking)&lt;/_isbn&gt;&lt;_issue&gt;3&lt;/_issue&gt;&lt;_journal&gt;Glob Heart&lt;/_journal&gt;&lt;_language&gt;eng&lt;/_language&gt;&lt;_modified&gt;64734680&lt;/_modified&gt;&lt;_ori_publication&gt;Copyright © 2016. Published by Elsevier B.V.&lt;/_ori_publication&gt;&lt;_pages&gt;295-312.e3&lt;/_pages&gt;&lt;_subject_headings&gt;Atherosclerosis/*diagnostic imaging/pathology; Carotid Artery Diseases/diagnostic imaging/pathology; Carotid Artery, Common/diagnostic imaging; Carotid Artery, Internal/diagnostic imaging; Carotid Intima-Media Thickness/instrumentation/*standards; Clinical Protocols; Coronary Disease/diagnostic imaging/prevention &amp;amp; control; Humans; Plaque, Atherosclerotic/*diagnostic imaging/pathology&lt;/_subject_headings&gt;&lt;_tertiary_title&gt;Global heart&lt;/_tertiary_title&gt;&lt;_type_work&gt;Journal Article; Research Support, N.I.H., Extramural; Research Support, Non-U.S. Gov&amp;apos;t; Review&lt;/_type_work&gt;&lt;_url&gt;http://www.ncbi.nlm.nih.gov/entrez/query.fcgi?cmd=Retrieve&amp;amp;db=pubmed&amp;amp;dopt=Abstract&amp;amp;list_uids=27741977&amp;amp;query_hl=1&lt;/_url&gt;&lt;_volume&gt;11&lt;/_volume&gt;&lt;/Details&gt;&lt;Extra&gt;&lt;DBUID&gt;{C818A046-6D8C-4B07-8765-4E05C48B46EA}&lt;/DBUID&gt;&lt;/Extra&gt;&lt;/Item&gt;&lt;/References&gt;&lt;/Group&gt;&lt;/Citation&gt;_x000a_"/>
    <w:docVar w:name="NE.Ref{FE68D9DB-CFB3-419E-8E2E-F37B0498A7E8}" w:val=" ADDIN NE.Ref.{FE68D9DB-CFB3-419E-8E2E-F37B0498A7E8}"/>
    <w:docVar w:name="NE.Ref{FF6ED0FB-1C89-42F7-B88E-4E6CB75E94DF}" w:val=" ADDIN NE.Ref.{FF6ED0FB-1C89-42F7-B88E-4E6CB75E94DF}&lt;Citation&gt;&lt;Group&gt;&lt;References&gt;&lt;Item&gt;&lt;ID&gt;13&lt;/ID&gt;&lt;UID&gt;{351528CA-2EE4-4277-B51E-BB38AD287EF2}&lt;/UID&gt;&lt;Title&gt;Associations between gestational weight gain and BMI, abdominal adiposity, and  traditional measures of cardiometabolic risk in mothers 8 y postpartum&lt;/Title&gt;&lt;Template&gt;Journal Article&lt;/Template&gt;&lt;Star&gt;0&lt;/Star&gt;&lt;Tag&gt;0&lt;/Tag&gt;&lt;Author&gt;McClure, C K; Catov, J M; Ness, R; Bodnar, L M&lt;/Author&gt;&lt;Year&gt;2013&lt;/Year&gt;&lt;Details&gt;&lt;_accession_num&gt;24047920&lt;/_accession_num&gt;&lt;_author_adr&gt;Department of Epidemiology, Graduate School of Public Health, University of  Pittsburgh, Pittsburgh, PA (CKM, JMC, and LMB); the Departments of Obstetrics,  Gynecology, and Reproductive Sciences, University of Pittsburgh, Pittsburgh, PA  (JMC and LMB); and the School of Public Health, University of Texas, Houston, TX  (RN).&lt;/_author_adr&gt;&lt;_collection_scope&gt;SCI;SCIE&lt;/_collection_scope&gt;&lt;_created&gt;64733396&lt;/_created&gt;&lt;_date&gt;2013-11-01&lt;/_date&gt;&lt;_date_display&gt;2013 Nov&lt;/_date_display&gt;&lt;_doi&gt;10.3945/ajcn.112.055772&lt;/_doi&gt;&lt;_impact_factor&gt;   7.047&lt;/_impact_factor&gt;&lt;_isbn&gt;1938-3207 (Electronic); 0002-9165 (Print); 0002-9165 (Linking)&lt;/_isbn&gt;&lt;_issue&gt;5&lt;/_issue&gt;&lt;_journal&gt;Am J Clin Nutr&lt;/_journal&gt;&lt;_language&gt;eng&lt;/_language&gt;&lt;_modified&gt;64734679&lt;/_modified&gt;&lt;_pages&gt;1218-25&lt;/_pages&gt;&lt;_subject_headings&gt;*Adiposity; Adult; *Body Mass Index; Cardiovascular Diseases/*epidemiology/etiology/physiopathology; Female; Humans; Life Style; Middle Aged; Multivariate Analysis; Obesity, Abdominal/complications/*epidemiology/physiopathology; *Postpartum Period; Pregnancy; Prevalence; Regression Analysis; Risk Factors; Socioeconomic Factors; Waist Circumference; Weight Gain/*physiology&lt;/_subject_headings&gt;&lt;_tertiary_title&gt;The American journal of clinical nutrition&lt;/_tertiary_title&gt;&lt;_type_work&gt;Journal Article; Research Support, N.I.H., Extramural&lt;/_type_work&gt;&lt;_url&gt;http://www.ncbi.nlm.nih.gov/entrez/query.fcgi?cmd=Retrieve&amp;amp;db=pubmed&amp;amp;dopt=Abstract&amp;amp;list_uids=24047920&amp;amp;query_hl=1&lt;/_url&gt;&lt;_volume&gt;98&lt;/_volume&gt;&lt;/Details&gt;&lt;Extra&gt;&lt;DBUID&gt;{C818A046-6D8C-4B07-8765-4E05C48B46EA}&lt;/DBUID&gt;&lt;/Extra&gt;&lt;/Item&gt;&lt;/References&gt;&lt;/Group&gt;&lt;/Citation&gt;_x000a_"/>
    <w:docVar w:name="ne_docsoft" w:val="MSWord"/>
    <w:docVar w:name="ne_docversion" w:val="NoteExpress 2.0"/>
    <w:docVar w:name="ne_stylename" w:val="Archives of Gynecology Obstetrics New order"/>
  </w:docVars>
  <w:rsids>
    <w:rsidRoot w:val="00172A27"/>
    <w:rsid w:val="00000B86"/>
    <w:rsid w:val="0000345B"/>
    <w:rsid w:val="000131B2"/>
    <w:rsid w:val="00016689"/>
    <w:rsid w:val="00016F22"/>
    <w:rsid w:val="000331B0"/>
    <w:rsid w:val="00070F3A"/>
    <w:rsid w:val="00090389"/>
    <w:rsid w:val="00090EB2"/>
    <w:rsid w:val="00092086"/>
    <w:rsid w:val="0009275F"/>
    <w:rsid w:val="000B5989"/>
    <w:rsid w:val="000C053E"/>
    <w:rsid w:val="000C3E1C"/>
    <w:rsid w:val="000D48CC"/>
    <w:rsid w:val="000E6C18"/>
    <w:rsid w:val="0010204B"/>
    <w:rsid w:val="0010266D"/>
    <w:rsid w:val="00102874"/>
    <w:rsid w:val="00106556"/>
    <w:rsid w:val="00111312"/>
    <w:rsid w:val="00111736"/>
    <w:rsid w:val="00120542"/>
    <w:rsid w:val="00123282"/>
    <w:rsid w:val="001308AE"/>
    <w:rsid w:val="00137AD9"/>
    <w:rsid w:val="00147FB4"/>
    <w:rsid w:val="00157480"/>
    <w:rsid w:val="001671AD"/>
    <w:rsid w:val="00170C57"/>
    <w:rsid w:val="00172A27"/>
    <w:rsid w:val="0017784B"/>
    <w:rsid w:val="00182552"/>
    <w:rsid w:val="001957B5"/>
    <w:rsid w:val="001A6BEF"/>
    <w:rsid w:val="001C1544"/>
    <w:rsid w:val="001C3664"/>
    <w:rsid w:val="001D5882"/>
    <w:rsid w:val="001D61C5"/>
    <w:rsid w:val="001E37AF"/>
    <w:rsid w:val="001E7266"/>
    <w:rsid w:val="001F1315"/>
    <w:rsid w:val="001F5959"/>
    <w:rsid w:val="002008C2"/>
    <w:rsid w:val="00204AE3"/>
    <w:rsid w:val="00250F70"/>
    <w:rsid w:val="00253AC6"/>
    <w:rsid w:val="00254C7C"/>
    <w:rsid w:val="002749B7"/>
    <w:rsid w:val="0029504D"/>
    <w:rsid w:val="002B5887"/>
    <w:rsid w:val="002C5F34"/>
    <w:rsid w:val="002E1ACD"/>
    <w:rsid w:val="002E4F61"/>
    <w:rsid w:val="00303576"/>
    <w:rsid w:val="00322DAF"/>
    <w:rsid w:val="00324107"/>
    <w:rsid w:val="00340416"/>
    <w:rsid w:val="00385745"/>
    <w:rsid w:val="003A24A5"/>
    <w:rsid w:val="003D09A8"/>
    <w:rsid w:val="003E1E8B"/>
    <w:rsid w:val="003F176E"/>
    <w:rsid w:val="004022D0"/>
    <w:rsid w:val="00402485"/>
    <w:rsid w:val="00413553"/>
    <w:rsid w:val="00422790"/>
    <w:rsid w:val="004253E4"/>
    <w:rsid w:val="004304B8"/>
    <w:rsid w:val="00436F9E"/>
    <w:rsid w:val="00441C7B"/>
    <w:rsid w:val="00441C94"/>
    <w:rsid w:val="0044516E"/>
    <w:rsid w:val="004610D6"/>
    <w:rsid w:val="00462734"/>
    <w:rsid w:val="00466FCA"/>
    <w:rsid w:val="004679E3"/>
    <w:rsid w:val="00471DAE"/>
    <w:rsid w:val="00474AA4"/>
    <w:rsid w:val="00474C5D"/>
    <w:rsid w:val="004844E2"/>
    <w:rsid w:val="00485152"/>
    <w:rsid w:val="00495282"/>
    <w:rsid w:val="004A5C51"/>
    <w:rsid w:val="004B1657"/>
    <w:rsid w:val="004B4F72"/>
    <w:rsid w:val="004C70A5"/>
    <w:rsid w:val="004D30A9"/>
    <w:rsid w:val="004E5454"/>
    <w:rsid w:val="004E67E4"/>
    <w:rsid w:val="00533993"/>
    <w:rsid w:val="0053554B"/>
    <w:rsid w:val="00537190"/>
    <w:rsid w:val="00546746"/>
    <w:rsid w:val="00573DC0"/>
    <w:rsid w:val="00576309"/>
    <w:rsid w:val="0058134D"/>
    <w:rsid w:val="00585168"/>
    <w:rsid w:val="005908DA"/>
    <w:rsid w:val="00597BD5"/>
    <w:rsid w:val="005A182B"/>
    <w:rsid w:val="005C0559"/>
    <w:rsid w:val="005D3A92"/>
    <w:rsid w:val="005D60A5"/>
    <w:rsid w:val="005D6842"/>
    <w:rsid w:val="005E7E6D"/>
    <w:rsid w:val="005F1D62"/>
    <w:rsid w:val="006023D1"/>
    <w:rsid w:val="00602FB2"/>
    <w:rsid w:val="00613C97"/>
    <w:rsid w:val="00624B17"/>
    <w:rsid w:val="006379D7"/>
    <w:rsid w:val="006421EE"/>
    <w:rsid w:val="006659AC"/>
    <w:rsid w:val="0066676F"/>
    <w:rsid w:val="00667F7F"/>
    <w:rsid w:val="00670E3D"/>
    <w:rsid w:val="00681561"/>
    <w:rsid w:val="006843FA"/>
    <w:rsid w:val="00684497"/>
    <w:rsid w:val="00686E4A"/>
    <w:rsid w:val="00691DEB"/>
    <w:rsid w:val="006A3DDD"/>
    <w:rsid w:val="006C5EB8"/>
    <w:rsid w:val="006C70B6"/>
    <w:rsid w:val="006D0300"/>
    <w:rsid w:val="006D446C"/>
    <w:rsid w:val="007207B2"/>
    <w:rsid w:val="0072369B"/>
    <w:rsid w:val="00723BCF"/>
    <w:rsid w:val="00725BEC"/>
    <w:rsid w:val="00742A53"/>
    <w:rsid w:val="00744040"/>
    <w:rsid w:val="00753482"/>
    <w:rsid w:val="00757EA4"/>
    <w:rsid w:val="007638B1"/>
    <w:rsid w:val="00770014"/>
    <w:rsid w:val="0077497D"/>
    <w:rsid w:val="0077790E"/>
    <w:rsid w:val="00780E2D"/>
    <w:rsid w:val="0078191E"/>
    <w:rsid w:val="007A43BA"/>
    <w:rsid w:val="007A6281"/>
    <w:rsid w:val="007B09FD"/>
    <w:rsid w:val="007C3679"/>
    <w:rsid w:val="007C3761"/>
    <w:rsid w:val="007C543A"/>
    <w:rsid w:val="007D1478"/>
    <w:rsid w:val="00805750"/>
    <w:rsid w:val="008065F1"/>
    <w:rsid w:val="00807ABE"/>
    <w:rsid w:val="00831C46"/>
    <w:rsid w:val="00835028"/>
    <w:rsid w:val="0083603C"/>
    <w:rsid w:val="00854E18"/>
    <w:rsid w:val="00871FC7"/>
    <w:rsid w:val="00893E02"/>
    <w:rsid w:val="008A267A"/>
    <w:rsid w:val="008B204B"/>
    <w:rsid w:val="008D3F78"/>
    <w:rsid w:val="00906197"/>
    <w:rsid w:val="00910F50"/>
    <w:rsid w:val="009133C0"/>
    <w:rsid w:val="00914BAA"/>
    <w:rsid w:val="009422E0"/>
    <w:rsid w:val="00962876"/>
    <w:rsid w:val="00975797"/>
    <w:rsid w:val="00995008"/>
    <w:rsid w:val="009A2EC9"/>
    <w:rsid w:val="009A7ADB"/>
    <w:rsid w:val="009B145E"/>
    <w:rsid w:val="009D7F77"/>
    <w:rsid w:val="009F3446"/>
    <w:rsid w:val="00A068D1"/>
    <w:rsid w:val="00A1538A"/>
    <w:rsid w:val="00A56A83"/>
    <w:rsid w:val="00A75CA6"/>
    <w:rsid w:val="00A93402"/>
    <w:rsid w:val="00A93E8C"/>
    <w:rsid w:val="00A9411D"/>
    <w:rsid w:val="00AA7E46"/>
    <w:rsid w:val="00AB1793"/>
    <w:rsid w:val="00AC5703"/>
    <w:rsid w:val="00AC5E67"/>
    <w:rsid w:val="00AD01A0"/>
    <w:rsid w:val="00AD6E5F"/>
    <w:rsid w:val="00AE54AD"/>
    <w:rsid w:val="00B02796"/>
    <w:rsid w:val="00B03355"/>
    <w:rsid w:val="00B06774"/>
    <w:rsid w:val="00B148FD"/>
    <w:rsid w:val="00B222BA"/>
    <w:rsid w:val="00B23AB7"/>
    <w:rsid w:val="00B250DA"/>
    <w:rsid w:val="00B26A18"/>
    <w:rsid w:val="00B35750"/>
    <w:rsid w:val="00B37A4E"/>
    <w:rsid w:val="00B44191"/>
    <w:rsid w:val="00B450F1"/>
    <w:rsid w:val="00B609DA"/>
    <w:rsid w:val="00B701B0"/>
    <w:rsid w:val="00B8263F"/>
    <w:rsid w:val="00B865E8"/>
    <w:rsid w:val="00B97EE4"/>
    <w:rsid w:val="00BB2552"/>
    <w:rsid w:val="00BB2EBD"/>
    <w:rsid w:val="00BB32A8"/>
    <w:rsid w:val="00BB410C"/>
    <w:rsid w:val="00BC16D9"/>
    <w:rsid w:val="00BC4B86"/>
    <w:rsid w:val="00BC64D0"/>
    <w:rsid w:val="00BE4583"/>
    <w:rsid w:val="00BE4EBF"/>
    <w:rsid w:val="00BF77D1"/>
    <w:rsid w:val="00C02F7B"/>
    <w:rsid w:val="00C1727C"/>
    <w:rsid w:val="00C21238"/>
    <w:rsid w:val="00C37BB6"/>
    <w:rsid w:val="00C47231"/>
    <w:rsid w:val="00C47683"/>
    <w:rsid w:val="00C51B51"/>
    <w:rsid w:val="00C542FB"/>
    <w:rsid w:val="00C544E1"/>
    <w:rsid w:val="00C55DF1"/>
    <w:rsid w:val="00C60B79"/>
    <w:rsid w:val="00C63FDE"/>
    <w:rsid w:val="00C76DF9"/>
    <w:rsid w:val="00C77166"/>
    <w:rsid w:val="00CB2BF7"/>
    <w:rsid w:val="00CD00BE"/>
    <w:rsid w:val="00CD79A0"/>
    <w:rsid w:val="00CF7180"/>
    <w:rsid w:val="00CF7700"/>
    <w:rsid w:val="00D02738"/>
    <w:rsid w:val="00D067A5"/>
    <w:rsid w:val="00D12629"/>
    <w:rsid w:val="00D22663"/>
    <w:rsid w:val="00D24996"/>
    <w:rsid w:val="00D269A3"/>
    <w:rsid w:val="00D3698D"/>
    <w:rsid w:val="00D6426D"/>
    <w:rsid w:val="00D64579"/>
    <w:rsid w:val="00D70CBF"/>
    <w:rsid w:val="00D76555"/>
    <w:rsid w:val="00D81324"/>
    <w:rsid w:val="00D82597"/>
    <w:rsid w:val="00D932C4"/>
    <w:rsid w:val="00DA6CA6"/>
    <w:rsid w:val="00DB2BA2"/>
    <w:rsid w:val="00DD5413"/>
    <w:rsid w:val="00DE100E"/>
    <w:rsid w:val="00DE2F66"/>
    <w:rsid w:val="00DE332B"/>
    <w:rsid w:val="00DE7834"/>
    <w:rsid w:val="00E0597C"/>
    <w:rsid w:val="00E06BC7"/>
    <w:rsid w:val="00E10DAD"/>
    <w:rsid w:val="00E11881"/>
    <w:rsid w:val="00E11AA7"/>
    <w:rsid w:val="00E17B3B"/>
    <w:rsid w:val="00E316D2"/>
    <w:rsid w:val="00E33C68"/>
    <w:rsid w:val="00E363AA"/>
    <w:rsid w:val="00E434B7"/>
    <w:rsid w:val="00E61D67"/>
    <w:rsid w:val="00E62837"/>
    <w:rsid w:val="00E74A2B"/>
    <w:rsid w:val="00E773A1"/>
    <w:rsid w:val="00E80624"/>
    <w:rsid w:val="00EB3CB0"/>
    <w:rsid w:val="00EC47BB"/>
    <w:rsid w:val="00EC49A1"/>
    <w:rsid w:val="00EC7B09"/>
    <w:rsid w:val="00ED6D7C"/>
    <w:rsid w:val="00EE293B"/>
    <w:rsid w:val="00EE42F9"/>
    <w:rsid w:val="00EE51B5"/>
    <w:rsid w:val="00EF16D5"/>
    <w:rsid w:val="00EF493A"/>
    <w:rsid w:val="00F01633"/>
    <w:rsid w:val="00F11825"/>
    <w:rsid w:val="00F21501"/>
    <w:rsid w:val="00F31B8B"/>
    <w:rsid w:val="00F33ACE"/>
    <w:rsid w:val="00F6386F"/>
    <w:rsid w:val="00F70944"/>
    <w:rsid w:val="00F72668"/>
    <w:rsid w:val="00F865B2"/>
    <w:rsid w:val="00F92D00"/>
    <w:rsid w:val="00F967DA"/>
    <w:rsid w:val="00F97379"/>
    <w:rsid w:val="00FA08CA"/>
    <w:rsid w:val="00FA6B78"/>
    <w:rsid w:val="00FB4AE0"/>
    <w:rsid w:val="00FC5EAB"/>
    <w:rsid w:val="00FF1F5E"/>
    <w:rsid w:val="015123B9"/>
    <w:rsid w:val="01550582"/>
    <w:rsid w:val="023647C5"/>
    <w:rsid w:val="030F469D"/>
    <w:rsid w:val="033E1739"/>
    <w:rsid w:val="03995956"/>
    <w:rsid w:val="03E15210"/>
    <w:rsid w:val="050D7AA1"/>
    <w:rsid w:val="05C475BB"/>
    <w:rsid w:val="066D1B34"/>
    <w:rsid w:val="06A57A27"/>
    <w:rsid w:val="07425320"/>
    <w:rsid w:val="07760121"/>
    <w:rsid w:val="079619B8"/>
    <w:rsid w:val="07A732CD"/>
    <w:rsid w:val="08692C29"/>
    <w:rsid w:val="090806BD"/>
    <w:rsid w:val="090B17BD"/>
    <w:rsid w:val="092F05DD"/>
    <w:rsid w:val="09815806"/>
    <w:rsid w:val="0A2D5046"/>
    <w:rsid w:val="0A5B0B51"/>
    <w:rsid w:val="0AE678F0"/>
    <w:rsid w:val="0B354E77"/>
    <w:rsid w:val="0B695606"/>
    <w:rsid w:val="0C6A0A09"/>
    <w:rsid w:val="0CEF2A86"/>
    <w:rsid w:val="0D196880"/>
    <w:rsid w:val="0E2214CA"/>
    <w:rsid w:val="0E4B7018"/>
    <w:rsid w:val="0E79621A"/>
    <w:rsid w:val="0EBF229F"/>
    <w:rsid w:val="0F73799F"/>
    <w:rsid w:val="10342FAF"/>
    <w:rsid w:val="10F265C2"/>
    <w:rsid w:val="113851E7"/>
    <w:rsid w:val="119F2F9C"/>
    <w:rsid w:val="13926CC7"/>
    <w:rsid w:val="14C15480"/>
    <w:rsid w:val="151A7EAA"/>
    <w:rsid w:val="151F6B36"/>
    <w:rsid w:val="156B625F"/>
    <w:rsid w:val="165A4C99"/>
    <w:rsid w:val="16EA71BE"/>
    <w:rsid w:val="17991F6C"/>
    <w:rsid w:val="1867206B"/>
    <w:rsid w:val="19062066"/>
    <w:rsid w:val="19737964"/>
    <w:rsid w:val="19860298"/>
    <w:rsid w:val="1A0E53B8"/>
    <w:rsid w:val="1A1664B6"/>
    <w:rsid w:val="1A78211C"/>
    <w:rsid w:val="1AAC0FDB"/>
    <w:rsid w:val="1ACE2356"/>
    <w:rsid w:val="1AF63BE2"/>
    <w:rsid w:val="1C184FE6"/>
    <w:rsid w:val="1C5A1520"/>
    <w:rsid w:val="1C7C04A8"/>
    <w:rsid w:val="1DD650DD"/>
    <w:rsid w:val="1E291B0E"/>
    <w:rsid w:val="1E301B9F"/>
    <w:rsid w:val="1F3709E9"/>
    <w:rsid w:val="1F62533A"/>
    <w:rsid w:val="206214B3"/>
    <w:rsid w:val="20C57DD2"/>
    <w:rsid w:val="22407BB4"/>
    <w:rsid w:val="224B04A6"/>
    <w:rsid w:val="228850B7"/>
    <w:rsid w:val="24210E04"/>
    <w:rsid w:val="255A269D"/>
    <w:rsid w:val="25B71060"/>
    <w:rsid w:val="25C248B7"/>
    <w:rsid w:val="25DA1C19"/>
    <w:rsid w:val="25E70642"/>
    <w:rsid w:val="270C517B"/>
    <w:rsid w:val="274243CE"/>
    <w:rsid w:val="27D67843"/>
    <w:rsid w:val="285550F4"/>
    <w:rsid w:val="28784840"/>
    <w:rsid w:val="28A6151B"/>
    <w:rsid w:val="2920316B"/>
    <w:rsid w:val="2A33604B"/>
    <w:rsid w:val="2B5673A0"/>
    <w:rsid w:val="2C1B3A9D"/>
    <w:rsid w:val="2CC4271B"/>
    <w:rsid w:val="2CF37895"/>
    <w:rsid w:val="2D4E33E8"/>
    <w:rsid w:val="2D720E3E"/>
    <w:rsid w:val="2D880661"/>
    <w:rsid w:val="2DF97C81"/>
    <w:rsid w:val="2E340D04"/>
    <w:rsid w:val="2E417CDC"/>
    <w:rsid w:val="2ECE16EB"/>
    <w:rsid w:val="2F9A5991"/>
    <w:rsid w:val="2FF03552"/>
    <w:rsid w:val="30CB0EB8"/>
    <w:rsid w:val="311D7312"/>
    <w:rsid w:val="32333FCD"/>
    <w:rsid w:val="329F36E9"/>
    <w:rsid w:val="356765A4"/>
    <w:rsid w:val="36072288"/>
    <w:rsid w:val="361554F3"/>
    <w:rsid w:val="368B21D6"/>
    <w:rsid w:val="36E9029A"/>
    <w:rsid w:val="37264C3C"/>
    <w:rsid w:val="38580356"/>
    <w:rsid w:val="38A02D03"/>
    <w:rsid w:val="38AF290A"/>
    <w:rsid w:val="39113C01"/>
    <w:rsid w:val="3A17791A"/>
    <w:rsid w:val="3A1A0E6B"/>
    <w:rsid w:val="3A564669"/>
    <w:rsid w:val="3A7B5405"/>
    <w:rsid w:val="3A8E26C5"/>
    <w:rsid w:val="3C0A0432"/>
    <w:rsid w:val="3C0B2B89"/>
    <w:rsid w:val="3C1949A5"/>
    <w:rsid w:val="3C30280E"/>
    <w:rsid w:val="3E1432DA"/>
    <w:rsid w:val="3E907376"/>
    <w:rsid w:val="40B2116C"/>
    <w:rsid w:val="40DF44C7"/>
    <w:rsid w:val="41707FFD"/>
    <w:rsid w:val="41AE0173"/>
    <w:rsid w:val="42C679B6"/>
    <w:rsid w:val="42DD015F"/>
    <w:rsid w:val="43C033FB"/>
    <w:rsid w:val="43CC27E0"/>
    <w:rsid w:val="44860456"/>
    <w:rsid w:val="47215957"/>
    <w:rsid w:val="4AD21688"/>
    <w:rsid w:val="4B2D2E21"/>
    <w:rsid w:val="4BF83861"/>
    <w:rsid w:val="4C576ECB"/>
    <w:rsid w:val="4C9425B6"/>
    <w:rsid w:val="4C9F0176"/>
    <w:rsid w:val="4CA01A84"/>
    <w:rsid w:val="4CCC3DA5"/>
    <w:rsid w:val="4F6C1739"/>
    <w:rsid w:val="50834942"/>
    <w:rsid w:val="50846D62"/>
    <w:rsid w:val="51A134FE"/>
    <w:rsid w:val="52257DBE"/>
    <w:rsid w:val="525C4EFC"/>
    <w:rsid w:val="52DA06ED"/>
    <w:rsid w:val="53873BB8"/>
    <w:rsid w:val="53977858"/>
    <w:rsid w:val="53B53B29"/>
    <w:rsid w:val="53EC4663"/>
    <w:rsid w:val="53F5614F"/>
    <w:rsid w:val="54A86D6F"/>
    <w:rsid w:val="54C142D5"/>
    <w:rsid w:val="55393E6B"/>
    <w:rsid w:val="55496A0C"/>
    <w:rsid w:val="55A34CA2"/>
    <w:rsid w:val="55C24D64"/>
    <w:rsid w:val="56FA587C"/>
    <w:rsid w:val="579801F1"/>
    <w:rsid w:val="586032BF"/>
    <w:rsid w:val="58D8784A"/>
    <w:rsid w:val="58EF6674"/>
    <w:rsid w:val="59C26E42"/>
    <w:rsid w:val="5AA657CF"/>
    <w:rsid w:val="5BF3649C"/>
    <w:rsid w:val="5C4D2780"/>
    <w:rsid w:val="5C9522CF"/>
    <w:rsid w:val="5D720862"/>
    <w:rsid w:val="5E652175"/>
    <w:rsid w:val="5EA11A5E"/>
    <w:rsid w:val="5ECE6AFB"/>
    <w:rsid w:val="5F13397F"/>
    <w:rsid w:val="5F257A34"/>
    <w:rsid w:val="5F80208F"/>
    <w:rsid w:val="6080691A"/>
    <w:rsid w:val="60A513A1"/>
    <w:rsid w:val="60CC01A3"/>
    <w:rsid w:val="63A334DF"/>
    <w:rsid w:val="64F819B7"/>
    <w:rsid w:val="66865EB3"/>
    <w:rsid w:val="66A5387D"/>
    <w:rsid w:val="6757392B"/>
    <w:rsid w:val="68B400A6"/>
    <w:rsid w:val="69F43FD8"/>
    <w:rsid w:val="6CF06E1B"/>
    <w:rsid w:val="6E5F380F"/>
    <w:rsid w:val="6E95515B"/>
    <w:rsid w:val="6ED97735"/>
    <w:rsid w:val="6F7D270C"/>
    <w:rsid w:val="71976D97"/>
    <w:rsid w:val="73740A39"/>
    <w:rsid w:val="73EB6821"/>
    <w:rsid w:val="74AD4B8B"/>
    <w:rsid w:val="75361B5B"/>
    <w:rsid w:val="75527D9C"/>
    <w:rsid w:val="75B62C86"/>
    <w:rsid w:val="763A7895"/>
    <w:rsid w:val="76A46562"/>
    <w:rsid w:val="77145600"/>
    <w:rsid w:val="777F31C6"/>
    <w:rsid w:val="78B07E9C"/>
    <w:rsid w:val="79621476"/>
    <w:rsid w:val="7965459A"/>
    <w:rsid w:val="79ED63F9"/>
    <w:rsid w:val="7A067F11"/>
    <w:rsid w:val="7A190DC7"/>
    <w:rsid w:val="7AD32A1E"/>
    <w:rsid w:val="7B5D0004"/>
    <w:rsid w:val="7BE73D72"/>
    <w:rsid w:val="7CBA254D"/>
    <w:rsid w:val="7CDB4C5A"/>
    <w:rsid w:val="7E9B0AB8"/>
    <w:rsid w:val="7F4A4D43"/>
    <w:rsid w:val="7F6C4CE6"/>
    <w:rsid w:val="7F7D2A23"/>
    <w:rsid w:val="7FC625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F8AFF4B"/>
  <w15:docId w15:val="{C2498880-5283-44FD-96A5-ABFBDE27A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Calibri" w:hAnsi="Calibri"/>
      <w:kern w:val="2"/>
      <w:sz w:val="21"/>
      <w:szCs w:val="21"/>
    </w:rPr>
  </w:style>
  <w:style w:type="paragraph" w:styleId="Heading1">
    <w:name w:val="heading 1"/>
    <w:basedOn w:val="Normal"/>
    <w:next w:val="Normal"/>
    <w:qFormat/>
    <w:pPr>
      <w:spacing w:beforeAutospacing="1" w:afterAutospacing="1"/>
      <w:jc w:val="left"/>
      <w:outlineLvl w:val="0"/>
    </w:pPr>
    <w:rPr>
      <w:rFonts w:ascii="SimSun" w:hAnsi="SimSun" w:hint="eastAsia"/>
      <w:b/>
      <w:bCs/>
      <w:kern w:val="44"/>
      <w:sz w:val="48"/>
      <w:szCs w:val="48"/>
    </w:rPr>
  </w:style>
  <w:style w:type="paragraph" w:styleId="Heading2">
    <w:name w:val="heading 2"/>
    <w:basedOn w:val="Normal"/>
    <w:next w:val="Normal"/>
    <w:semiHidden/>
    <w:unhideWhenUsed/>
    <w:qFormat/>
    <w:pPr>
      <w:spacing w:beforeAutospacing="1" w:afterAutospacing="1"/>
      <w:jc w:val="left"/>
      <w:outlineLvl w:val="1"/>
    </w:pPr>
    <w:rPr>
      <w:rFonts w:ascii="SimSun" w:hAnsi="SimSun" w:hint="eastAsia"/>
      <w:b/>
      <w:bCs/>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rPr>
      <w:rFonts w:ascii="Tahoma" w:hAnsi="Tahoma" w:cs="Tahoma"/>
      <w:sz w:val="16"/>
      <w:szCs w:val="20"/>
    </w:rPr>
  </w:style>
  <w:style w:type="paragraph" w:styleId="Footer">
    <w:name w:val="footer"/>
    <w:basedOn w:val="Normal"/>
    <w:link w:val="FooterChar"/>
    <w:uiPriority w:val="99"/>
    <w:qFormat/>
    <w:pPr>
      <w:tabs>
        <w:tab w:val="center" w:pos="4153"/>
        <w:tab w:val="right" w:pos="8306"/>
      </w:tabs>
      <w:snapToGrid w:val="0"/>
      <w:jc w:val="left"/>
    </w:pPr>
    <w:rPr>
      <w:sz w:val="18"/>
      <w:szCs w:val="18"/>
    </w:rPr>
  </w:style>
  <w:style w:type="paragraph" w:styleId="Header">
    <w:name w:val="header"/>
    <w:basedOn w:val="Normal"/>
    <w:link w:val="HeaderChar"/>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qFormat/>
    <w:pPr>
      <w:spacing w:beforeAutospacing="1" w:afterAutospacing="1"/>
      <w:jc w:val="left"/>
    </w:pPr>
    <w:rPr>
      <w:kern w:val="0"/>
      <w:sz w:val="24"/>
    </w:rPr>
  </w:style>
  <w:style w:type="character" w:styleId="Strong">
    <w:name w:val="Strong"/>
    <w:basedOn w:val="DefaultParagraphFont"/>
    <w:qFormat/>
    <w:rPr>
      <w:b/>
    </w:rPr>
  </w:style>
  <w:style w:type="character" w:styleId="Emphasis">
    <w:name w:val="Emphasis"/>
    <w:basedOn w:val="DefaultParagraphFont"/>
    <w:uiPriority w:val="20"/>
    <w:qFormat/>
    <w:rPr>
      <w:i/>
    </w:rPr>
  </w:style>
  <w:style w:type="character" w:styleId="Hyperlink">
    <w:name w:val="Hyperlink"/>
    <w:basedOn w:val="DefaultParagraphFont"/>
    <w:qFormat/>
    <w:rPr>
      <w:color w:val="0000FF"/>
      <w:u w:val="single"/>
    </w:rPr>
  </w:style>
  <w:style w:type="character" w:styleId="CommentReference">
    <w:name w:val="annotation reference"/>
    <w:basedOn w:val="DefaultParagraphFont"/>
    <w:qFormat/>
    <w:rPr>
      <w:sz w:val="16"/>
      <w:szCs w:val="16"/>
    </w:rPr>
  </w:style>
  <w:style w:type="paragraph" w:customStyle="1" w:styleId="00000000-0000-0000-0000-000000000001">
    <w:name w:val="_00000000-0000-0000-0000-000000000001_"/>
    <w:unhideWhenUsed/>
    <w:qFormat/>
    <w:pPr>
      <w:widowControl w:val="0"/>
      <w:autoSpaceDE w:val="0"/>
      <w:autoSpaceDN w:val="0"/>
      <w:adjustRightInd w:val="0"/>
      <w:spacing w:line="360" w:lineRule="auto"/>
    </w:pPr>
    <w:rPr>
      <w:sz w:val="24"/>
      <w:szCs w:val="24"/>
      <w:lang w:eastAsia="en-US"/>
    </w:rPr>
  </w:style>
  <w:style w:type="character" w:customStyle="1" w:styleId="font21">
    <w:name w:val="font21"/>
    <w:basedOn w:val="DefaultParagraphFont"/>
    <w:qFormat/>
    <w:rPr>
      <w:rFonts w:ascii="SimSun" w:eastAsia="SimSun" w:hAnsi="SimSun" w:cs="SimSun" w:hint="eastAsia"/>
      <w:color w:val="000000"/>
      <w:sz w:val="12"/>
      <w:szCs w:val="12"/>
      <w:u w:val="none"/>
    </w:rPr>
  </w:style>
  <w:style w:type="character" w:customStyle="1" w:styleId="font31">
    <w:name w:val="font31"/>
    <w:basedOn w:val="DefaultParagraphFont"/>
    <w:qFormat/>
    <w:rPr>
      <w:rFonts w:ascii="SimSun" w:eastAsia="SimSun" w:hAnsi="SimSun" w:cs="SimSun" w:hint="eastAsia"/>
      <w:color w:val="000000"/>
      <w:sz w:val="12"/>
      <w:szCs w:val="12"/>
      <w:u w:val="none"/>
      <w:vertAlign w:val="superscript"/>
    </w:rPr>
  </w:style>
  <w:style w:type="character" w:customStyle="1" w:styleId="font01">
    <w:name w:val="font01"/>
    <w:basedOn w:val="DefaultParagraphFont"/>
    <w:qFormat/>
    <w:rPr>
      <w:rFonts w:ascii="Microsoft YaHei" w:eastAsia="Microsoft YaHei" w:hAnsi="Microsoft YaHei" w:cs="Microsoft YaHei"/>
      <w:color w:val="000000"/>
      <w:sz w:val="12"/>
      <w:szCs w:val="12"/>
      <w:u w:val="none"/>
    </w:rPr>
  </w:style>
  <w:style w:type="paragraph" w:customStyle="1" w:styleId="MDPI16affiliation">
    <w:name w:val="MDPI_1.6_affiliation"/>
    <w:basedOn w:val="Normal"/>
    <w:qFormat/>
    <w:pPr>
      <w:widowControl/>
      <w:adjustRightInd w:val="0"/>
      <w:snapToGrid w:val="0"/>
      <w:spacing w:line="200" w:lineRule="atLeast"/>
      <w:ind w:left="2806" w:hanging="198"/>
      <w:jc w:val="left"/>
    </w:pPr>
    <w:rPr>
      <w:rFonts w:ascii="Palatino Linotype" w:eastAsia="Times New Roman" w:hAnsi="Palatino Linotype"/>
      <w:color w:val="000000"/>
      <w:kern w:val="0"/>
      <w:sz w:val="16"/>
      <w:szCs w:val="18"/>
    </w:rPr>
  </w:style>
  <w:style w:type="character" w:customStyle="1" w:styleId="font81">
    <w:name w:val="font81"/>
    <w:basedOn w:val="DefaultParagraphFont"/>
    <w:qFormat/>
    <w:rPr>
      <w:rFonts w:ascii="Segoe UI Symbol" w:eastAsia="Segoe UI Symbol" w:hAnsi="Segoe UI Symbol" w:cs="Segoe UI Symbol"/>
      <w:color w:val="000000"/>
      <w:sz w:val="22"/>
      <w:szCs w:val="22"/>
      <w:u w:val="none"/>
    </w:rPr>
  </w:style>
  <w:style w:type="character" w:customStyle="1" w:styleId="font61">
    <w:name w:val="font61"/>
    <w:basedOn w:val="DefaultParagraphFont"/>
    <w:qFormat/>
    <w:rPr>
      <w:rFonts w:ascii="SimSun" w:eastAsia="SimSun" w:hAnsi="SimSun" w:cs="SimSun" w:hint="eastAsia"/>
      <w:color w:val="000000"/>
      <w:sz w:val="16"/>
      <w:szCs w:val="16"/>
      <w:u w:val="none"/>
    </w:rPr>
  </w:style>
  <w:style w:type="character" w:customStyle="1" w:styleId="font51">
    <w:name w:val="font51"/>
    <w:basedOn w:val="DefaultParagraphFont"/>
    <w:qFormat/>
    <w:rPr>
      <w:rFonts w:ascii="Arial" w:hAnsi="Arial" w:cs="Arial" w:hint="default"/>
      <w:color w:val="000000"/>
      <w:sz w:val="16"/>
      <w:szCs w:val="16"/>
      <w:u w:val="none"/>
    </w:rPr>
  </w:style>
  <w:style w:type="character" w:customStyle="1" w:styleId="font71">
    <w:name w:val="font71"/>
    <w:basedOn w:val="DefaultParagraphFont"/>
    <w:qFormat/>
    <w:rPr>
      <w:rFonts w:ascii="Arial" w:hAnsi="Arial" w:cs="Arial" w:hint="default"/>
      <w:color w:val="000000"/>
      <w:sz w:val="16"/>
      <w:szCs w:val="16"/>
      <w:u w:val="none"/>
    </w:rPr>
  </w:style>
  <w:style w:type="character" w:customStyle="1" w:styleId="HeaderChar">
    <w:name w:val="Header Char"/>
    <w:basedOn w:val="DefaultParagraphFont"/>
    <w:link w:val="Header"/>
    <w:qFormat/>
    <w:rPr>
      <w:rFonts w:ascii="Calibri" w:hAnsi="Calibri"/>
      <w:kern w:val="2"/>
      <w:sz w:val="18"/>
      <w:szCs w:val="18"/>
    </w:rPr>
  </w:style>
  <w:style w:type="character" w:customStyle="1" w:styleId="FooterChar">
    <w:name w:val="Footer Char"/>
    <w:basedOn w:val="DefaultParagraphFont"/>
    <w:link w:val="Footer"/>
    <w:uiPriority w:val="99"/>
    <w:qFormat/>
    <w:rPr>
      <w:rFonts w:ascii="Calibri" w:hAnsi="Calibri"/>
      <w:kern w:val="2"/>
      <w:sz w:val="18"/>
      <w:szCs w:val="18"/>
    </w:rPr>
  </w:style>
  <w:style w:type="paragraph" w:styleId="ListParagraph">
    <w:name w:val="List Paragraph"/>
    <w:basedOn w:val="Normal"/>
    <w:uiPriority w:val="99"/>
    <w:qFormat/>
    <w:pPr>
      <w:ind w:firstLineChars="200" w:firstLine="420"/>
    </w:pPr>
  </w:style>
  <w:style w:type="paragraph" w:customStyle="1" w:styleId="1">
    <w:name w:val="修订1"/>
    <w:hidden/>
    <w:uiPriority w:val="99"/>
    <w:semiHidden/>
    <w:qFormat/>
    <w:rPr>
      <w:rFonts w:ascii="Calibri" w:hAnsi="Calibri"/>
      <w:kern w:val="2"/>
      <w:sz w:val="21"/>
      <w:szCs w:val="21"/>
    </w:rPr>
  </w:style>
  <w:style w:type="paragraph" w:styleId="Revision">
    <w:name w:val="Revision"/>
    <w:hidden/>
    <w:uiPriority w:val="99"/>
    <w:semiHidden/>
    <w:rsid w:val="003E1E8B"/>
    <w:rPr>
      <w:rFonts w:ascii="Calibri" w:hAnsi="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7343074">
      <w:bodyDiv w:val="1"/>
      <w:marLeft w:val="0"/>
      <w:marRight w:val="0"/>
      <w:marTop w:val="0"/>
      <w:marBottom w:val="0"/>
      <w:divBdr>
        <w:top w:val="none" w:sz="0" w:space="0" w:color="auto"/>
        <w:left w:val="none" w:sz="0" w:space="0" w:color="auto"/>
        <w:bottom w:val="none" w:sz="0" w:space="0" w:color="auto"/>
        <w:right w:val="none" w:sz="0" w:space="0" w:color="auto"/>
      </w:divBdr>
    </w:div>
    <w:div w:id="15503433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737DF7D2-B560-4B01-95E1-83225D65B42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1033</Words>
  <Characters>5893</Characters>
  <Application>Microsoft Office Word</Application>
  <DocSecurity>0</DocSecurity>
  <Lines>49</Lines>
  <Paragraphs>13</Paragraphs>
  <ScaleCrop>false</ScaleCrop>
  <Company/>
  <LinksUpToDate>false</LinksUpToDate>
  <CharactersWithSpaces>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元气满满</dc:creator>
  <dc:description>NE.Ref</dc:description>
  <cp:lastModifiedBy>Pradeep</cp:lastModifiedBy>
  <cp:revision>2</cp:revision>
  <dcterms:created xsi:type="dcterms:W3CDTF">2023-04-03T09:57:00Z</dcterms:created>
  <dcterms:modified xsi:type="dcterms:W3CDTF">2023-04-03T09:57:00Z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F6CC84A733D24749B362FC112252585A</vt:lpwstr>
  </property>
</Properties>
</file>