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  <w:r w:rsidRPr="00504565">
        <w:rPr>
          <w:rFonts w:ascii="Arial" w:hAnsi="Arial"/>
          <w:b/>
          <w:sz w:val="20"/>
          <w:lang w:val="en-US"/>
        </w:rPr>
        <w:t>Supplementary Materials:</w:t>
      </w:r>
      <w:r w:rsidRPr="00504565">
        <w:rPr>
          <w:rFonts w:ascii="Arial" w:hAnsi="Arial"/>
          <w:sz w:val="20"/>
          <w:lang w:val="en-US"/>
        </w:rPr>
        <w:t xml:space="preserve"> </w:t>
      </w:r>
    </w:p>
    <w:p w:rsidR="003A0E3C" w:rsidRDefault="003A0E3C" w:rsidP="003A0E3C">
      <w:pPr>
        <w:adjustRightInd w:val="0"/>
        <w:snapToGrid w:val="0"/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adjustRightInd w:val="0"/>
        <w:snapToGrid w:val="0"/>
        <w:spacing w:line="480" w:lineRule="auto"/>
        <w:rPr>
          <w:rFonts w:ascii="Arial" w:hAnsi="Arial"/>
          <w:b/>
          <w:sz w:val="20"/>
          <w:szCs w:val="20"/>
          <w:lang w:val="en-US"/>
        </w:rPr>
      </w:pPr>
      <w:r w:rsidRPr="00504565">
        <w:rPr>
          <w:rFonts w:ascii="Arial" w:hAnsi="Arial"/>
          <w:b/>
          <w:sz w:val="20"/>
          <w:szCs w:val="20"/>
          <w:lang w:val="en-US"/>
        </w:rPr>
        <w:t>EP300 Promotes Cancer Stem Cell Phenotype, Tumor Growth and Metastasis in Triple Negative Breast Cancer</w:t>
      </w:r>
    </w:p>
    <w:p w:rsidR="003A0E3C" w:rsidRPr="00504565" w:rsidRDefault="003A0E3C" w:rsidP="003A0E3C">
      <w:pPr>
        <w:pStyle w:val="MDPI13authornames"/>
        <w:spacing w:after="0" w:line="480" w:lineRule="auto"/>
        <w:rPr>
          <w:rFonts w:ascii="Arial" w:hAnsi="Arial"/>
          <w:szCs w:val="20"/>
        </w:rPr>
      </w:pPr>
    </w:p>
    <w:p w:rsidR="003A0E3C" w:rsidRPr="00BA6092" w:rsidRDefault="003A0E3C" w:rsidP="003A0E3C">
      <w:pPr>
        <w:pStyle w:val="MDPI13authornames"/>
        <w:spacing w:after="0" w:line="480" w:lineRule="auto"/>
        <w:rPr>
          <w:rFonts w:ascii="Arial" w:hAnsi="Arial"/>
          <w:b w:val="0"/>
          <w:bCs/>
          <w:szCs w:val="20"/>
          <w:lang w:val="de-CH"/>
        </w:rPr>
      </w:pPr>
      <w:r w:rsidRPr="00BA6092">
        <w:rPr>
          <w:rFonts w:ascii="Arial" w:hAnsi="Arial"/>
          <w:b w:val="0"/>
          <w:bCs/>
          <w:szCs w:val="20"/>
          <w:lang w:val="de-CH"/>
        </w:rPr>
        <w:t xml:space="preserve">Alexander Ring </w:t>
      </w:r>
      <w:r w:rsidRPr="00BA6092">
        <w:rPr>
          <w:rFonts w:ascii="Arial" w:hAnsi="Arial"/>
          <w:b w:val="0"/>
          <w:bCs/>
          <w:szCs w:val="20"/>
          <w:vertAlign w:val="superscript"/>
          <w:lang w:val="de-CH"/>
        </w:rPr>
        <w:t>1,</w:t>
      </w:r>
      <w:proofErr w:type="gramStart"/>
      <w:r w:rsidRPr="00BA6092">
        <w:rPr>
          <w:rFonts w:ascii="Arial" w:hAnsi="Arial"/>
          <w:b w:val="0"/>
          <w:bCs/>
          <w:szCs w:val="20"/>
          <w:vertAlign w:val="superscript"/>
          <w:lang w:val="de-CH"/>
        </w:rPr>
        <w:t>2,</w:t>
      </w:r>
      <w:r w:rsidRPr="00BA6092">
        <w:rPr>
          <w:rFonts w:ascii="Arial" w:hAnsi="Arial"/>
          <w:b w:val="0"/>
          <w:bCs/>
          <w:szCs w:val="20"/>
          <w:lang w:val="de-CH"/>
        </w:rPr>
        <w:t>*</w:t>
      </w:r>
      <w:proofErr w:type="gramEnd"/>
      <w:r w:rsidRPr="00BA6092">
        <w:rPr>
          <w:rFonts w:ascii="Arial" w:hAnsi="Arial"/>
          <w:b w:val="0"/>
          <w:bCs/>
          <w:szCs w:val="20"/>
          <w:lang w:val="de-CH"/>
        </w:rPr>
        <w:t xml:space="preserve">, </w:t>
      </w:r>
      <w:proofErr w:type="spellStart"/>
      <w:r w:rsidRPr="00BA6092">
        <w:rPr>
          <w:rFonts w:ascii="Arial" w:hAnsi="Arial"/>
          <w:b w:val="0"/>
          <w:bCs/>
          <w:szCs w:val="20"/>
          <w:lang w:val="de-CH"/>
        </w:rPr>
        <w:t>Pushpinder</w:t>
      </w:r>
      <w:proofErr w:type="spellEnd"/>
      <w:r w:rsidRPr="00BA6092">
        <w:rPr>
          <w:rFonts w:ascii="Arial" w:hAnsi="Arial"/>
          <w:b w:val="0"/>
          <w:bCs/>
          <w:szCs w:val="20"/>
          <w:lang w:val="de-CH"/>
        </w:rPr>
        <w:t xml:space="preserve"> Kaur </w:t>
      </w:r>
      <w:r w:rsidRPr="00BA6092">
        <w:rPr>
          <w:rFonts w:ascii="Arial" w:hAnsi="Arial"/>
          <w:b w:val="0"/>
          <w:bCs/>
          <w:szCs w:val="20"/>
          <w:vertAlign w:val="superscript"/>
          <w:lang w:val="de-CH"/>
        </w:rPr>
        <w:t>1</w:t>
      </w:r>
      <w:r w:rsidRPr="00BA6092">
        <w:rPr>
          <w:rFonts w:ascii="Arial" w:hAnsi="Arial"/>
          <w:b w:val="0"/>
          <w:bCs/>
          <w:szCs w:val="20"/>
          <w:lang w:val="de-CH"/>
        </w:rPr>
        <w:t xml:space="preserve"> </w:t>
      </w:r>
      <w:proofErr w:type="spellStart"/>
      <w:r w:rsidRPr="00BA6092">
        <w:rPr>
          <w:rFonts w:ascii="Arial" w:hAnsi="Arial"/>
          <w:b w:val="0"/>
          <w:bCs/>
          <w:szCs w:val="20"/>
          <w:lang w:val="de-CH"/>
        </w:rPr>
        <w:t>and</w:t>
      </w:r>
      <w:proofErr w:type="spellEnd"/>
      <w:r w:rsidRPr="00BA6092">
        <w:rPr>
          <w:rFonts w:ascii="Arial" w:hAnsi="Arial"/>
          <w:b w:val="0"/>
          <w:bCs/>
          <w:szCs w:val="20"/>
          <w:lang w:val="de-CH"/>
        </w:rPr>
        <w:t xml:space="preserve"> Julie E. Lang </w:t>
      </w:r>
      <w:r w:rsidRPr="00BA6092">
        <w:rPr>
          <w:rFonts w:ascii="Arial" w:hAnsi="Arial"/>
          <w:b w:val="0"/>
          <w:bCs/>
          <w:szCs w:val="20"/>
          <w:vertAlign w:val="superscript"/>
          <w:lang w:val="de-CH"/>
        </w:rPr>
        <w:t>1</w:t>
      </w:r>
    </w:p>
    <w:p w:rsidR="003A0E3C" w:rsidRPr="00504565" w:rsidRDefault="003A0E3C" w:rsidP="003A0E3C">
      <w:pPr>
        <w:pStyle w:val="MDPI16affiliation"/>
        <w:spacing w:line="480" w:lineRule="auto"/>
        <w:rPr>
          <w:rFonts w:ascii="Arial" w:hAnsi="Arial"/>
          <w:sz w:val="20"/>
          <w:szCs w:val="20"/>
        </w:rPr>
      </w:pPr>
      <w:r w:rsidRPr="00504565">
        <w:rPr>
          <w:rFonts w:ascii="Arial" w:hAnsi="Arial"/>
          <w:sz w:val="20"/>
          <w:szCs w:val="20"/>
          <w:vertAlign w:val="superscript"/>
        </w:rPr>
        <w:t>1</w:t>
      </w:r>
      <w:r w:rsidRPr="00504565">
        <w:rPr>
          <w:rFonts w:ascii="Arial" w:hAnsi="Arial"/>
          <w:sz w:val="20"/>
          <w:szCs w:val="20"/>
        </w:rPr>
        <w:tab/>
        <w:t>Division of Surgical Oncology, Department of Surgery and University of Southern California Norris Cancer Center, University of Southern California, Los Angeles, CA, USA</w:t>
      </w:r>
    </w:p>
    <w:p w:rsidR="003A0E3C" w:rsidRPr="00504565" w:rsidRDefault="003A0E3C" w:rsidP="003A0E3C">
      <w:pPr>
        <w:pStyle w:val="MDPI16affiliation"/>
        <w:spacing w:line="480" w:lineRule="auto"/>
        <w:rPr>
          <w:rFonts w:ascii="Arial" w:hAnsi="Arial"/>
          <w:sz w:val="20"/>
          <w:szCs w:val="20"/>
        </w:rPr>
      </w:pPr>
      <w:r w:rsidRPr="00504565">
        <w:rPr>
          <w:rFonts w:ascii="Arial" w:hAnsi="Arial"/>
          <w:sz w:val="20"/>
          <w:szCs w:val="20"/>
          <w:vertAlign w:val="superscript"/>
        </w:rPr>
        <w:t>2</w:t>
      </w:r>
      <w:r w:rsidRPr="00504565">
        <w:rPr>
          <w:rFonts w:ascii="Arial" w:hAnsi="Arial"/>
          <w:sz w:val="20"/>
          <w:szCs w:val="20"/>
        </w:rPr>
        <w:tab/>
        <w:t>Current Address: Department of Hematology and Oncology, University Hospital Zurich, Zurich, Switzerland</w:t>
      </w:r>
    </w:p>
    <w:p w:rsidR="003A0E3C" w:rsidRPr="00504565" w:rsidRDefault="003A0E3C" w:rsidP="003A0E3C">
      <w:pPr>
        <w:pStyle w:val="MDPI14history"/>
        <w:spacing w:before="0" w:line="480" w:lineRule="auto"/>
        <w:ind w:left="311" w:hanging="198"/>
        <w:rPr>
          <w:rFonts w:ascii="Arial" w:hAnsi="Arial"/>
          <w:sz w:val="20"/>
        </w:rPr>
      </w:pPr>
      <w:r w:rsidRPr="00504565">
        <w:rPr>
          <w:rFonts w:ascii="Arial" w:hAnsi="Arial"/>
          <w:b/>
          <w:sz w:val="20"/>
        </w:rPr>
        <w:t>*</w:t>
      </w:r>
      <w:r w:rsidRPr="00504565">
        <w:rPr>
          <w:rFonts w:ascii="Arial" w:hAnsi="Arial"/>
          <w:sz w:val="20"/>
        </w:rPr>
        <w:tab/>
        <w:t xml:space="preserve">Correspondence: Alexander Ring, University Hospital Zurich, </w:t>
      </w:r>
      <w:proofErr w:type="spellStart"/>
      <w:r w:rsidRPr="00504565">
        <w:rPr>
          <w:rFonts w:ascii="Arial" w:hAnsi="Arial"/>
          <w:sz w:val="20"/>
        </w:rPr>
        <w:t>Rämistrasse</w:t>
      </w:r>
      <w:proofErr w:type="spellEnd"/>
      <w:r w:rsidRPr="00504565">
        <w:rPr>
          <w:rFonts w:ascii="Arial" w:hAnsi="Arial"/>
          <w:sz w:val="20"/>
        </w:rPr>
        <w:t xml:space="preserve"> 100, 8091 Zurich alexander.ring@usz.ch; Tel.: +41 78 644 0035 (Switzerland)</w:t>
      </w: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Default="003A0E3C">
      <w:pPr>
        <w:rPr>
          <w:rFonts w:ascii="Arial" w:hAnsi="Arial"/>
          <w:b/>
          <w:bCs/>
          <w:sz w:val="20"/>
          <w:lang w:val="en-US"/>
        </w:rPr>
      </w:pPr>
      <w:r>
        <w:rPr>
          <w:rFonts w:ascii="Arial" w:hAnsi="Arial"/>
          <w:b/>
          <w:bCs/>
          <w:sz w:val="20"/>
          <w:lang w:val="en-US"/>
        </w:rPr>
        <w:br w:type="page"/>
      </w: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rPr>
          <w:rFonts w:ascii="Arial" w:hAnsi="Arial"/>
          <w:sz w:val="20"/>
          <w:lang w:val="en-US"/>
        </w:rPr>
      </w:pPr>
      <w:r w:rsidRPr="00982679">
        <w:rPr>
          <w:rFonts w:ascii="Arial" w:hAnsi="Arial"/>
          <w:b/>
          <w:bCs/>
          <w:sz w:val="20"/>
          <w:lang w:val="en-US"/>
        </w:rPr>
        <w:lastRenderedPageBreak/>
        <w:t xml:space="preserve">Supplementary table S1: </w:t>
      </w:r>
      <w:r>
        <w:rPr>
          <w:rFonts w:ascii="Arial" w:hAnsi="Arial"/>
          <w:sz w:val="20"/>
          <w:lang w:val="en-US"/>
        </w:rPr>
        <w:t>Genes positively correlated with EP300 (</w:t>
      </w:r>
      <w:r w:rsidRPr="00982679">
        <w:rPr>
          <w:rFonts w:ascii="Arial" w:hAnsi="Arial"/>
          <w:i/>
          <w:iCs/>
          <w:sz w:val="20"/>
          <w:lang w:val="en-US"/>
        </w:rPr>
        <w:t>q</w:t>
      </w:r>
      <w:r>
        <w:rPr>
          <w:rFonts w:ascii="Arial" w:hAnsi="Arial"/>
          <w:sz w:val="20"/>
          <w:lang w:val="en-US"/>
        </w:rPr>
        <w:t>&lt;0.05) in TNBC and basal-like breast cancer in the TCGA BC cohort (</w:t>
      </w:r>
      <w:r w:rsidR="00A83E17">
        <w:rPr>
          <w:rFonts w:ascii="Arial" w:hAnsi="Arial"/>
          <w:sz w:val="20"/>
          <w:lang w:val="en-US"/>
        </w:rPr>
        <w:t>pdf</w:t>
      </w:r>
      <w:r>
        <w:rPr>
          <w:rFonts w:ascii="Arial" w:hAnsi="Arial"/>
          <w:sz w:val="20"/>
          <w:lang w:val="en-US"/>
        </w:rPr>
        <w:t xml:space="preserve"> file attachment)</w:t>
      </w: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Pr="00504565" w:rsidRDefault="003A0E3C" w:rsidP="003A0E3C">
      <w:pPr>
        <w:snapToGrid w:val="0"/>
        <w:spacing w:line="480" w:lineRule="auto"/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b/>
          <w:sz w:val="20"/>
          <w:szCs w:val="20"/>
          <w:lang w:val="en-US"/>
        </w:rPr>
        <w:t>Supplementary t</w:t>
      </w:r>
      <w:r w:rsidRPr="00504565">
        <w:rPr>
          <w:rFonts w:ascii="Arial" w:hAnsi="Arial"/>
          <w:b/>
          <w:sz w:val="20"/>
          <w:szCs w:val="20"/>
          <w:lang w:val="en-US"/>
        </w:rPr>
        <w:t xml:space="preserve">able </w:t>
      </w:r>
      <w:r>
        <w:rPr>
          <w:rFonts w:ascii="Arial" w:hAnsi="Arial"/>
          <w:b/>
          <w:sz w:val="20"/>
          <w:szCs w:val="20"/>
          <w:lang w:val="en-US"/>
        </w:rPr>
        <w:t>S2</w:t>
      </w:r>
      <w:r w:rsidRPr="00504565">
        <w:rPr>
          <w:rFonts w:ascii="Arial" w:hAnsi="Arial"/>
          <w:b/>
          <w:sz w:val="20"/>
          <w:szCs w:val="20"/>
          <w:lang w:val="en-US"/>
        </w:rPr>
        <w:t xml:space="preserve">: </w:t>
      </w:r>
      <w:r w:rsidRPr="00504565">
        <w:rPr>
          <w:rFonts w:ascii="Arial" w:hAnsi="Arial"/>
          <w:sz w:val="20"/>
          <w:szCs w:val="20"/>
          <w:lang w:val="en-US"/>
        </w:rPr>
        <w:t>Genes and primer sequences for qPCR</w:t>
      </w:r>
    </w:p>
    <w:tbl>
      <w:tblPr>
        <w:tblStyle w:val="Listentabelle3"/>
        <w:tblW w:w="8725" w:type="dxa"/>
        <w:tblLook w:val="04A0" w:firstRow="1" w:lastRow="0" w:firstColumn="1" w:lastColumn="0" w:noHBand="0" w:noVBand="1"/>
      </w:tblPr>
      <w:tblGrid>
        <w:gridCol w:w="1975"/>
        <w:gridCol w:w="3510"/>
        <w:gridCol w:w="3240"/>
      </w:tblGrid>
      <w:tr w:rsidR="003A0E3C" w:rsidRPr="00727975" w:rsidTr="009361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75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rPr>
                <w:rFonts w:ascii="Arial" w:hAnsi="Arial"/>
                <w:b w:val="0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sz w:val="16"/>
                <w:szCs w:val="16"/>
                <w:lang w:val="en-US"/>
              </w:rPr>
              <w:t>NCBI Gene symbol</w:t>
            </w:r>
          </w:p>
        </w:tc>
        <w:tc>
          <w:tcPr>
            <w:tcW w:w="351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b w:val="0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sz w:val="16"/>
                <w:szCs w:val="16"/>
                <w:lang w:val="en-US"/>
              </w:rPr>
              <w:t>Forward primer (5’ -&gt; 3’)</w:t>
            </w:r>
          </w:p>
        </w:tc>
        <w:tc>
          <w:tcPr>
            <w:tcW w:w="324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b w:val="0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sz w:val="16"/>
                <w:szCs w:val="16"/>
                <w:lang w:val="en-US"/>
              </w:rPr>
              <w:t>Reverse primer (3’ -&gt; 5’)</w:t>
            </w:r>
          </w:p>
        </w:tc>
      </w:tr>
      <w:tr w:rsidR="003A0E3C" w:rsidRPr="00727975" w:rsidTr="00936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  <w:t>ABCG2</w:t>
            </w:r>
          </w:p>
        </w:tc>
        <w:tc>
          <w:tcPr>
            <w:tcW w:w="351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shd w:val="clear" w:color="auto" w:fill="FFFFFF"/>
                <w:lang w:val="en-US"/>
              </w:rPr>
              <w:t>ACGAACGGATTAACAGGGTCA</w:t>
            </w:r>
          </w:p>
        </w:tc>
        <w:tc>
          <w:tcPr>
            <w:tcW w:w="324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CTCCAGACACACCACGGAT</w:t>
            </w:r>
          </w:p>
        </w:tc>
      </w:tr>
      <w:tr w:rsidR="003A0E3C" w:rsidRPr="00727975" w:rsidTr="009361A0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  <w:t>GAPDH</w:t>
            </w:r>
          </w:p>
        </w:tc>
        <w:tc>
          <w:tcPr>
            <w:tcW w:w="351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GGTGCTGAGTATGTCTGTGA</w:t>
            </w:r>
          </w:p>
        </w:tc>
        <w:tc>
          <w:tcPr>
            <w:tcW w:w="324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ACAGTCTTCTGGGTGGCAGT</w:t>
            </w:r>
          </w:p>
        </w:tc>
      </w:tr>
      <w:tr w:rsidR="003A0E3C" w:rsidRPr="00727975" w:rsidTr="00936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  <w:t>EP300</w:t>
            </w:r>
          </w:p>
        </w:tc>
        <w:tc>
          <w:tcPr>
            <w:tcW w:w="3510" w:type="dxa"/>
            <w:vAlign w:val="center"/>
          </w:tcPr>
          <w:p w:rsidR="003A0E3C" w:rsidRPr="00727975" w:rsidRDefault="003A0E3C" w:rsidP="009361A0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AGCCAACGCGGCCTAAACT</w:t>
            </w:r>
          </w:p>
        </w:tc>
        <w:tc>
          <w:tcPr>
            <w:tcW w:w="3240" w:type="dxa"/>
            <w:vAlign w:val="center"/>
          </w:tcPr>
          <w:p w:rsidR="003A0E3C" w:rsidRPr="00727975" w:rsidRDefault="003A0E3C" w:rsidP="009361A0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TCACCACCATTGGTTAGTCCC</w:t>
            </w:r>
          </w:p>
        </w:tc>
      </w:tr>
    </w:tbl>
    <w:p w:rsidR="003A0E3C" w:rsidRPr="00504565" w:rsidRDefault="003A0E3C" w:rsidP="003A0E3C">
      <w:pPr>
        <w:snapToGrid w:val="0"/>
        <w:spacing w:line="480" w:lineRule="auto"/>
        <w:rPr>
          <w:rFonts w:ascii="Arial" w:hAnsi="Arial"/>
          <w:sz w:val="20"/>
          <w:szCs w:val="20"/>
          <w:lang w:val="en-US"/>
        </w:rPr>
      </w:pPr>
    </w:p>
    <w:p w:rsidR="003A0E3C" w:rsidRDefault="003A0E3C" w:rsidP="003A0E3C">
      <w:pPr>
        <w:rPr>
          <w:rFonts w:ascii="Arial" w:hAnsi="Arial"/>
          <w:b/>
          <w:snapToGrid w:val="0"/>
          <w:sz w:val="20"/>
          <w:szCs w:val="20"/>
          <w:lang w:val="en-US" w:bidi="en-US"/>
        </w:rPr>
      </w:pPr>
      <w:r>
        <w:rPr>
          <w:rFonts w:ascii="Arial" w:hAnsi="Arial"/>
          <w:b/>
          <w:snapToGrid w:val="0"/>
          <w:sz w:val="20"/>
          <w:szCs w:val="20"/>
          <w:lang w:val="en-US" w:bidi="en-US"/>
        </w:rPr>
        <w:br w:type="page"/>
      </w:r>
    </w:p>
    <w:p w:rsidR="003A0E3C" w:rsidRPr="003974BA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b/>
          <w:snapToGrid w:val="0"/>
          <w:sz w:val="20"/>
          <w:szCs w:val="20"/>
          <w:lang w:val="en-US" w:bidi="en-US"/>
        </w:rPr>
      </w:pPr>
      <w:r w:rsidRPr="00D41A64">
        <w:rPr>
          <w:rFonts w:ascii="Arial" w:hAnsi="Arial"/>
          <w:bCs/>
          <w:noProof/>
          <w:sz w:val="18"/>
          <w:szCs w:val="18"/>
          <w:lang w:val="en-US"/>
        </w:rPr>
        <w:lastRenderedPageBreak/>
        <w:drawing>
          <wp:anchor distT="0" distB="0" distL="114300" distR="114300" simplePos="0" relativeHeight="251659264" behindDoc="1" locked="0" layoutInCell="1" allowOverlap="1" wp14:anchorId="73298EB7" wp14:editId="1C54FCEA">
            <wp:simplePos x="0" y="0"/>
            <wp:positionH relativeFrom="column">
              <wp:posOffset>-863600</wp:posOffset>
            </wp:positionH>
            <wp:positionV relativeFrom="paragraph">
              <wp:posOffset>-862135</wp:posOffset>
            </wp:positionV>
            <wp:extent cx="7499838" cy="5625034"/>
            <wp:effectExtent l="0" t="0" r="6350" b="1270"/>
            <wp:wrapNone/>
            <wp:docPr id="1317" name="Grafik 1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838" cy="56250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Pr="00D41A64" w:rsidRDefault="003A0E3C" w:rsidP="003A0E3C">
      <w:pPr>
        <w:snapToGrid w:val="0"/>
        <w:jc w:val="both"/>
        <w:rPr>
          <w:rFonts w:ascii="Arial" w:hAnsi="Arial"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S1: </w:t>
      </w:r>
      <w:r w:rsidRPr="00D41A64">
        <w:rPr>
          <w:rFonts w:ascii="Arial" w:hAnsi="Arial"/>
          <w:bCs/>
          <w:sz w:val="18"/>
          <w:szCs w:val="18"/>
          <w:lang w:val="en-US"/>
        </w:rPr>
        <w:t>Cell cycle analysis of MDA-MB-231</w:t>
      </w:r>
      <w:r w:rsidRPr="00D41A64">
        <w:rPr>
          <w:rFonts w:ascii="Arial" w:hAnsi="Arial"/>
          <w:bCs/>
          <w:sz w:val="18"/>
          <w:szCs w:val="18"/>
          <w:vertAlign w:val="superscript"/>
          <w:lang w:val="en-US"/>
        </w:rPr>
        <w:t>Scramble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 and EP300</w:t>
      </w:r>
      <w:r>
        <w:rPr>
          <w:rFonts w:ascii="Arial" w:hAnsi="Arial"/>
          <w:bCs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bCs/>
          <w:sz w:val="18"/>
          <w:szCs w:val="18"/>
          <w:lang w:val="en-US"/>
        </w:rPr>
        <w:t>KD after regular in vitro 2D monolayer culture (top panel) and after xenograft in mice (bottom panel) (n=1 per condition per cell type).</w:t>
      </w: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rPr>
          <w:rFonts w:ascii="Arial" w:hAnsi="Arial"/>
          <w:b/>
          <w:bCs/>
          <w:sz w:val="20"/>
          <w:szCs w:val="20"/>
          <w:lang w:val="en-US"/>
        </w:rPr>
      </w:pPr>
      <w:r>
        <w:rPr>
          <w:rFonts w:ascii="Arial" w:hAnsi="Arial"/>
          <w:b/>
          <w:bCs/>
          <w:sz w:val="20"/>
          <w:szCs w:val="20"/>
          <w:lang w:val="en-US"/>
        </w:rPr>
        <w:br w:type="page"/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  <w:r w:rsidRPr="00D41A64">
        <w:rPr>
          <w:rFonts w:ascii="Arial" w:hAnsi="Arial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60288" behindDoc="1" locked="0" layoutInCell="1" allowOverlap="1" wp14:anchorId="03776F5C" wp14:editId="17F7C170">
            <wp:simplePos x="0" y="0"/>
            <wp:positionH relativeFrom="column">
              <wp:posOffset>-856469</wp:posOffset>
            </wp:positionH>
            <wp:positionV relativeFrom="paragraph">
              <wp:posOffset>-645453</wp:posOffset>
            </wp:positionV>
            <wp:extent cx="7479323" cy="5609492"/>
            <wp:effectExtent l="0" t="0" r="1270" b="4445"/>
            <wp:wrapNone/>
            <wp:docPr id="1318" name="Grafik 1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6349" cy="56222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jc w:val="both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jc w:val="both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Pr="00D41A64" w:rsidRDefault="003A0E3C" w:rsidP="003A0E3C">
      <w:pPr>
        <w:snapToGrid w:val="0"/>
        <w:jc w:val="both"/>
        <w:rPr>
          <w:rFonts w:ascii="Arial" w:hAnsi="Arial"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S2: </w:t>
      </w:r>
      <w:r w:rsidRPr="00D41A64">
        <w:rPr>
          <w:rFonts w:ascii="Arial" w:hAnsi="Arial"/>
          <w:bCs/>
          <w:sz w:val="18"/>
          <w:szCs w:val="18"/>
          <w:lang w:val="en-US"/>
        </w:rPr>
        <w:t>Cell count of MDA-MB-231</w:t>
      </w:r>
      <w:r w:rsidRPr="00D41A64">
        <w:rPr>
          <w:rFonts w:ascii="Arial" w:hAnsi="Arial"/>
          <w:bCs/>
          <w:sz w:val="18"/>
          <w:szCs w:val="18"/>
          <w:vertAlign w:val="superscript"/>
          <w:lang w:val="en-US"/>
        </w:rPr>
        <w:t>WT</w:t>
      </w:r>
      <w:r w:rsidRPr="00D41A64">
        <w:rPr>
          <w:rFonts w:ascii="Arial" w:hAnsi="Arial"/>
          <w:bCs/>
          <w:sz w:val="18"/>
          <w:szCs w:val="18"/>
          <w:lang w:val="en-US"/>
        </w:rPr>
        <w:t>, scramble and EP300</w:t>
      </w:r>
      <w:r>
        <w:rPr>
          <w:rFonts w:ascii="Arial" w:hAnsi="Arial"/>
          <w:bCs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KD cells (clone 1 and 2) for 24, 48 and 72h culture under low glucose and low (2%) oxygen conditions (n=3 per cell type per time point). </w:t>
      </w:r>
    </w:p>
    <w:p w:rsidR="003A0E3C" w:rsidRPr="00504565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Default="003A0E3C" w:rsidP="003A0E3C">
      <w:pPr>
        <w:rPr>
          <w:rFonts w:ascii="Arial" w:hAnsi="Arial"/>
          <w:b/>
          <w:bCs/>
          <w:sz w:val="20"/>
          <w:szCs w:val="20"/>
          <w:lang w:val="en-US"/>
        </w:rPr>
      </w:pPr>
      <w:r>
        <w:rPr>
          <w:rFonts w:ascii="Arial" w:hAnsi="Arial"/>
          <w:b/>
          <w:bCs/>
          <w:sz w:val="20"/>
          <w:szCs w:val="20"/>
          <w:lang w:val="en-US"/>
        </w:rPr>
        <w:br w:type="page"/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  <w:r w:rsidRPr="00146A07">
        <w:rPr>
          <w:rFonts w:ascii="Arial" w:hAnsi="Arial"/>
          <w:b/>
          <w:bCs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2336" behindDoc="1" locked="0" layoutInCell="1" allowOverlap="1" wp14:anchorId="16C4B530" wp14:editId="1367C191">
            <wp:simplePos x="0" y="0"/>
            <wp:positionH relativeFrom="column">
              <wp:posOffset>-16721</wp:posOffset>
            </wp:positionH>
            <wp:positionV relativeFrom="paragraph">
              <wp:posOffset>-874183</wp:posOffset>
            </wp:positionV>
            <wp:extent cx="5755640" cy="8313420"/>
            <wp:effectExtent l="0" t="0" r="0" b="508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31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6C66">
        <w:rPr>
          <w:noProof/>
          <w:lang w:val="en-US"/>
        </w:rPr>
        <w:t xml:space="preserve"> </w:t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Pr="00D41A64" w:rsidRDefault="003A0E3C" w:rsidP="003A0E3C">
      <w:pPr>
        <w:snapToGrid w:val="0"/>
        <w:spacing w:line="480" w:lineRule="auto"/>
        <w:rPr>
          <w:rFonts w:ascii="Arial" w:hAnsi="Arial"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S3:</w:t>
      </w:r>
      <w:r w:rsidRPr="00D41A64">
        <w:rPr>
          <w:rFonts w:ascii="Arial" w:hAnsi="Arial"/>
          <w:b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Mouse weight at the end of tail vein injection xenograft experiment. </w:t>
      </w:r>
    </w:p>
    <w:p w:rsidR="003A0E3C" w:rsidRDefault="003A0E3C" w:rsidP="003A0E3C">
      <w:pPr>
        <w:rPr>
          <w:rFonts w:ascii="Arial" w:hAnsi="Arial"/>
          <w:bCs/>
          <w:sz w:val="20"/>
          <w:szCs w:val="20"/>
          <w:lang w:val="en-US"/>
        </w:rPr>
      </w:pPr>
      <w:r>
        <w:rPr>
          <w:rFonts w:ascii="Arial" w:hAnsi="Arial"/>
          <w:bCs/>
          <w:sz w:val="20"/>
          <w:szCs w:val="20"/>
          <w:lang w:val="en-US"/>
        </w:rPr>
        <w:br w:type="page"/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  <w:r w:rsidRPr="007E17EB"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0E7983F6" wp14:editId="66C83541">
            <wp:simplePos x="0" y="0"/>
            <wp:positionH relativeFrom="column">
              <wp:posOffset>3810</wp:posOffset>
            </wp:positionH>
            <wp:positionV relativeFrom="paragraph">
              <wp:posOffset>-5229</wp:posOffset>
            </wp:positionV>
            <wp:extent cx="5755640" cy="8313420"/>
            <wp:effectExtent l="0" t="0" r="0" b="5080"/>
            <wp:wrapNone/>
            <wp:docPr id="1618" name="Grafik 1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31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3AD4">
        <w:rPr>
          <w:noProof/>
          <w:lang w:val="en-US"/>
        </w:rPr>
        <w:t xml:space="preserve"> </w:t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Pr="003E4B1A" w:rsidRDefault="003A0E3C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S4:</w:t>
      </w:r>
      <w:r w:rsidRPr="00D41A64">
        <w:rPr>
          <w:rFonts w:ascii="Arial" w:hAnsi="Arial"/>
          <w:b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sz w:val="18"/>
          <w:szCs w:val="18"/>
          <w:lang w:val="en-US"/>
        </w:rPr>
        <w:t>Affected biological pathway (WNT</w:t>
      </w:r>
      <w:r>
        <w:rPr>
          <w:rFonts w:ascii="Arial" w:hAnsi="Arial"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sz w:val="18"/>
          <w:szCs w:val="18"/>
          <w:lang w:val="en-US"/>
        </w:rPr>
        <w:t>signaling) associated with EP300 correlated genes that overlap in TNBC and basal BC (n=298) (</w:t>
      </w:r>
      <w:proofErr w:type="spellStart"/>
      <w:r w:rsidRPr="00D41A64">
        <w:rPr>
          <w:rFonts w:ascii="Arial" w:hAnsi="Arial"/>
          <w:sz w:val="18"/>
          <w:szCs w:val="18"/>
          <w:lang w:val="en-US"/>
        </w:rPr>
        <w:t>cBioPortal</w:t>
      </w:r>
      <w:proofErr w:type="spellEnd"/>
      <w:r w:rsidRPr="00D41A64">
        <w:rPr>
          <w:rFonts w:ascii="Arial" w:hAnsi="Arial"/>
          <w:sz w:val="18"/>
          <w:szCs w:val="18"/>
          <w:lang w:val="en-US"/>
        </w:rPr>
        <w:t>). Affected genes are outlined in bold black. Percentages represent the proportion of samples which show alterations in pathway genes (bold – TNBC cases, regular font – basal</w:t>
      </w:r>
      <w:r>
        <w:rPr>
          <w:rFonts w:ascii="Arial" w:hAnsi="Arial"/>
          <w:sz w:val="18"/>
          <w:szCs w:val="18"/>
          <w:lang w:val="en-US"/>
        </w:rPr>
        <w:t xml:space="preserve">-like </w:t>
      </w:r>
      <w:r w:rsidRPr="00D41A64">
        <w:rPr>
          <w:rFonts w:ascii="Arial" w:hAnsi="Arial"/>
          <w:sz w:val="18"/>
          <w:szCs w:val="18"/>
          <w:lang w:val="en-US"/>
        </w:rPr>
        <w:t>BC).</w:t>
      </w:r>
    </w:p>
    <w:p w:rsidR="003A0E3C" w:rsidRPr="00504565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FD03DD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  <w:r w:rsidRPr="00504565">
        <w:rPr>
          <w:rFonts w:ascii="Arial" w:hAnsi="Arial"/>
          <w:b/>
          <w:sz w:val="20"/>
          <w:szCs w:val="20"/>
          <w:lang w:val="en-US"/>
        </w:rPr>
        <w:br w:type="page"/>
      </w: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  <w:r w:rsidRPr="00D41A64">
        <w:rPr>
          <w:rFonts w:ascii="Arial" w:hAnsi="Arial"/>
          <w:b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1312" behindDoc="1" locked="0" layoutInCell="1" allowOverlap="1" wp14:anchorId="29AFE3FE" wp14:editId="5BCA57E5">
            <wp:simplePos x="0" y="0"/>
            <wp:positionH relativeFrom="column">
              <wp:posOffset>-873760</wp:posOffset>
            </wp:positionH>
            <wp:positionV relativeFrom="paragraph">
              <wp:posOffset>-86262</wp:posOffset>
            </wp:positionV>
            <wp:extent cx="7513955" cy="5635466"/>
            <wp:effectExtent l="0" t="0" r="4445" b="3810"/>
            <wp:wrapNone/>
            <wp:docPr id="1323" name="Grafik 1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3955" cy="56354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D41A64" w:rsidRDefault="003A0E3C" w:rsidP="003A0E3C">
      <w:pPr>
        <w:jc w:val="both"/>
        <w:rPr>
          <w:rFonts w:ascii="Arial" w:hAnsi="Arial"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S5:</w:t>
      </w:r>
      <w:r w:rsidRPr="00D41A64">
        <w:rPr>
          <w:rFonts w:ascii="Arial" w:hAnsi="Arial"/>
          <w:b/>
          <w:sz w:val="18"/>
          <w:szCs w:val="18"/>
          <w:lang w:val="en-US"/>
        </w:rPr>
        <w:t xml:space="preserve"> Prognostic value (PFS and HR) of EP300 gene and protein expression in BC.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b/>
          <w:sz w:val="18"/>
          <w:szCs w:val="18"/>
          <w:lang w:val="en-US"/>
        </w:rPr>
        <w:t>A</w:t>
      </w:r>
      <w:r w:rsidR="00E02E2E">
        <w:rPr>
          <w:rFonts w:ascii="Arial" w:hAnsi="Arial"/>
          <w:b/>
          <w:sz w:val="18"/>
          <w:szCs w:val="18"/>
          <w:lang w:val="en-US"/>
        </w:rPr>
        <w:t>,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 EP300 gene expression in BC patients irrespective of subtype, receptor expression, grade and LN status. </w:t>
      </w:r>
      <w:r w:rsidRPr="00D41A64">
        <w:rPr>
          <w:rFonts w:ascii="Arial" w:hAnsi="Arial"/>
          <w:b/>
          <w:sz w:val="18"/>
          <w:szCs w:val="18"/>
          <w:lang w:val="en-US"/>
        </w:rPr>
        <w:t>B</w:t>
      </w:r>
      <w:r w:rsidR="00E02E2E">
        <w:rPr>
          <w:rFonts w:ascii="Arial" w:hAnsi="Arial"/>
          <w:b/>
          <w:sz w:val="18"/>
          <w:szCs w:val="18"/>
          <w:lang w:val="en-US"/>
        </w:rPr>
        <w:t>,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 EP300 protein expression in BC patients irrespective of subtype, receptor expression, grade and LN status.</w:t>
      </w:r>
    </w:p>
    <w:p w:rsidR="00474A47" w:rsidRPr="003A0E3C" w:rsidRDefault="00E02E2E">
      <w:pPr>
        <w:rPr>
          <w:lang w:val="en-US"/>
        </w:rPr>
      </w:pPr>
    </w:p>
    <w:sectPr w:rsidR="00474A47" w:rsidRPr="003A0E3C" w:rsidSect="00D41A64">
      <w:pgSz w:w="11900" w:h="16840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E3C"/>
    <w:rsid w:val="00026467"/>
    <w:rsid w:val="00047B57"/>
    <w:rsid w:val="00076700"/>
    <w:rsid w:val="000B6CD3"/>
    <w:rsid w:val="000D7B6F"/>
    <w:rsid w:val="00142BEE"/>
    <w:rsid w:val="001B3C10"/>
    <w:rsid w:val="001D6CEE"/>
    <w:rsid w:val="00222DA7"/>
    <w:rsid w:val="0026648C"/>
    <w:rsid w:val="0027066C"/>
    <w:rsid w:val="002B76E1"/>
    <w:rsid w:val="002D32DF"/>
    <w:rsid w:val="002F3E82"/>
    <w:rsid w:val="00356326"/>
    <w:rsid w:val="003566CE"/>
    <w:rsid w:val="003846FC"/>
    <w:rsid w:val="0038554A"/>
    <w:rsid w:val="003A0E3C"/>
    <w:rsid w:val="003A7AC0"/>
    <w:rsid w:val="003B5764"/>
    <w:rsid w:val="003D5545"/>
    <w:rsid w:val="003E4B1A"/>
    <w:rsid w:val="004004CC"/>
    <w:rsid w:val="00432F56"/>
    <w:rsid w:val="00447669"/>
    <w:rsid w:val="004673F7"/>
    <w:rsid w:val="00484750"/>
    <w:rsid w:val="004B57B4"/>
    <w:rsid w:val="004D45F4"/>
    <w:rsid w:val="00553576"/>
    <w:rsid w:val="00561558"/>
    <w:rsid w:val="005D5BD0"/>
    <w:rsid w:val="006F3B0B"/>
    <w:rsid w:val="006F5490"/>
    <w:rsid w:val="00725B20"/>
    <w:rsid w:val="00743A7C"/>
    <w:rsid w:val="007C05BA"/>
    <w:rsid w:val="007C40B0"/>
    <w:rsid w:val="007D43D8"/>
    <w:rsid w:val="007F2A0E"/>
    <w:rsid w:val="00840982"/>
    <w:rsid w:val="00880E8C"/>
    <w:rsid w:val="008B77CB"/>
    <w:rsid w:val="008D23FE"/>
    <w:rsid w:val="008F1F2D"/>
    <w:rsid w:val="00951584"/>
    <w:rsid w:val="0095646E"/>
    <w:rsid w:val="0097712D"/>
    <w:rsid w:val="00A6502A"/>
    <w:rsid w:val="00A83E17"/>
    <w:rsid w:val="00A937C7"/>
    <w:rsid w:val="00AF2D72"/>
    <w:rsid w:val="00B55FE9"/>
    <w:rsid w:val="00B67AE5"/>
    <w:rsid w:val="00B75CC1"/>
    <w:rsid w:val="00B76816"/>
    <w:rsid w:val="00B842F9"/>
    <w:rsid w:val="00B848B9"/>
    <w:rsid w:val="00BA6F30"/>
    <w:rsid w:val="00BC029D"/>
    <w:rsid w:val="00BC35AE"/>
    <w:rsid w:val="00BD2AD1"/>
    <w:rsid w:val="00BF0240"/>
    <w:rsid w:val="00C20D7B"/>
    <w:rsid w:val="00C364AB"/>
    <w:rsid w:val="00C81F2D"/>
    <w:rsid w:val="00CB5C1F"/>
    <w:rsid w:val="00CD01A9"/>
    <w:rsid w:val="00CD50D6"/>
    <w:rsid w:val="00D339E6"/>
    <w:rsid w:val="00D47029"/>
    <w:rsid w:val="00D60618"/>
    <w:rsid w:val="00D65FFA"/>
    <w:rsid w:val="00D80647"/>
    <w:rsid w:val="00D81C4A"/>
    <w:rsid w:val="00DC2924"/>
    <w:rsid w:val="00DF6052"/>
    <w:rsid w:val="00E02E2E"/>
    <w:rsid w:val="00E444CE"/>
    <w:rsid w:val="00E534CC"/>
    <w:rsid w:val="00E76EAB"/>
    <w:rsid w:val="00EC3C3A"/>
    <w:rsid w:val="00ED6F20"/>
    <w:rsid w:val="00EF34EA"/>
    <w:rsid w:val="00F1531E"/>
    <w:rsid w:val="00F22CBD"/>
    <w:rsid w:val="00F24AD1"/>
    <w:rsid w:val="00F31261"/>
    <w:rsid w:val="00F32FE4"/>
    <w:rsid w:val="00F351AF"/>
    <w:rsid w:val="00F51773"/>
    <w:rsid w:val="00F5471E"/>
    <w:rsid w:val="00FB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46D5F9B"/>
  <w15:chartTrackingRefBased/>
  <w15:docId w15:val="{035E34EC-7F05-4444-92E3-7BC4A996C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A0E3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DPI61Supplementary">
    <w:name w:val="MDPI_6.1_Supplementary"/>
    <w:basedOn w:val="Standard"/>
    <w:qFormat/>
    <w:rsid w:val="003A0E3C"/>
    <w:pPr>
      <w:adjustRightInd w:val="0"/>
      <w:snapToGrid w:val="0"/>
      <w:spacing w:before="24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table" w:styleId="Listentabelle3">
    <w:name w:val="List Table 3"/>
    <w:basedOn w:val="NormaleTabelle"/>
    <w:uiPriority w:val="48"/>
    <w:rsid w:val="003A0E3C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MDPI13authornames">
    <w:name w:val="MDPI_1.3_authornames"/>
    <w:basedOn w:val="Standard"/>
    <w:next w:val="MDPI14history"/>
    <w:qFormat/>
    <w:rsid w:val="003A0E3C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14history">
    <w:name w:val="MDPI_1.4_history"/>
    <w:basedOn w:val="Standard"/>
    <w:next w:val="Standard"/>
    <w:qFormat/>
    <w:rsid w:val="003A0E3C"/>
    <w:pPr>
      <w:adjustRightInd w:val="0"/>
      <w:snapToGrid w:val="0"/>
      <w:spacing w:before="12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16affiliation">
    <w:name w:val="MDPI_1.6_affiliation"/>
    <w:basedOn w:val="Standard"/>
    <w:qFormat/>
    <w:rsid w:val="003A0E3C"/>
    <w:pPr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318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schulze</dc:creator>
  <cp:keywords/>
  <dc:description/>
  <cp:lastModifiedBy>emanuela schulze</cp:lastModifiedBy>
  <cp:revision>4</cp:revision>
  <dcterms:created xsi:type="dcterms:W3CDTF">2020-04-17T17:55:00Z</dcterms:created>
  <dcterms:modified xsi:type="dcterms:W3CDTF">2020-04-25T08:46:00Z</dcterms:modified>
</cp:coreProperties>
</file>