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ED69F1D" w14:textId="77777777" w:rsidR="00870936" w:rsidRPr="00470CC2" w:rsidRDefault="00870936" w:rsidP="00870936">
      <w:pPr>
        <w:spacing w:line="480" w:lineRule="auto"/>
        <w:jc w:val="left"/>
        <w:rPr>
          <w:rFonts w:ascii="Times New Roman" w:hAnsi="Times New Roman" w:cs="Times New Roman"/>
        </w:rPr>
      </w:pPr>
      <w:r w:rsidRPr="00470CC2">
        <w:rPr>
          <w:rFonts w:ascii="Times New Roman" w:hAnsi="Times New Roman" w:cs="Times New Roman"/>
          <w:b/>
          <w:bCs/>
          <w:color w:val="000000"/>
          <w:kern w:val="0"/>
        </w:rPr>
        <w:t>Table 1.</w:t>
      </w:r>
      <w:r w:rsidRPr="00470CC2">
        <w:rPr>
          <w:rFonts w:ascii="Times New Roman" w:hAnsi="Times New Roman" w:cs="Times New Roman"/>
          <w:color w:val="000000"/>
          <w:kern w:val="0"/>
        </w:rPr>
        <w:t xml:space="preserve"> </w:t>
      </w:r>
      <w:r w:rsidRPr="00470CC2">
        <w:rPr>
          <w:rFonts w:ascii="Times New Roman" w:hAnsi="Times New Roman" w:cs="Times New Roman"/>
        </w:rPr>
        <w:t>List of samples. Latitude and longitude of sample localities were obtained by handheld GPS and are shown in WGS84. L indicates horizontal distance from alteration zone along outcrop surfaces, whereas Corr. L denotes horizontal distance from veins calibrated against strikes/dips of alteration zones and strikes of outcrop walls (</w:t>
      </w:r>
      <w:r w:rsidRPr="00470CC2">
        <w:rPr>
          <w:rFonts w:ascii="Times New Roman" w:hAnsi="Times New Roman" w:cs="Times New Roman"/>
          <w:color w:val="FF0000"/>
        </w:rPr>
        <w:t xml:space="preserve">Fig. </w:t>
      </w:r>
      <w:r>
        <w:rPr>
          <w:rFonts w:ascii="Times New Roman" w:hAnsi="Times New Roman" w:cs="Times New Roman"/>
          <w:color w:val="FF0000"/>
        </w:rPr>
        <w:t>3</w:t>
      </w:r>
      <w:r w:rsidRPr="00470CC2">
        <w:rPr>
          <w:rFonts w:ascii="Times New Roman" w:hAnsi="Times New Roman" w:cs="Times New Roman"/>
        </w:rPr>
        <w:t xml:space="preserve">). </w:t>
      </w:r>
      <w:r>
        <w:rPr>
          <w:rFonts w:ascii="Times New Roman" w:hAnsi="Times New Roman" w:cs="Times New Roman"/>
        </w:rPr>
        <w:t xml:space="preserve">Note that uncertainties for L. and Corr. L of HJG#-#m are typically </w:t>
      </w:r>
      <w:r w:rsidRPr="004512DB">
        <w:rPr>
          <w:rFonts w:ascii="Times New Roman" w:hAnsi="Times New Roman" w:cs="Times New Roman"/>
        </w:rPr>
        <w:t>±</w:t>
      </w:r>
      <w:r>
        <w:rPr>
          <w:rFonts w:ascii="Times New Roman" w:hAnsi="Times New Roman" w:cs="Times New Roman"/>
        </w:rPr>
        <w:t>10</w:t>
      </w:r>
      <w:r w:rsidRPr="00470CC2">
        <w:rPr>
          <w:rFonts w:ascii="Times New Roman" w:hAnsi="Times New Roman" w:cs="Times New Roman"/>
        </w:rPr>
        <w:t>–</w:t>
      </w:r>
      <w:r>
        <w:rPr>
          <w:rFonts w:ascii="Times New Roman" w:hAnsi="Times New Roman" w:cs="Times New Roman"/>
        </w:rPr>
        <w:t>15 cm reflecting width of the rock samples, whereas those of HJG#-#</w:t>
      </w:r>
      <w:r w:rsidRPr="00470CC2">
        <w:rPr>
          <w:rFonts w:ascii="Times New Roman" w:hAnsi="Times New Roman" w:cs="Times New Roman"/>
        </w:rPr>
        <w:t>–</w:t>
      </w:r>
      <w:r>
        <w:rPr>
          <w:rFonts w:ascii="Times New Roman" w:hAnsi="Times New Roman" w:cs="Times New Roman"/>
        </w:rPr>
        <w:t xml:space="preserve">#cm are &lt;1 cm. </w:t>
      </w:r>
      <w:r w:rsidRPr="00470CC2">
        <w:rPr>
          <w:rFonts w:ascii="Times New Roman" w:hAnsi="Times New Roman" w:cs="Times New Roman"/>
        </w:rPr>
        <w:t>[Loc., locality; Qtz, quartz; Y, yes (analysis performed on sample)]</w:t>
      </w:r>
    </w:p>
    <w:p w14:paraId="0AA31958" w14:textId="77777777" w:rsidR="00870936" w:rsidRPr="00470CC2" w:rsidRDefault="00870936" w:rsidP="00870936">
      <w:pPr>
        <w:spacing w:line="480" w:lineRule="auto"/>
        <w:jc w:val="left"/>
        <w:rPr>
          <w:rFonts w:ascii="Times New Roman" w:hAnsi="Times New Roman" w:cs="Times New Roman"/>
        </w:rPr>
      </w:pPr>
    </w:p>
    <w:p w14:paraId="2E0FF78C" w14:textId="77777777" w:rsidR="00870936" w:rsidRPr="00470CC2" w:rsidRDefault="00870936" w:rsidP="00870936">
      <w:pPr>
        <w:spacing w:line="480" w:lineRule="auto"/>
        <w:jc w:val="left"/>
        <w:rPr>
          <w:rFonts w:ascii="Times New Roman" w:hAnsi="Times New Roman" w:cs="Times New Roman"/>
          <w:color w:val="000000"/>
          <w:kern w:val="0"/>
        </w:rPr>
      </w:pPr>
      <w:r w:rsidRPr="00470CC2">
        <w:rPr>
          <w:rFonts w:ascii="Times New Roman" w:hAnsi="Times New Roman" w:cs="Times New Roman"/>
          <w:b/>
          <w:bCs/>
        </w:rPr>
        <w:t>Table 2.</w:t>
      </w:r>
      <w:r w:rsidRPr="00470CC2">
        <w:rPr>
          <w:rFonts w:ascii="Times New Roman" w:hAnsi="Times New Roman" w:cs="Times New Roman"/>
        </w:rPr>
        <w:t xml:space="preserve"> Summary of fluid-inclusion data. Inclusion classification based on </w:t>
      </w:r>
      <w:r w:rsidRPr="00470CC2">
        <w:rPr>
          <w:rFonts w:ascii="Times New Roman" w:hAnsi="Times New Roman" w:cs="Times New Roman"/>
          <w:color w:val="0070C0"/>
        </w:rPr>
        <w:t xml:space="preserve">Roedder’s (1984) </w:t>
      </w:r>
      <w:r w:rsidRPr="00470CC2">
        <w:rPr>
          <w:rFonts w:ascii="Times New Roman" w:hAnsi="Times New Roman" w:cs="Times New Roman"/>
        </w:rPr>
        <w:t xml:space="preserve">criteria. [conc., concentration; I, primary inclusion type; II, secondary inclusion type; Qtz, quartz; </w:t>
      </w:r>
      <w:r w:rsidRPr="00470CC2">
        <w:rPr>
          <w:rFonts w:ascii="Times New Roman" w:hAnsi="Times New Roman" w:cs="Times New Roman"/>
          <w:i/>
          <w:iCs/>
        </w:rPr>
        <w:t>T</w:t>
      </w:r>
      <w:r w:rsidRPr="00470CC2">
        <w:rPr>
          <w:rFonts w:ascii="Times New Roman" w:hAnsi="Times New Roman" w:cs="Times New Roman"/>
          <w:vertAlign w:val="subscript"/>
        </w:rPr>
        <w:t>f</w:t>
      </w:r>
      <w:r>
        <w:rPr>
          <w:rFonts w:ascii="Times New Roman" w:hAnsi="Times New Roman" w:cs="Times New Roman"/>
          <w:vertAlign w:val="subscript"/>
        </w:rPr>
        <w:t>im</w:t>
      </w:r>
      <w:r w:rsidRPr="00470CC2">
        <w:rPr>
          <w:rFonts w:ascii="Times New Roman" w:hAnsi="Times New Roman" w:cs="Times New Roman"/>
        </w:rPr>
        <w:t>, final ice-melting temperature;</w:t>
      </w:r>
      <w:r w:rsidRPr="00470CC2">
        <w:rPr>
          <w:rFonts w:ascii="Times New Roman" w:hAnsi="Times New Roman" w:cs="Times New Roman"/>
          <w:i/>
          <w:iCs/>
        </w:rPr>
        <w:t xml:space="preserve"> T</w:t>
      </w:r>
      <w:r w:rsidRPr="00470CC2">
        <w:rPr>
          <w:rFonts w:ascii="Times New Roman" w:hAnsi="Times New Roman" w:cs="Times New Roman"/>
          <w:vertAlign w:val="subscript"/>
        </w:rPr>
        <w:t>h</w:t>
      </w:r>
      <w:r w:rsidRPr="00470CC2">
        <w:rPr>
          <w:rFonts w:ascii="Times New Roman" w:hAnsi="Times New Roman" w:cs="Times New Roman"/>
        </w:rPr>
        <w:t>, homogenization temperature, in bold if for primary inclusion]</w:t>
      </w:r>
    </w:p>
    <w:p w14:paraId="359880A4" w14:textId="77777777" w:rsidR="00870936" w:rsidRDefault="00870936" w:rsidP="00870936">
      <w:pPr>
        <w:spacing w:line="480" w:lineRule="auto"/>
        <w:jc w:val="left"/>
        <w:rPr>
          <w:rFonts w:ascii="Times New Roman" w:hAnsi="Times New Roman" w:cs="Times New Roman"/>
          <w:color w:val="000000"/>
          <w:kern w:val="0"/>
        </w:rPr>
      </w:pPr>
    </w:p>
    <w:p w14:paraId="368BD1B2" w14:textId="77777777" w:rsidR="00870936" w:rsidRPr="00E54788" w:rsidRDefault="00870936" w:rsidP="00870936">
      <w:pPr>
        <w:spacing w:line="480" w:lineRule="auto"/>
        <w:jc w:val="left"/>
        <w:rPr>
          <w:rFonts w:ascii="Times New Roman" w:hAnsi="Times New Roman" w:cs="Times New Roman"/>
          <w:color w:val="000000"/>
          <w:kern w:val="0"/>
        </w:rPr>
      </w:pPr>
      <w:r w:rsidRPr="00E54788">
        <w:rPr>
          <w:rFonts w:ascii="Times New Roman" w:hAnsi="Times New Roman" w:cs="Times New Roman"/>
          <w:b/>
          <w:bCs/>
          <w:color w:val="000000"/>
          <w:kern w:val="0"/>
        </w:rPr>
        <w:t xml:space="preserve">Table </w:t>
      </w:r>
      <w:r>
        <w:rPr>
          <w:rFonts w:ascii="Times New Roman" w:hAnsi="Times New Roman" w:cs="Times New Roman"/>
          <w:b/>
          <w:bCs/>
          <w:color w:val="000000"/>
          <w:kern w:val="0"/>
        </w:rPr>
        <w:t>3</w:t>
      </w:r>
      <w:r w:rsidRPr="00E54788">
        <w:rPr>
          <w:rFonts w:ascii="Times New Roman" w:hAnsi="Times New Roman" w:cs="Times New Roman"/>
          <w:b/>
          <w:bCs/>
          <w:color w:val="000000"/>
          <w:kern w:val="0"/>
        </w:rPr>
        <w:t>.</w:t>
      </w:r>
      <w:r>
        <w:rPr>
          <w:rFonts w:ascii="Times New Roman" w:hAnsi="Times New Roman" w:cs="Times New Roman"/>
          <w:color w:val="000000"/>
          <w:kern w:val="0"/>
        </w:rPr>
        <w:t xml:space="preserve"> Summary of zircon U</w:t>
      </w:r>
      <w:r w:rsidRPr="00470CC2">
        <w:rPr>
          <w:rFonts w:ascii="Times New Roman" w:hAnsi="Times New Roman" w:cs="Times New Roman"/>
        </w:rPr>
        <w:t>–</w:t>
      </w:r>
      <w:r>
        <w:rPr>
          <w:rFonts w:ascii="Times New Roman" w:hAnsi="Times New Roman" w:cs="Times New Roman"/>
          <w:color w:val="000000"/>
          <w:kern w:val="0"/>
        </w:rPr>
        <w:t xml:space="preserve">Pb data of the </w:t>
      </w:r>
      <w:r w:rsidRPr="00E54788">
        <w:rPr>
          <w:rFonts w:ascii="Times New Roman" w:hAnsi="Times New Roman" w:cs="Times New Roman"/>
          <w:color w:val="000000"/>
          <w:kern w:val="0"/>
        </w:rPr>
        <w:t>sedimentary rocks</w:t>
      </w:r>
      <w:r>
        <w:rPr>
          <w:rFonts w:ascii="Times New Roman" w:hAnsi="Times New Roman" w:cs="Times New Roman"/>
          <w:color w:val="000000"/>
          <w:kern w:val="0"/>
        </w:rPr>
        <w:t xml:space="preserve"> and veins. YC</w:t>
      </w:r>
      <w:r w:rsidRPr="00777707">
        <w:rPr>
          <w:rFonts w:ascii="Times New Roman" w:hAnsi="Times New Roman" w:cs="Times New Roman"/>
          <w:color w:val="000000"/>
          <w:kern w:val="0"/>
        </w:rPr>
        <w:t>2σ</w:t>
      </w:r>
      <w:r>
        <w:rPr>
          <w:rFonts w:ascii="Times New Roman" w:hAnsi="Times New Roman" w:cs="Times New Roman"/>
          <w:color w:val="000000"/>
          <w:kern w:val="0"/>
        </w:rPr>
        <w:t>: youngest grain cluster at 2</w:t>
      </w:r>
      <w:r w:rsidRPr="00777707">
        <w:rPr>
          <w:rFonts w:ascii="Times New Roman" w:hAnsi="Times New Roman" w:cs="Times New Roman"/>
          <w:color w:val="000000"/>
          <w:kern w:val="0"/>
        </w:rPr>
        <w:t>σ</w:t>
      </w:r>
      <w:r>
        <w:rPr>
          <w:rFonts w:ascii="Times New Roman" w:hAnsi="Times New Roman" w:cs="Times New Roman"/>
          <w:color w:val="000000"/>
          <w:kern w:val="0"/>
        </w:rPr>
        <w:t>, YSG: youngest single grain (</w:t>
      </w:r>
      <w:r w:rsidRPr="00777707">
        <w:rPr>
          <w:rFonts w:ascii="Times New Roman" w:hAnsi="Times New Roman" w:cs="Times New Roman"/>
          <w:color w:val="0070C0"/>
          <w:kern w:val="0"/>
        </w:rPr>
        <w:t>Dickinson and Gehrels, 2009; Coutts et al., 2019</w:t>
      </w:r>
      <w:r>
        <w:rPr>
          <w:rFonts w:ascii="Times New Roman" w:hAnsi="Times New Roman" w:cs="Times New Roman"/>
          <w:color w:val="000000"/>
          <w:kern w:val="0"/>
        </w:rPr>
        <w:t>). Bold font indicates the maximum depositional age adopted. YC</w:t>
      </w:r>
      <w:r w:rsidRPr="00777707">
        <w:rPr>
          <w:rFonts w:ascii="Times New Roman" w:hAnsi="Times New Roman" w:cs="Times New Roman"/>
          <w:color w:val="000000"/>
          <w:kern w:val="0"/>
        </w:rPr>
        <w:t>2σ</w:t>
      </w:r>
      <w:r>
        <w:rPr>
          <w:rFonts w:ascii="Times New Roman" w:hAnsi="Times New Roman" w:cs="Times New Roman"/>
          <w:color w:val="000000"/>
          <w:kern w:val="0"/>
        </w:rPr>
        <w:t xml:space="preserve"> </w:t>
      </w:r>
      <w:r>
        <w:rPr>
          <w:rFonts w:ascii="Times New Roman" w:hAnsi="Times New Roman" w:cs="Times New Roman"/>
          <w:color w:val="000000"/>
          <w:kern w:val="0"/>
        </w:rPr>
        <w:lastRenderedPageBreak/>
        <w:t xml:space="preserve">is expected to be calculated from three or more grains, so the estimates for </w:t>
      </w:r>
      <w:r w:rsidRPr="00D02E8F">
        <w:rPr>
          <w:rFonts w:ascii="Times New Roman" w:hAnsi="Times New Roman" w:cs="Times New Roman"/>
          <w:color w:val="000000"/>
          <w:kern w:val="0"/>
        </w:rPr>
        <w:t>HJG2-F</w:t>
      </w:r>
      <w:r>
        <w:rPr>
          <w:rFonts w:ascii="Times New Roman" w:hAnsi="Times New Roman" w:cs="Times New Roman"/>
          <w:color w:val="000000"/>
          <w:kern w:val="0"/>
        </w:rPr>
        <w:t xml:space="preserve"> and </w:t>
      </w:r>
      <w:r w:rsidRPr="00D02E8F">
        <w:rPr>
          <w:rFonts w:ascii="Times New Roman" w:hAnsi="Times New Roman" w:cs="Times New Roman"/>
          <w:color w:val="000000"/>
          <w:kern w:val="0"/>
        </w:rPr>
        <w:t>HJG4-10m</w:t>
      </w:r>
      <w:r>
        <w:rPr>
          <w:rFonts w:ascii="Times New Roman" w:hAnsi="Times New Roman" w:cs="Times New Roman"/>
          <w:color w:val="000000"/>
          <w:kern w:val="0"/>
        </w:rPr>
        <w:t xml:space="preserve"> are not adopted as the maximum depositional age (Supp. </w:t>
      </w:r>
      <w:r w:rsidRPr="009D0C33">
        <w:rPr>
          <w:rFonts w:ascii="Times New Roman" w:hAnsi="Times New Roman" w:cs="Times New Roman"/>
          <w:color w:val="FF0000"/>
          <w:kern w:val="0"/>
        </w:rPr>
        <w:t>Fig. S2</w:t>
      </w:r>
      <w:r>
        <w:rPr>
          <w:rFonts w:ascii="Times New Roman" w:hAnsi="Times New Roman" w:cs="Times New Roman"/>
          <w:color w:val="000000"/>
          <w:kern w:val="0"/>
        </w:rPr>
        <w:t>).</w:t>
      </w:r>
    </w:p>
    <w:p w14:paraId="2CF86365" w14:textId="77777777" w:rsidR="00870936" w:rsidRPr="00EF527E" w:rsidRDefault="00870936" w:rsidP="00870936">
      <w:pPr>
        <w:spacing w:line="480" w:lineRule="auto"/>
        <w:jc w:val="left"/>
        <w:rPr>
          <w:rFonts w:ascii="Times New Roman" w:hAnsi="Times New Roman" w:cs="Times New Roman"/>
          <w:color w:val="000000"/>
          <w:kern w:val="0"/>
        </w:rPr>
      </w:pPr>
    </w:p>
    <w:p w14:paraId="5009E957" w14:textId="77777777" w:rsidR="00870936" w:rsidRPr="00470CC2" w:rsidRDefault="00870936" w:rsidP="00870936">
      <w:pPr>
        <w:spacing w:line="480" w:lineRule="auto"/>
        <w:jc w:val="left"/>
        <w:rPr>
          <w:rFonts w:ascii="Times New Roman" w:hAnsi="Times New Roman" w:cs="Times New Roman"/>
        </w:rPr>
      </w:pPr>
      <w:r w:rsidRPr="00470CC2">
        <w:rPr>
          <w:rFonts w:ascii="Times New Roman" w:hAnsi="Times New Roman" w:cs="Times New Roman"/>
          <w:b/>
          <w:bCs/>
          <w:color w:val="000000"/>
          <w:kern w:val="0"/>
        </w:rPr>
        <w:t xml:space="preserve">Table </w:t>
      </w:r>
      <w:r>
        <w:rPr>
          <w:rFonts w:ascii="Times New Roman" w:hAnsi="Times New Roman" w:cs="Times New Roman"/>
          <w:b/>
          <w:bCs/>
          <w:color w:val="000000"/>
          <w:kern w:val="0"/>
        </w:rPr>
        <w:t>4</w:t>
      </w:r>
      <w:r w:rsidRPr="00470CC2">
        <w:rPr>
          <w:rFonts w:ascii="Times New Roman" w:hAnsi="Times New Roman" w:cs="Times New Roman"/>
          <w:b/>
          <w:bCs/>
          <w:color w:val="000000"/>
          <w:kern w:val="0"/>
        </w:rPr>
        <w:t>.</w:t>
      </w:r>
      <w:r w:rsidRPr="00470CC2">
        <w:rPr>
          <w:rFonts w:ascii="Times New Roman" w:hAnsi="Times New Roman" w:cs="Times New Roman"/>
          <w:color w:val="000000"/>
          <w:kern w:val="0"/>
        </w:rPr>
        <w:t xml:space="preserve"> </w:t>
      </w:r>
      <w:r w:rsidRPr="00470CC2">
        <w:rPr>
          <w:rFonts w:ascii="Times New Roman" w:hAnsi="Times New Roman" w:cs="Times New Roman"/>
        </w:rPr>
        <w:t xml:space="preserve">Summary of AFT and ZFT data. Apatite chlorine content is correlated to AFT annealing rate (e.g., </w:t>
      </w:r>
      <w:r w:rsidRPr="00470CC2">
        <w:rPr>
          <w:rFonts w:ascii="Times New Roman" w:hAnsi="Times New Roman" w:cs="Times New Roman"/>
          <w:color w:val="0070C0"/>
        </w:rPr>
        <w:t>Carlson et al., 1999</w:t>
      </w:r>
      <w:r w:rsidRPr="00470CC2">
        <w:rPr>
          <w:rFonts w:ascii="Times New Roman" w:hAnsi="Times New Roman" w:cs="Times New Roman"/>
        </w:rPr>
        <w:t>). Pooled fission-track ages (</w:t>
      </w:r>
      <w:r w:rsidRPr="00470CC2">
        <w:rPr>
          <w:rFonts w:ascii="Times New Roman" w:hAnsi="Times New Roman" w:cs="Times New Roman"/>
          <w:i/>
          <w:iCs/>
        </w:rPr>
        <w:t>t</w:t>
      </w:r>
      <w:r w:rsidRPr="00470CC2">
        <w:rPr>
          <w:rFonts w:ascii="Times New Roman" w:hAnsi="Times New Roman" w:cs="Times New Roman"/>
        </w:rPr>
        <w:t>) and their errors (</w:t>
      </w:r>
      <w:r w:rsidRPr="00470CC2">
        <w:rPr>
          <w:rFonts w:ascii="Times New Roman" w:hAnsi="Times New Roman" w:cs="Times New Roman"/>
          <w:i/>
          <w:iCs/>
        </w:rPr>
        <w:t>σ</w:t>
      </w:r>
      <w:r w:rsidRPr="00470CC2">
        <w:rPr>
          <w:rFonts w:ascii="Times New Roman" w:hAnsi="Times New Roman" w:cs="Times New Roman"/>
        </w:rPr>
        <w:t>) are calculated by equations:</w:t>
      </w:r>
    </w:p>
    <w:p w14:paraId="27498BAB" w14:textId="77777777" w:rsidR="00870936" w:rsidRPr="00470CC2" w:rsidRDefault="00870936" w:rsidP="00870936">
      <w:pPr>
        <w:pStyle w:val="FigureorTableCaption"/>
      </w:pPr>
      <m:oMathPara>
        <m:oMath>
          <m:r>
            <w:rPr>
              <w:rFonts w:ascii="Cambria Math" w:hAnsi="Cambria Math"/>
            </w:rPr>
            <m:t>t=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1</m:t>
              </m:r>
            </m:num>
            <m:den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λ</m:t>
                  </m:r>
                </m:e>
                <m:sub>
                  <m:r>
                    <w:rPr>
                      <w:rFonts w:ascii="Cambria Math" w:hAnsi="Cambria Math"/>
                    </w:rPr>
                    <m:t>D</m:t>
                  </m:r>
                </m:sub>
              </m:sSub>
            </m:den>
          </m:f>
          <m:r>
            <w:rPr>
              <w:rFonts w:ascii="Cambria Math" w:hAnsi="Cambria Math"/>
            </w:rPr>
            <m:t>ln</m:t>
          </m:r>
          <m:d>
            <m:dPr>
              <m:ctrlPr>
                <w:rPr>
                  <w:rFonts w:ascii="Cambria Math" w:hAnsi="Cambria Math"/>
                  <w:i/>
                </w:rPr>
              </m:ctrlPr>
            </m:dPr>
            <m:e>
              <m:r>
                <w:rPr>
                  <w:rFonts w:ascii="Cambria Math" w:hAnsi="Cambria Math"/>
                </w:rPr>
                <m:t>1+</m:t>
              </m:r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λ</m:t>
                  </m:r>
                </m:e>
                <m:sub>
                  <m:r>
                    <w:rPr>
                      <w:rFonts w:ascii="Cambria Math" w:hAnsi="Cambria Math"/>
                    </w:rPr>
                    <m:t>D</m:t>
                  </m:r>
                </m:sub>
              </m:sSub>
              <m:r>
                <w:rPr>
                  <w:rFonts w:ascii="Cambria Math" w:hAnsi="Cambria Math"/>
                </w:rPr>
                <m:t>∙g∙ζ</m:t>
              </m:r>
              <m:f>
                <m:fPr>
                  <m:ctrlPr>
                    <w:rPr>
                      <w:rFonts w:ascii="Cambria Math" w:hAnsi="Cambria Math"/>
                      <w:i/>
                    </w:rPr>
                  </m:ctrlPr>
                </m:fPr>
                <m:num>
                  <m:nary>
                    <m:naryPr>
                      <m:chr m:val="∑"/>
                      <m:limLoc m:val="undOvr"/>
                      <m:subHide m:val="1"/>
                      <m:supHide m:val="1"/>
                      <m:ctrlPr>
                        <w:rPr>
                          <w:rFonts w:ascii="Cambria Math" w:hAnsi="Cambria Math"/>
                          <w:i/>
                        </w:rPr>
                      </m:ctrlPr>
                    </m:naryPr>
                    <m:sub/>
                    <m:sup/>
                    <m:e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</w:rPr>
                            <m:t>N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</w:rPr>
                            <m:t>s</m:t>
                          </m:r>
                        </m:sub>
                      </m:sSub>
                    </m:e>
                  </m:nary>
                </m:num>
                <m:den>
                  <m:nary>
                    <m:naryPr>
                      <m:chr m:val="∑"/>
                      <m:limLoc m:val="undOvr"/>
                      <m:subHide m:val="1"/>
                      <m:supHide m:val="1"/>
                      <m:ctrlPr>
                        <w:rPr>
                          <w:rFonts w:ascii="Cambria Math" w:hAnsi="Cambria Math"/>
                          <w:i/>
                        </w:rPr>
                      </m:ctrlPr>
                    </m:naryPr>
                    <m:sub/>
                    <m:sup/>
                    <m:e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</w:rPr>
                            <m:t>N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</w:rPr>
                            <m:t>U</m:t>
                          </m:r>
                        </m:sub>
                      </m:sSub>
                    </m:e>
                  </m:nary>
                </m:den>
              </m:f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ρ</m:t>
                  </m:r>
                </m:e>
                <m:sub>
                  <m:r>
                    <w:rPr>
                      <w:rFonts w:ascii="Cambria Math" w:hAnsi="Cambria Math"/>
                    </w:rPr>
                    <m:t>U-std</m:t>
                  </m:r>
                </m:sub>
              </m:sSub>
            </m:e>
          </m:d>
        </m:oMath>
      </m:oMathPara>
    </w:p>
    <w:p w14:paraId="4B7FE986" w14:textId="77777777" w:rsidR="00870936" w:rsidRPr="00470CC2" w:rsidRDefault="00870936" w:rsidP="00870936">
      <w:pPr>
        <w:pStyle w:val="FigureorTableCaption"/>
      </w:pPr>
      <m:oMathPara>
        <m:oMath>
          <m:r>
            <w:rPr>
              <w:rFonts w:ascii="Cambria Math" w:hAnsi="Cambria Math"/>
            </w:rPr>
            <m:t>σ=t</m:t>
          </m:r>
          <m:rad>
            <m:radPr>
              <m:degHide m:val="1"/>
              <m:ctrlPr>
                <w:rPr>
                  <w:rFonts w:ascii="Cambria Math" w:hAnsi="Cambria Math"/>
                  <w:i/>
                </w:rPr>
              </m:ctrlPr>
            </m:radPr>
            <m:deg/>
            <m:e>
              <m:f>
                <m:fPr>
                  <m:ctrlPr>
                    <w:rPr>
                      <w:rFonts w:ascii="Cambria Math" w:hAnsi="Cambria Math"/>
                      <w:i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1</m:t>
                  </m:r>
                </m:num>
                <m:den>
                  <m:nary>
                    <m:naryPr>
                      <m:chr m:val="∑"/>
                      <m:limLoc m:val="undOvr"/>
                      <m:subHide m:val="1"/>
                      <m:supHide m:val="1"/>
                      <m:ctrlPr>
                        <w:rPr>
                          <w:rFonts w:ascii="Cambria Math" w:hAnsi="Cambria Math"/>
                          <w:i/>
                        </w:rPr>
                      </m:ctrlPr>
                    </m:naryPr>
                    <m:sub/>
                    <m:sup/>
                    <m:e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</w:rPr>
                            <m:t>N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</w:rPr>
                            <m:t>s</m:t>
                          </m:r>
                        </m:sub>
                      </m:sSub>
                    </m:e>
                  </m:nary>
                </m:den>
              </m:f>
              <m:r>
                <w:rPr>
                  <w:rFonts w:ascii="Cambria Math" w:hAnsi="Cambria Math"/>
                </w:rPr>
                <m:t>+</m:t>
              </m:r>
              <m:f>
                <m:fPr>
                  <m:ctrlPr>
                    <w:rPr>
                      <w:rFonts w:ascii="Cambria Math" w:hAnsi="Cambria Math"/>
                      <w:i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1</m:t>
                  </m:r>
                </m:num>
                <m:den>
                  <m:nary>
                    <m:naryPr>
                      <m:chr m:val="∑"/>
                      <m:limLoc m:val="undOvr"/>
                      <m:subHide m:val="1"/>
                      <m:supHide m:val="1"/>
                      <m:ctrlPr>
                        <w:rPr>
                          <w:rFonts w:ascii="Cambria Math" w:hAnsi="Cambria Math"/>
                          <w:i/>
                        </w:rPr>
                      </m:ctrlPr>
                    </m:naryPr>
                    <m:sub/>
                    <m:sup/>
                    <m:e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</w:rPr>
                            <m:t>N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</w:rPr>
                            <m:t>U</m:t>
                          </m:r>
                        </m:sub>
                      </m:sSub>
                    </m:e>
                  </m:nary>
                </m:den>
              </m:f>
              <m:r>
                <w:rPr>
                  <w:rFonts w:ascii="Cambria Math" w:hAnsi="Cambria Math"/>
                </w:rPr>
                <m:t>+</m:t>
              </m:r>
              <m:f>
                <m:fPr>
                  <m:ctrlPr>
                    <w:rPr>
                      <w:rFonts w:ascii="Cambria Math" w:hAnsi="Cambria Math"/>
                      <w:i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1</m:t>
                  </m:r>
                </m:num>
                <m:den>
                  <m:nary>
                    <m:naryPr>
                      <m:chr m:val="∑"/>
                      <m:limLoc m:val="undOvr"/>
                      <m:subHide m:val="1"/>
                      <m:supHide m:val="1"/>
                      <m:ctrlPr>
                        <w:rPr>
                          <w:rFonts w:ascii="Cambria Math" w:hAnsi="Cambria Math"/>
                          <w:i/>
                        </w:rPr>
                      </m:ctrlPr>
                    </m:naryPr>
                    <m:sub/>
                    <m:sup/>
                    <m:e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</w:rPr>
                            <m:t>N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</w:rPr>
                            <m:t>U-std</m:t>
                          </m:r>
                        </m:sub>
                      </m:sSub>
                    </m:e>
                  </m:nary>
                </m:den>
              </m:f>
              <m:r>
                <w:rPr>
                  <w:rFonts w:ascii="Cambria Math" w:hAnsi="Cambria Math"/>
                </w:rPr>
                <m:t>+</m:t>
              </m:r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hAnsi="Cambria Math"/>
                          <w:i/>
                        </w:rPr>
                      </m:ctrlPr>
                    </m:dPr>
                    <m:e>
                      <m:f>
                        <m:fPr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fPr>
                        <m:num>
                          <m:sSub>
                            <m:sSubPr>
                              <m:ctrlPr>
                                <w:rPr>
                                  <w:rFonts w:ascii="Cambria Math" w:hAnsi="Cambria Math"/>
                                  <w:i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/>
                                </w:rPr>
                                <m:t>σ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/>
                                </w:rPr>
                                <m:t>ζ</m:t>
                              </m:r>
                            </m:sub>
                          </m:sSub>
                        </m:num>
                        <m:den>
                          <m:r>
                            <w:rPr>
                              <w:rFonts w:ascii="Cambria Math" w:hAnsi="Cambria Math"/>
                            </w:rPr>
                            <m:t>ζ</m:t>
                          </m:r>
                        </m:den>
                      </m:f>
                    </m:e>
                  </m:d>
                </m:e>
                <m:sup>
                  <m:r>
                    <w:rPr>
                      <w:rFonts w:ascii="Cambria Math" w:hAnsi="Cambria Math"/>
                    </w:rPr>
                    <m:t>2</m:t>
                  </m:r>
                </m:sup>
              </m:sSup>
            </m:e>
          </m:rad>
        </m:oMath>
      </m:oMathPara>
    </w:p>
    <w:p w14:paraId="052EA1AF" w14:textId="77777777" w:rsidR="00870936" w:rsidRPr="00470CC2" w:rsidRDefault="00870936" w:rsidP="00870936">
      <w:pPr>
        <w:spacing w:line="480" w:lineRule="auto"/>
        <w:jc w:val="left"/>
        <w:rPr>
          <w:rFonts w:ascii="Times New Roman" w:hAnsi="Times New Roman" w:cs="Times New Roman"/>
          <w:color w:val="000000"/>
          <w:kern w:val="0"/>
        </w:rPr>
      </w:pPr>
      <w:r w:rsidRPr="00470CC2">
        <w:rPr>
          <w:rFonts w:ascii="Times New Roman" w:hAnsi="Times New Roman" w:cs="Times New Roman"/>
        </w:rPr>
        <w:t xml:space="preserve">where </w:t>
      </w:r>
      <w:r w:rsidRPr="00470CC2">
        <w:rPr>
          <w:rFonts w:ascii="Times New Roman" w:hAnsi="Times New Roman" w:cs="Times New Roman"/>
          <w:i/>
          <w:iCs/>
        </w:rPr>
        <w:t>λ</w:t>
      </w:r>
      <w:r w:rsidRPr="00470CC2">
        <w:rPr>
          <w:rFonts w:ascii="Times New Roman" w:hAnsi="Times New Roman" w:cs="Times New Roman"/>
          <w:vertAlign w:val="subscript"/>
        </w:rPr>
        <w:t>D</w:t>
      </w:r>
      <w:r w:rsidRPr="00470CC2">
        <w:rPr>
          <w:rFonts w:ascii="Times New Roman" w:hAnsi="Times New Roman" w:cs="Times New Roman"/>
        </w:rPr>
        <w:t xml:space="preserve"> is total decay constant of </w:t>
      </w:r>
      <w:r w:rsidRPr="00470CC2">
        <w:rPr>
          <w:rFonts w:ascii="Times New Roman" w:hAnsi="Times New Roman" w:cs="Times New Roman"/>
          <w:vertAlign w:val="superscript"/>
        </w:rPr>
        <w:t>238</w:t>
      </w:r>
      <w:r w:rsidRPr="00470CC2">
        <w:rPr>
          <w:rFonts w:ascii="Times New Roman" w:hAnsi="Times New Roman" w:cs="Times New Roman"/>
        </w:rPr>
        <w:t>U (= 1.55125 × 10</w:t>
      </w:r>
      <w:r w:rsidRPr="00470CC2">
        <w:rPr>
          <w:rFonts w:ascii="Times New Roman" w:hAnsi="Times New Roman" w:cs="Times New Roman"/>
          <w:vertAlign w:val="superscript"/>
        </w:rPr>
        <w:t>−10</w:t>
      </w:r>
      <w:r w:rsidRPr="00470CC2">
        <w:rPr>
          <w:rFonts w:ascii="Times New Roman" w:hAnsi="Times New Roman" w:cs="Times New Roman"/>
        </w:rPr>
        <w:t xml:space="preserve"> yr</w:t>
      </w:r>
      <w:r w:rsidRPr="00470CC2">
        <w:rPr>
          <w:rFonts w:ascii="Times New Roman" w:hAnsi="Times New Roman" w:cs="Times New Roman"/>
          <w:vertAlign w:val="superscript"/>
        </w:rPr>
        <w:t>−1</w:t>
      </w:r>
      <w:r w:rsidRPr="00470CC2">
        <w:rPr>
          <w:rFonts w:ascii="Times New Roman" w:hAnsi="Times New Roman" w:cs="Times New Roman"/>
        </w:rPr>
        <w:t xml:space="preserve">), and </w:t>
      </w:r>
      <w:r w:rsidRPr="00470CC2">
        <w:rPr>
          <w:rFonts w:ascii="Times New Roman" w:hAnsi="Times New Roman" w:cs="Times New Roman"/>
          <w:i/>
          <w:iCs/>
        </w:rPr>
        <w:t>g</w:t>
      </w:r>
      <w:r w:rsidRPr="00470CC2">
        <w:rPr>
          <w:rFonts w:ascii="Times New Roman" w:hAnsi="Times New Roman" w:cs="Times New Roman"/>
        </w:rPr>
        <w:t xml:space="preserve"> is geometry factor (= 0.5 for internal surfaces). Nancy 91500 zircon and Durango apatite were used as uranium standards (Supp. </w:t>
      </w:r>
      <w:r w:rsidRPr="00470CC2">
        <w:rPr>
          <w:rFonts w:ascii="Times New Roman" w:hAnsi="Times New Roman" w:cs="Times New Roman"/>
          <w:color w:val="FF0000"/>
        </w:rPr>
        <w:t>Text S2</w:t>
      </w:r>
      <w:r w:rsidRPr="00470CC2">
        <w:rPr>
          <w:rFonts w:ascii="Times New Roman" w:hAnsi="Times New Roman" w:cs="Times New Roman"/>
        </w:rPr>
        <w:t xml:space="preserve">). [Cl, chlorine content; </w:t>
      </w:r>
      <w:r w:rsidRPr="00470CC2">
        <w:rPr>
          <w:rFonts w:ascii="Times New Roman" w:hAnsi="Times New Roman" w:cs="Times New Roman"/>
          <w:i/>
          <w:iCs/>
        </w:rPr>
        <w:t>N</w:t>
      </w:r>
      <w:r w:rsidRPr="00470CC2">
        <w:rPr>
          <w:rFonts w:ascii="Times New Roman" w:hAnsi="Times New Roman" w:cs="Times New Roman"/>
          <w:vertAlign w:val="subscript"/>
        </w:rPr>
        <w:t>s</w:t>
      </w:r>
      <w:r w:rsidRPr="00470CC2">
        <w:rPr>
          <w:rFonts w:ascii="Times New Roman" w:hAnsi="Times New Roman" w:cs="Times New Roman"/>
        </w:rPr>
        <w:t xml:space="preserve">, number of spontaneous tracks; </w:t>
      </w:r>
      <w:r w:rsidRPr="00470CC2">
        <w:rPr>
          <w:rFonts w:ascii="Times New Roman" w:hAnsi="Times New Roman" w:cs="Times New Roman"/>
          <w:i/>
          <w:iCs/>
        </w:rPr>
        <w:t>N</w:t>
      </w:r>
      <w:r w:rsidRPr="00470CC2">
        <w:rPr>
          <w:rFonts w:ascii="Times New Roman" w:hAnsi="Times New Roman" w:cs="Times New Roman"/>
          <w:vertAlign w:val="subscript"/>
        </w:rPr>
        <w:t>U</w:t>
      </w:r>
      <w:r w:rsidRPr="00470CC2">
        <w:rPr>
          <w:rFonts w:ascii="Times New Roman" w:hAnsi="Times New Roman" w:cs="Times New Roman"/>
        </w:rPr>
        <w:t>, number of uranium measurements on unknowns;</w:t>
      </w:r>
      <w:r w:rsidRPr="00470CC2">
        <w:rPr>
          <w:rFonts w:ascii="Times New Roman" w:hAnsi="Times New Roman" w:cs="Times New Roman"/>
          <w:i/>
          <w:iCs/>
        </w:rPr>
        <w:t xml:space="preserve"> N</w:t>
      </w:r>
      <w:r w:rsidRPr="00470CC2">
        <w:rPr>
          <w:rFonts w:ascii="Times New Roman" w:hAnsi="Times New Roman" w:cs="Times New Roman"/>
          <w:vertAlign w:val="subscript"/>
        </w:rPr>
        <w:t>U-std</w:t>
      </w:r>
      <w:r w:rsidRPr="00470CC2">
        <w:rPr>
          <w:rFonts w:ascii="Times New Roman" w:hAnsi="Times New Roman" w:cs="Times New Roman"/>
        </w:rPr>
        <w:t xml:space="preserve">, number of uranium measurements on standard; </w:t>
      </w:r>
      <w:r w:rsidRPr="00470CC2">
        <w:rPr>
          <w:rFonts w:ascii="Times New Roman" w:hAnsi="Times New Roman" w:cs="Times New Roman"/>
          <w:i/>
          <w:iCs/>
        </w:rPr>
        <w:t>ρ</w:t>
      </w:r>
      <w:r w:rsidRPr="00470CC2">
        <w:rPr>
          <w:rFonts w:ascii="Times New Roman" w:hAnsi="Times New Roman" w:cs="Times New Roman"/>
          <w:vertAlign w:val="subscript"/>
        </w:rPr>
        <w:t>s</w:t>
      </w:r>
      <w:r w:rsidRPr="00470CC2">
        <w:rPr>
          <w:rFonts w:ascii="Times New Roman" w:hAnsi="Times New Roman" w:cs="Times New Roman"/>
        </w:rPr>
        <w:t xml:space="preserve">, density of spontaneous tracks; </w:t>
      </w:r>
      <w:r w:rsidRPr="00470CC2">
        <w:rPr>
          <w:rFonts w:ascii="Times New Roman" w:hAnsi="Times New Roman" w:cs="Times New Roman"/>
          <w:i/>
          <w:iCs/>
        </w:rPr>
        <w:t>ρ</w:t>
      </w:r>
      <w:r w:rsidRPr="00470CC2">
        <w:rPr>
          <w:rFonts w:ascii="Times New Roman" w:hAnsi="Times New Roman" w:cs="Times New Roman"/>
          <w:vertAlign w:val="subscript"/>
        </w:rPr>
        <w:t>U</w:t>
      </w:r>
      <w:r w:rsidRPr="00470CC2">
        <w:rPr>
          <w:rFonts w:ascii="Times New Roman" w:hAnsi="Times New Roman" w:cs="Times New Roman"/>
        </w:rPr>
        <w:t xml:space="preserve">, density of uranium measurements on unknowns; </w:t>
      </w:r>
      <w:r w:rsidRPr="00470CC2">
        <w:rPr>
          <w:rFonts w:ascii="Times New Roman" w:hAnsi="Times New Roman" w:cs="Times New Roman"/>
          <w:i/>
          <w:iCs/>
        </w:rPr>
        <w:t>ρ</w:t>
      </w:r>
      <w:r w:rsidRPr="00470CC2">
        <w:rPr>
          <w:rFonts w:ascii="Times New Roman" w:hAnsi="Times New Roman" w:cs="Times New Roman"/>
          <w:vertAlign w:val="subscript"/>
        </w:rPr>
        <w:t>U-std</w:t>
      </w:r>
      <w:r w:rsidRPr="00470CC2">
        <w:rPr>
          <w:rFonts w:ascii="Times New Roman" w:hAnsi="Times New Roman" w:cs="Times New Roman"/>
        </w:rPr>
        <w:t>, density of uranium measurements on standard; U, uranium content</w:t>
      </w:r>
      <w:r>
        <w:rPr>
          <w:rFonts w:ascii="Times New Roman" w:hAnsi="Times New Roman" w:cs="Times New Roman"/>
        </w:rPr>
        <w:t xml:space="preserve">; </w:t>
      </w:r>
      <w:r w:rsidRPr="00782E48">
        <w:rPr>
          <w:rFonts w:ascii="Times New Roman" w:hAnsi="Times New Roman" w:cs="Times New Roman" w:hint="eastAsia"/>
        </w:rPr>
        <w:t>ζ</w:t>
      </w:r>
      <w:r>
        <w:rPr>
          <w:rFonts w:ascii="Times New Roman" w:hAnsi="Times New Roman" w:cs="Times New Roman" w:hint="eastAsia"/>
        </w:rPr>
        <w:t>,</w:t>
      </w:r>
      <w:r>
        <w:rPr>
          <w:rFonts w:ascii="Times New Roman" w:hAnsi="Times New Roman" w:cs="Times New Roman"/>
        </w:rPr>
        <w:t xml:space="preserve"> zeta calibration factor; </w:t>
      </w:r>
      <w:r w:rsidRPr="00470CC2">
        <w:rPr>
          <w:rFonts w:ascii="Times New Roman" w:hAnsi="Times New Roman" w:cs="Times New Roman"/>
          <w:i/>
          <w:iCs/>
        </w:rPr>
        <w:t>σ</w:t>
      </w:r>
      <w:r w:rsidRPr="009D0C33">
        <w:rPr>
          <w:rFonts w:ascii="Times New Roman" w:hAnsi="Times New Roman" w:cs="Times New Roman"/>
          <w:vertAlign w:val="subscript"/>
        </w:rPr>
        <w:t>ζ</w:t>
      </w:r>
      <w:r>
        <w:rPr>
          <w:rFonts w:ascii="Times New Roman" w:hAnsi="Times New Roman" w:cs="Times New Roman"/>
        </w:rPr>
        <w:t>, error of zeta calibration factor</w:t>
      </w:r>
      <w:r w:rsidRPr="00470CC2">
        <w:rPr>
          <w:rFonts w:ascii="Times New Roman" w:hAnsi="Times New Roman" w:cs="Times New Roman"/>
        </w:rPr>
        <w:t>]</w:t>
      </w:r>
    </w:p>
    <w:p w14:paraId="68FD6E8B" w14:textId="77777777" w:rsidR="00870936" w:rsidRPr="00470CC2" w:rsidRDefault="00870936" w:rsidP="00870936">
      <w:pPr>
        <w:spacing w:line="480" w:lineRule="auto"/>
        <w:jc w:val="left"/>
        <w:rPr>
          <w:rFonts w:ascii="Times New Roman" w:hAnsi="Times New Roman" w:cs="Times New Roman"/>
          <w:color w:val="000000"/>
          <w:kern w:val="0"/>
        </w:rPr>
      </w:pPr>
    </w:p>
    <w:p w14:paraId="5D86BEA2" w14:textId="77777777" w:rsidR="00870936" w:rsidRDefault="00870936" w:rsidP="00870936">
      <w:pPr>
        <w:spacing w:line="480" w:lineRule="auto"/>
        <w:jc w:val="left"/>
        <w:rPr>
          <w:rFonts w:ascii="Times New Roman" w:hAnsi="Times New Roman" w:cs="Times New Roman"/>
          <w:color w:val="000000"/>
          <w:kern w:val="0"/>
        </w:rPr>
      </w:pPr>
      <w:r w:rsidRPr="00FF0A53">
        <w:rPr>
          <w:rFonts w:ascii="Times New Roman" w:hAnsi="Times New Roman" w:cs="Times New Roman"/>
          <w:b/>
          <w:bCs/>
          <w:color w:val="000000"/>
          <w:kern w:val="0"/>
        </w:rPr>
        <w:t xml:space="preserve">Table 5. </w:t>
      </w:r>
      <w:r w:rsidRPr="009D0C33">
        <w:rPr>
          <w:rFonts w:ascii="Times New Roman" w:hAnsi="Times New Roman" w:cs="Times New Roman"/>
          <w:color w:val="000000"/>
          <w:kern w:val="0"/>
        </w:rPr>
        <w:t>Summary of age clusters of ZFT data.</w:t>
      </w:r>
      <w:r>
        <w:rPr>
          <w:rFonts w:ascii="Times New Roman" w:hAnsi="Times New Roman" w:cs="Times New Roman"/>
          <w:color w:val="000000"/>
          <w:kern w:val="0"/>
        </w:rPr>
        <w:t xml:space="preserve"> The parameters were calculated by using IsoplotR (</w:t>
      </w:r>
      <w:r w:rsidRPr="009D0C33">
        <w:rPr>
          <w:rFonts w:ascii="Times New Roman" w:hAnsi="Times New Roman" w:cs="Times New Roman"/>
          <w:color w:val="0070C0"/>
          <w:kern w:val="0"/>
        </w:rPr>
        <w:t>Vermeesch, 2018</w:t>
      </w:r>
      <w:r>
        <w:rPr>
          <w:rFonts w:ascii="Times New Roman" w:hAnsi="Times New Roman" w:cs="Times New Roman"/>
          <w:color w:val="000000"/>
          <w:kern w:val="0"/>
        </w:rPr>
        <w:t xml:space="preserve">). [MSWD, </w:t>
      </w:r>
      <w:r w:rsidRPr="00E95E98">
        <w:rPr>
          <w:rFonts w:ascii="Times New Roman" w:hAnsi="Times New Roman" w:cs="Times New Roman"/>
          <w:color w:val="000000"/>
          <w:kern w:val="0"/>
        </w:rPr>
        <w:t>mean square weighted deviation</w:t>
      </w:r>
      <w:r>
        <w:rPr>
          <w:rFonts w:ascii="Times New Roman" w:hAnsi="Times New Roman" w:cs="Times New Roman"/>
          <w:color w:val="000000"/>
          <w:kern w:val="0"/>
        </w:rPr>
        <w:t xml:space="preserve">; </w:t>
      </w:r>
      <w:r w:rsidRPr="00FF0A53">
        <w:rPr>
          <w:rFonts w:ascii="Times New Roman" w:hAnsi="Times New Roman" w:cs="Times New Roman"/>
          <w:color w:val="000000"/>
          <w:kern w:val="0"/>
        </w:rPr>
        <w:t>P(χ</w:t>
      </w:r>
      <w:r w:rsidRPr="009D0C33">
        <w:rPr>
          <w:rFonts w:ascii="Times New Roman" w:hAnsi="Times New Roman" w:cs="Times New Roman"/>
          <w:color w:val="000000"/>
          <w:kern w:val="0"/>
          <w:vertAlign w:val="superscript"/>
        </w:rPr>
        <w:t>2</w:t>
      </w:r>
      <w:r w:rsidRPr="00FF0A53">
        <w:rPr>
          <w:rFonts w:ascii="Times New Roman" w:hAnsi="Times New Roman" w:cs="Times New Roman"/>
          <w:color w:val="000000"/>
          <w:kern w:val="0"/>
        </w:rPr>
        <w:t>)</w:t>
      </w:r>
      <w:r>
        <w:rPr>
          <w:rFonts w:ascii="Times New Roman" w:hAnsi="Times New Roman" w:cs="Times New Roman"/>
          <w:color w:val="000000"/>
          <w:kern w:val="0"/>
        </w:rPr>
        <w:t xml:space="preserve">, </w:t>
      </w:r>
      <w:r w:rsidRPr="00E95E98">
        <w:rPr>
          <w:rFonts w:ascii="Times New Roman" w:hAnsi="Times New Roman" w:cs="Times New Roman"/>
          <w:color w:val="000000"/>
          <w:kern w:val="0"/>
        </w:rPr>
        <w:t>the p-value of a chi-square probability for homogeneity</w:t>
      </w:r>
      <w:r>
        <w:rPr>
          <w:rFonts w:ascii="Times New Roman" w:hAnsi="Times New Roman" w:cs="Times New Roman"/>
          <w:color w:val="000000"/>
          <w:kern w:val="0"/>
        </w:rPr>
        <w:t xml:space="preserve">; 95%CI, </w:t>
      </w:r>
      <w:r w:rsidRPr="00E95E98">
        <w:rPr>
          <w:rFonts w:ascii="Times New Roman" w:hAnsi="Times New Roman" w:cs="Times New Roman"/>
          <w:color w:val="000000"/>
          <w:kern w:val="0"/>
        </w:rPr>
        <w:t>95% confidence interval</w:t>
      </w:r>
      <w:r>
        <w:rPr>
          <w:rFonts w:ascii="Times New Roman" w:hAnsi="Times New Roman" w:cs="Times New Roman"/>
          <w:color w:val="000000"/>
          <w:kern w:val="0"/>
        </w:rPr>
        <w:t>]</w:t>
      </w:r>
    </w:p>
    <w:p w14:paraId="154C3B86" w14:textId="77777777" w:rsidR="00870936" w:rsidRPr="00A605AD" w:rsidRDefault="00870936" w:rsidP="00870936">
      <w:pPr>
        <w:spacing w:line="480" w:lineRule="auto"/>
        <w:jc w:val="left"/>
        <w:rPr>
          <w:rFonts w:ascii="Times New Roman" w:hAnsi="Times New Roman" w:cs="Times New Roman"/>
          <w:b/>
          <w:bCs/>
          <w:color w:val="000000"/>
          <w:kern w:val="0"/>
        </w:rPr>
      </w:pPr>
    </w:p>
    <w:p w14:paraId="28944206" w14:textId="77777777" w:rsidR="00870936" w:rsidRPr="00E54788" w:rsidRDefault="00870936" w:rsidP="00870936">
      <w:pPr>
        <w:spacing w:line="480" w:lineRule="auto"/>
        <w:jc w:val="left"/>
        <w:rPr>
          <w:rFonts w:ascii="Times New Roman" w:hAnsi="Times New Roman" w:cs="Times New Roman"/>
          <w:color w:val="000000"/>
          <w:kern w:val="0"/>
        </w:rPr>
      </w:pPr>
      <w:r w:rsidRPr="00470CC2">
        <w:rPr>
          <w:rFonts w:ascii="Times New Roman" w:hAnsi="Times New Roman" w:cs="Times New Roman"/>
          <w:b/>
          <w:bCs/>
          <w:color w:val="000000"/>
          <w:kern w:val="0"/>
        </w:rPr>
        <w:t xml:space="preserve">Table </w:t>
      </w:r>
      <w:r>
        <w:rPr>
          <w:rFonts w:ascii="Times New Roman" w:hAnsi="Times New Roman" w:cs="Times New Roman"/>
          <w:b/>
          <w:bCs/>
          <w:color w:val="000000"/>
          <w:kern w:val="0"/>
        </w:rPr>
        <w:t>6</w:t>
      </w:r>
      <w:r w:rsidRPr="00470CC2">
        <w:rPr>
          <w:rFonts w:ascii="Times New Roman" w:hAnsi="Times New Roman" w:cs="Times New Roman"/>
          <w:b/>
          <w:bCs/>
          <w:color w:val="000000"/>
          <w:kern w:val="0"/>
        </w:rPr>
        <w:t>.</w:t>
      </w:r>
      <w:r w:rsidRPr="00470CC2">
        <w:rPr>
          <w:rFonts w:ascii="Times New Roman" w:hAnsi="Times New Roman" w:cs="Times New Roman"/>
          <w:color w:val="000000"/>
          <w:kern w:val="0"/>
        </w:rPr>
        <w:t xml:space="preserve"> </w:t>
      </w:r>
      <w:r w:rsidRPr="00470CC2">
        <w:rPr>
          <w:rFonts w:ascii="Times New Roman" w:hAnsi="Times New Roman" w:cs="Times New Roman"/>
        </w:rPr>
        <w:t xml:space="preserve">Summary of zircon (U–Th)/He data. </w:t>
      </w:r>
      <w:r w:rsidRPr="00470CC2">
        <w:rPr>
          <w:rFonts w:ascii="Times New Roman" w:hAnsi="Times New Roman" w:cs="Times New Roman"/>
          <w:vertAlign w:val="superscript"/>
        </w:rPr>
        <w:t>a</w:t>
      </w:r>
      <w:r w:rsidRPr="00470CC2">
        <w:rPr>
          <w:rFonts w:ascii="Times New Roman" w:hAnsi="Times New Roman" w:cs="Times New Roman"/>
          <w:i/>
          <w:iCs/>
        </w:rPr>
        <w:t>F</w:t>
      </w:r>
      <w:r w:rsidRPr="00470CC2">
        <w:rPr>
          <w:rFonts w:ascii="Times New Roman" w:hAnsi="Times New Roman" w:cs="Times New Roman"/>
          <w:vertAlign w:val="subscript"/>
        </w:rPr>
        <w:t>T</w:t>
      </w:r>
      <w:r w:rsidRPr="00470CC2">
        <w:rPr>
          <w:rFonts w:ascii="Times New Roman" w:hAnsi="Times New Roman" w:cs="Times New Roman"/>
        </w:rPr>
        <w:t xml:space="preserve"> is α-ejection correlation (</w:t>
      </w:r>
      <w:r w:rsidRPr="00470CC2">
        <w:rPr>
          <w:rFonts w:ascii="Times New Roman" w:hAnsi="Times New Roman" w:cs="Times New Roman"/>
          <w:color w:val="0070C0"/>
        </w:rPr>
        <w:t>Farley et al., 1996;</w:t>
      </w:r>
      <w:r w:rsidRPr="00470CC2">
        <w:rPr>
          <w:rFonts w:ascii="Times New Roman" w:hAnsi="Times New Roman" w:cs="Times New Roman"/>
        </w:rPr>
        <w:t xml:space="preserve"> </w:t>
      </w:r>
      <w:r w:rsidRPr="00470CC2">
        <w:rPr>
          <w:rFonts w:ascii="Times New Roman" w:hAnsi="Times New Roman" w:cs="Times New Roman"/>
          <w:color w:val="0070C0"/>
        </w:rPr>
        <w:t>Hourigan et al. (2005)</w:t>
      </w:r>
      <w:r w:rsidRPr="00470CC2">
        <w:rPr>
          <w:rFonts w:ascii="Times New Roman" w:hAnsi="Times New Roman" w:cs="Times New Roman"/>
        </w:rPr>
        <w:t>. Proxy for alpha-radiation activity is computed as eU = [U] + 0.235[Th] (</w:t>
      </w:r>
      <w:r w:rsidRPr="00470CC2">
        <w:rPr>
          <w:rFonts w:ascii="Times New Roman" w:hAnsi="Times New Roman" w:cs="Times New Roman"/>
          <w:color w:val="0070C0"/>
        </w:rPr>
        <w:t>Shuster et al., 2006</w:t>
      </w:r>
      <w:r w:rsidRPr="00470CC2">
        <w:rPr>
          <w:rFonts w:ascii="Times New Roman" w:hAnsi="Times New Roman" w:cs="Times New Roman"/>
        </w:rPr>
        <w:t>). [*, sample lost during U–Th measurement; **, not included in weighted mean calculations; Corr., corrected; eU, effective uranium concentration]</w:t>
      </w:r>
    </w:p>
    <w:p w14:paraId="1551B8EE" w14:textId="77777777" w:rsidR="00CA67E5" w:rsidRDefault="000D3BA1"/>
    <w:sectPr w:rsidR="00CA67E5" w:rsidSect="00780760">
      <w:pgSz w:w="11900" w:h="16840"/>
      <w:pgMar w:top="1985" w:right="1701" w:bottom="1701" w:left="1701" w:header="851" w:footer="992" w:gutter="0"/>
      <w:lnNumType w:countBy="1" w:restart="continuous"/>
      <w:cols w:space="425"/>
      <w:docGrid w:type="lines" w:linePitch="40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0936"/>
    <w:rsid w:val="000D3BA1"/>
    <w:rsid w:val="00753CA0"/>
    <w:rsid w:val="00870936"/>
    <w:rsid w:val="00AC3DA1"/>
    <w:rsid w:val="00D070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71BD3F"/>
  <w15:chartTrackingRefBased/>
  <w15:docId w15:val="{E4495FBD-A27D-42D3-A98D-8D6BC5993E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70936"/>
    <w:pPr>
      <w:widowControl w:val="0"/>
      <w:spacing w:after="0" w:line="240" w:lineRule="auto"/>
      <w:jc w:val="both"/>
    </w:pPr>
    <w:rPr>
      <w:rFonts w:eastAsiaTheme="minorEastAsia"/>
      <w:kern w:val="2"/>
      <w:sz w:val="24"/>
      <w:szCs w:val="24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FigureorTableCaption">
    <w:name w:val="Figure or Table Caption"/>
    <w:basedOn w:val="Normal"/>
    <w:rsid w:val="00870936"/>
    <w:pPr>
      <w:keepNext/>
      <w:widowControl/>
      <w:spacing w:before="240"/>
      <w:jc w:val="left"/>
      <w:outlineLvl w:val="0"/>
    </w:pPr>
    <w:rPr>
      <w:rFonts w:ascii="Times New Roman" w:eastAsia="Times New Roman" w:hAnsi="Times New Roman" w:cs="Times New Roman"/>
      <w:kern w:val="28"/>
      <w:lang w:eastAsia="en-US"/>
    </w:rPr>
  </w:style>
  <w:style w:type="character" w:styleId="LineNumber">
    <w:name w:val="line number"/>
    <w:basedOn w:val="DefaultParagraphFont"/>
    <w:uiPriority w:val="99"/>
    <w:semiHidden/>
    <w:unhideWhenUsed/>
    <w:rsid w:val="0087093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425</Words>
  <Characters>2427</Characters>
  <Application>Microsoft Office Word</Application>
  <DocSecurity>0</DocSecurity>
  <Lines>20</Lines>
  <Paragraphs>5</Paragraphs>
  <ScaleCrop>false</ScaleCrop>
  <Company>Springer Nature</Company>
  <LinksUpToDate>false</LinksUpToDate>
  <CharactersWithSpaces>2847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Pradeep Gaikwad</dc:creator>
  <cp:keywords/>
  <dc:description/>
  <cp:lastModifiedBy>Pradeep Gaikwad</cp:lastModifiedBy>
  <cp:revision>2</cp:revision>
  <dcterms:created xsi:type="dcterms:W3CDTF">2023-02-22T05:42:00Z</dcterms:created>
  <dcterms:modified xsi:type="dcterms:W3CDTF">2023-02-22T05:42:00Z</dcterms:modified>
</cp:coreProperties>
</file>